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AEDEB">
      <w:pPr>
        <w:ind w:firstLine="880" w:firstLineChars="200"/>
        <w:jc w:val="center"/>
        <w:rPr>
          <w:rFonts w:hint="eastAsia" w:ascii="Times New Roman" w:hAnsi="Times New Roman" w:eastAsia="方正小标宋_GBK" w:cs="宋体"/>
          <w:sz w:val="44"/>
          <w:szCs w:val="44"/>
          <w:shd w:val="clear" w:color="auto" w:fill="auto"/>
          <w:lang w:eastAsia="zh-CN"/>
        </w:rPr>
      </w:pPr>
      <w:r>
        <w:rPr>
          <w:rFonts w:hint="eastAsia" w:ascii="Times New Roman" w:hAnsi="Times New Roman" w:eastAsia="方正小标宋_GBK" w:cs="宋体"/>
          <w:sz w:val="44"/>
          <w:szCs w:val="44"/>
          <w:shd w:val="clear" w:color="auto" w:fill="auto"/>
          <w:lang w:eastAsia="zh-CN"/>
        </w:rPr>
        <w:t>中国国际贸易促进委员会廊坊市委员会</w:t>
      </w:r>
    </w:p>
    <w:p w14:paraId="1000951F">
      <w:pPr>
        <w:ind w:firstLine="880" w:firstLineChars="200"/>
        <w:jc w:val="center"/>
        <w:rPr>
          <w:rFonts w:hint="eastAsia" w:ascii="Times New Roman" w:hAnsi="Times New Roman" w:eastAsia="方正小标宋_GBK" w:cs="宋体"/>
          <w:sz w:val="44"/>
          <w:szCs w:val="44"/>
          <w:shd w:val="clear" w:color="auto" w:fill="auto"/>
        </w:rPr>
      </w:pPr>
      <w:r>
        <w:rPr>
          <w:rFonts w:hint="eastAsia" w:ascii="Times New Roman" w:hAnsi="Times New Roman" w:eastAsia="方正小标宋_GBK" w:cs="宋体"/>
          <w:sz w:val="44"/>
          <w:szCs w:val="44"/>
          <w:shd w:val="clear" w:color="auto" w:fill="auto"/>
        </w:rPr>
        <w:t>2017年部门预算信息公开</w:t>
      </w:r>
    </w:p>
    <w:p w14:paraId="528E612D">
      <w:pPr>
        <w:ind w:firstLine="640" w:firstLineChars="200"/>
        <w:rPr>
          <w:rFonts w:hint="eastAsia" w:ascii="仿宋" w:eastAsia="仿宋" w:cs="仿宋"/>
          <w:sz w:val="32"/>
          <w:szCs w:val="32"/>
        </w:rPr>
      </w:pPr>
      <w:r>
        <w:rPr>
          <w:rFonts w:hint="eastAsia" w:ascii="仿宋" w:eastAsia="仿宋" w:cs="仿宋"/>
          <w:sz w:val="32"/>
          <w:szCs w:val="32"/>
        </w:rPr>
        <w:t>按照《预算法》、《地方预决算公开操作规程》和《河北省省级预算公开办法》规定，现将</w:t>
      </w:r>
      <w:r>
        <w:rPr>
          <w:rFonts w:hint="eastAsia" w:ascii="仿宋" w:eastAsia="仿宋" w:cs="仿宋"/>
          <w:sz w:val="32"/>
          <w:szCs w:val="32"/>
          <w:lang w:eastAsia="zh-CN"/>
        </w:rPr>
        <w:t>中国国际贸易促进委员会廊坊市委员会</w:t>
      </w:r>
      <w:r>
        <w:rPr>
          <w:rFonts w:hint="eastAsia" w:ascii="仿宋" w:eastAsia="仿宋" w:cs="仿宋"/>
          <w:sz w:val="32"/>
          <w:szCs w:val="32"/>
        </w:rPr>
        <w:t>2017年部门预算公开如下：</w:t>
      </w:r>
      <w:r>
        <w:rPr>
          <w:rFonts w:ascii="仿宋" w:eastAsia="仿宋" w:cs="仿宋"/>
          <w:sz w:val="32"/>
          <w:szCs w:val="32"/>
        </w:rPr>
        <w:t xml:space="preserve"> </w:t>
      </w:r>
    </w:p>
    <w:p w14:paraId="713AD6AF">
      <w:pPr>
        <w:ind w:firstLine="640"/>
        <w:rPr>
          <w:rFonts w:ascii="黑体" w:eastAsia="黑体" w:cs="Times New Roman"/>
          <w:sz w:val="32"/>
          <w:szCs w:val="32"/>
        </w:rPr>
      </w:pPr>
      <w:r>
        <w:rPr>
          <w:rFonts w:hint="eastAsia" w:ascii="黑体" w:eastAsia="黑体" w:cs="Times New Roman"/>
          <w:sz w:val="32"/>
          <w:szCs w:val="32"/>
        </w:rPr>
        <w:t>一、部门职责及机构设置情况</w:t>
      </w:r>
    </w:p>
    <w:p w14:paraId="52C4EA19">
      <w:pPr>
        <w:ind w:firstLine="640" w:firstLineChars="200"/>
        <w:rPr>
          <w:rFonts w:hint="eastAsia" w:ascii="楷体" w:eastAsia="楷体" w:cs="楷体"/>
          <w:b/>
          <w:sz w:val="32"/>
          <w:szCs w:val="32"/>
        </w:rPr>
      </w:pPr>
      <w:r>
        <w:rPr>
          <w:rFonts w:hint="eastAsia" w:ascii="楷体" w:eastAsia="楷体" w:cs="楷体"/>
          <w:b/>
          <w:sz w:val="32"/>
          <w:szCs w:val="32"/>
        </w:rPr>
        <w:t>部门职责：</w:t>
      </w:r>
    </w:p>
    <w:p w14:paraId="67538402">
      <w:pPr>
        <w:ind w:firstLine="640" w:firstLineChars="200"/>
        <w:rPr>
          <w:rFonts w:hint="eastAsia" w:ascii="仿宋" w:eastAsia="仿宋" w:cs="仿宋"/>
          <w:sz w:val="32"/>
          <w:szCs w:val="32"/>
        </w:rPr>
      </w:pPr>
      <w:r>
        <w:rPr>
          <w:rFonts w:hint="eastAsia" w:ascii="仿宋" w:eastAsia="仿宋" w:cs="仿宋"/>
          <w:sz w:val="32"/>
          <w:szCs w:val="32"/>
        </w:rPr>
        <w:t>（一）配合中国贸促会、河北省贸促分会开展同世界各国（包括未建交国家和地区）的经贸交往，以经贸推动外交工作的开展。</w:t>
      </w:r>
    </w:p>
    <w:p w14:paraId="6AF442B0">
      <w:pPr>
        <w:ind w:firstLine="640" w:firstLineChars="200"/>
        <w:rPr>
          <w:rFonts w:hint="eastAsia" w:ascii="仿宋" w:eastAsia="仿宋" w:cs="仿宋"/>
          <w:sz w:val="32"/>
          <w:szCs w:val="32"/>
        </w:rPr>
      </w:pPr>
      <w:r>
        <w:rPr>
          <w:rFonts w:hint="eastAsia" w:ascii="仿宋" w:eastAsia="仿宋" w:cs="仿宋"/>
          <w:sz w:val="32"/>
          <w:szCs w:val="32"/>
        </w:rPr>
        <w:t>（二）根据国家、省对外经贸工作的方针政策</w:t>
      </w:r>
      <w:r>
        <w:rPr>
          <w:rFonts w:hint="eastAsia" w:ascii="仿宋" w:eastAsia="仿宋" w:cs="仿宋"/>
          <w:sz w:val="32"/>
          <w:szCs w:val="32"/>
          <w:lang w:eastAsia="zh-CN"/>
        </w:rPr>
        <w:t>，</w:t>
      </w:r>
      <w:r>
        <w:rPr>
          <w:rFonts w:hint="eastAsia" w:ascii="仿宋" w:eastAsia="仿宋" w:cs="仿宋"/>
          <w:sz w:val="32"/>
          <w:szCs w:val="32"/>
        </w:rPr>
        <w:t>结合我市实际，在境内外开展多种形式的经贸活动，促进进出口贸易和投资，促进中外经济技术交流与合作，推动企业参与经济全球化的发展进程。</w:t>
      </w:r>
    </w:p>
    <w:p w14:paraId="4CA1AEDE">
      <w:pPr>
        <w:ind w:firstLine="640" w:firstLineChars="200"/>
        <w:rPr>
          <w:rFonts w:hint="eastAsia" w:ascii="仿宋" w:eastAsia="仿宋" w:cs="仿宋"/>
          <w:sz w:val="32"/>
          <w:szCs w:val="32"/>
        </w:rPr>
      </w:pPr>
      <w:r>
        <w:rPr>
          <w:rFonts w:hint="eastAsia" w:ascii="仿宋" w:eastAsia="仿宋" w:cs="仿宋"/>
          <w:sz w:val="32"/>
          <w:szCs w:val="32"/>
        </w:rPr>
        <w:t>（三）开展同世界各国经贸界的交往，邀请和接待外国经贸界人士和代表团来廊坊市访问，组织廊坊市经贸代表团（包括随市领导出访的廊坊经贸代表团）出访；与各国贸促机构和商协会开展交流与合作；经授权代表廊坊市参加有关国际组织；举办、合办、参加有关国际会议；在有关国家和地区设立代表机构；推动在海外组建中资企业商协会，维护中资企业在当地的合法权益；承办外国商协会在我市设立业务机构的代理工作。</w:t>
      </w:r>
    </w:p>
    <w:p w14:paraId="686CBEDB">
      <w:pPr>
        <w:ind w:firstLine="640" w:firstLineChars="200"/>
        <w:rPr>
          <w:rFonts w:hint="eastAsia" w:ascii="仿宋" w:eastAsia="仿宋" w:cs="仿宋"/>
          <w:sz w:val="32"/>
          <w:szCs w:val="32"/>
        </w:rPr>
      </w:pPr>
      <w:r>
        <w:rPr>
          <w:rFonts w:hint="eastAsia" w:ascii="仿宋" w:eastAsia="仿宋" w:cs="仿宋"/>
          <w:sz w:val="32"/>
          <w:szCs w:val="32"/>
        </w:rPr>
        <w:t>（四）促进我市同台港澳地区的经贸交流与合作。在台港澳地区举办经济技术展览会和博览会；协调和组织台港澳地区在我市举办的经济技术展览会和博览会；配合中国贸促会、河北省贸促分会发挥海峡两岸经贸协调会的作用，促进两岸的经贸交流。</w:t>
      </w:r>
    </w:p>
    <w:p w14:paraId="4129400B">
      <w:pPr>
        <w:ind w:firstLine="640" w:firstLineChars="200"/>
        <w:rPr>
          <w:rFonts w:hint="eastAsia" w:ascii="仿宋" w:eastAsia="仿宋" w:cs="仿宋"/>
          <w:sz w:val="32"/>
          <w:szCs w:val="32"/>
        </w:rPr>
      </w:pPr>
      <w:r>
        <w:rPr>
          <w:rFonts w:hint="eastAsia" w:ascii="仿宋" w:eastAsia="仿宋" w:cs="仿宋"/>
          <w:sz w:val="32"/>
          <w:szCs w:val="32"/>
        </w:rPr>
        <w:t>（五）审核、协调、管理和报送全市出国经贸展览会；代表我市在国外主办廊坊市经贸展览会和参加世界博览会；组织我市企业参加在境外举办的经贸展览会和国际展（博）览会；开展对组展单位的信息咨询、业务培训等服务工作。</w:t>
      </w:r>
    </w:p>
    <w:p w14:paraId="4D316F26">
      <w:pPr>
        <w:ind w:firstLine="640" w:firstLineChars="200"/>
        <w:rPr>
          <w:rFonts w:hint="eastAsia" w:ascii="仿宋" w:eastAsia="仿宋" w:cs="仿宋"/>
          <w:sz w:val="32"/>
          <w:szCs w:val="32"/>
        </w:rPr>
      </w:pPr>
      <w:r>
        <w:rPr>
          <w:rFonts w:hint="eastAsia" w:ascii="仿宋" w:eastAsia="仿宋" w:cs="仿宋"/>
          <w:sz w:val="32"/>
          <w:szCs w:val="32"/>
        </w:rPr>
        <w:t>（六）在市内主办经济贸易展览会、博览会及专业性经贸洽谈会、研讨会；审批、协调和管理在市内举办的经济贸易展览会，规范展览市场并进行行业协调。</w:t>
      </w:r>
    </w:p>
    <w:p w14:paraId="0F13AEBD">
      <w:pPr>
        <w:ind w:firstLine="640" w:firstLineChars="200"/>
        <w:rPr>
          <w:rFonts w:hint="eastAsia" w:ascii="仿宋" w:eastAsia="仿宋" w:cs="仿宋"/>
          <w:sz w:val="32"/>
          <w:szCs w:val="32"/>
        </w:rPr>
      </w:pPr>
      <w:r>
        <w:rPr>
          <w:rFonts w:hint="eastAsia" w:ascii="仿宋" w:eastAsia="仿宋" w:cs="仿宋"/>
          <w:sz w:val="32"/>
          <w:szCs w:val="32"/>
        </w:rPr>
        <w:t>（七）收集、整理、传递和发布经贸信息，开展国际、国内市场调研；提供经贸信息、咨询和资信调查服务；进行中外经济技术合作项目的评估和可行性研究。</w:t>
      </w:r>
    </w:p>
    <w:p w14:paraId="1B410FF3">
      <w:pPr>
        <w:ind w:firstLine="640" w:firstLineChars="200"/>
        <w:rPr>
          <w:rFonts w:hint="eastAsia" w:ascii="仿宋" w:eastAsia="仿宋" w:cs="仿宋"/>
          <w:sz w:val="32"/>
          <w:szCs w:val="32"/>
        </w:rPr>
      </w:pPr>
      <w:r>
        <w:rPr>
          <w:rFonts w:hint="eastAsia" w:ascii="仿宋" w:eastAsia="仿宋" w:cs="仿宋"/>
          <w:sz w:val="32"/>
          <w:szCs w:val="32"/>
        </w:rPr>
        <w:t>（八）办理国际国内经济贸易和海事仲裁业务；开展同国际商会仲裁院和有关国际仲裁机构的业务交流活动；代表河北省贸促分会签发中华人民共和国出口货物一般原产地证明书、转口证明书、加工装配证明书；出具国际商事证明文件；办理共同海损和单独海损理算业务；出具人力不可抗拒证明；代办涉外商贸文件的领事认证业务；签发、认证对外贸易和海上货运业务的文件和单证；办理暂准免税货物的ATA通关单证册及对其提供担保事宜；以调解方式解决国内外商事、海事争议；提供有关法律咨询、法律顾问服务。</w:t>
      </w:r>
    </w:p>
    <w:p w14:paraId="007BDB6D">
      <w:pPr>
        <w:ind w:firstLine="640" w:firstLineChars="200"/>
        <w:rPr>
          <w:rFonts w:hint="eastAsia" w:ascii="仿宋" w:eastAsia="仿宋" w:cs="仿宋"/>
          <w:sz w:val="32"/>
          <w:szCs w:val="32"/>
        </w:rPr>
      </w:pPr>
      <w:r>
        <w:rPr>
          <w:rFonts w:hint="eastAsia" w:ascii="仿宋" w:eastAsia="仿宋" w:cs="仿宋"/>
          <w:sz w:val="32"/>
          <w:szCs w:val="32"/>
        </w:rPr>
        <w:t>（九）代理外国企业、个人在廊坊市和廊坊企业、个人在国内外的专利申请和商标注册；代理知识产权的诉讼和非诉讼业务；提供知识产权的法律咨询，办理海关备案、版权和计算机软件登记业务及知识产权领域内的其他业务；组织对外国商品向我市场倾销问题的调查和就外国对我商品提出的反倾销、反补贴案件进行应诉，维护企业合法权益。</w:t>
      </w:r>
    </w:p>
    <w:p w14:paraId="6493C4B7">
      <w:pPr>
        <w:ind w:firstLine="640" w:firstLineChars="200"/>
        <w:rPr>
          <w:rFonts w:hint="eastAsia" w:ascii="仿宋" w:eastAsia="仿宋" w:cs="仿宋"/>
          <w:sz w:val="32"/>
          <w:szCs w:val="32"/>
        </w:rPr>
      </w:pPr>
      <w:r>
        <w:rPr>
          <w:rFonts w:hint="eastAsia" w:ascii="仿宋" w:eastAsia="仿宋" w:cs="仿宋"/>
          <w:sz w:val="32"/>
          <w:szCs w:val="32"/>
        </w:rPr>
        <w:t>（十）发展会员企业，为会员企业和其他企业提供服务。向市政府及有关部门反映企业界有关情况和意见，向企业提供参考意见；进行经贸活动的行业协调管理；为企业提供培训。</w:t>
      </w:r>
    </w:p>
    <w:p w14:paraId="3CA0CF5E">
      <w:pPr>
        <w:ind w:firstLine="640" w:firstLineChars="200"/>
        <w:rPr>
          <w:rFonts w:hint="eastAsia" w:ascii="仿宋" w:eastAsia="仿宋" w:cs="仿宋"/>
          <w:sz w:val="32"/>
          <w:szCs w:val="32"/>
        </w:rPr>
      </w:pPr>
      <w:r>
        <w:rPr>
          <w:rFonts w:hint="eastAsia" w:ascii="仿宋" w:eastAsia="仿宋" w:cs="仿宋"/>
          <w:sz w:val="32"/>
          <w:szCs w:val="32"/>
        </w:rPr>
        <w:t>（十一）负责本系统的组织建设和业务建设，指导、协调各县、市、区国际商会、行业国际商会的工作；设立并管理会属企业、事业单位。</w:t>
      </w:r>
    </w:p>
    <w:p w14:paraId="22FD16E7">
      <w:pPr>
        <w:ind w:firstLine="640" w:firstLineChars="200"/>
        <w:rPr>
          <w:rFonts w:hint="eastAsia" w:ascii="仿宋" w:eastAsia="仿宋" w:cs="仿宋"/>
          <w:sz w:val="32"/>
          <w:szCs w:val="32"/>
        </w:rPr>
      </w:pPr>
      <w:r>
        <w:rPr>
          <w:rFonts w:hint="eastAsia" w:ascii="仿宋" w:eastAsia="仿宋" w:cs="仿宋"/>
          <w:sz w:val="32"/>
          <w:szCs w:val="32"/>
        </w:rPr>
        <w:t>（十二）负责全市展览行业的管理与发展工作。包括制定并组织实施《廊坊市展览业发展规划》与全市年度展览计划，全市会展工作统计，全市会展政策文件的起草及展览管理办法的实施、监督和检查，全市会展工作的宣传及会展城市营销，全市大型展览活动的具体组织、协调和管理，展览专业人才的培训与交流，对国内外会展业的调研，协调解决我市会展业发展过程中存在的问题，积极探索会展业品牌化、国际化、市场化的思路和方法等。</w:t>
      </w:r>
    </w:p>
    <w:p w14:paraId="39F36850">
      <w:pPr>
        <w:ind w:firstLine="640" w:firstLineChars="200"/>
        <w:rPr>
          <w:rFonts w:hint="eastAsia" w:ascii="仿宋" w:eastAsia="仿宋" w:cs="仿宋"/>
          <w:sz w:val="32"/>
          <w:szCs w:val="32"/>
        </w:rPr>
      </w:pPr>
      <w:r>
        <w:rPr>
          <w:rFonts w:hint="eastAsia" w:ascii="仿宋" w:eastAsia="仿宋" w:cs="仿宋"/>
          <w:sz w:val="32"/>
          <w:szCs w:val="32"/>
        </w:rPr>
        <w:t>（十三）办理市政府授权或交办的其他工作。</w:t>
      </w:r>
    </w:p>
    <w:p w14:paraId="2D86A9B6">
      <w:pPr>
        <w:autoSpaceDE w:val="0"/>
        <w:autoSpaceDN w:val="0"/>
        <w:adjustRightInd w:val="0"/>
        <w:ind w:firstLine="640" w:firstLineChars="200"/>
        <w:jc w:val="left"/>
        <w:rPr>
          <w:rFonts w:hint="eastAsia" w:ascii="楷体" w:eastAsia="楷体" w:cs="楷体"/>
          <w:b/>
          <w:sz w:val="32"/>
          <w:szCs w:val="32"/>
        </w:rPr>
      </w:pPr>
      <w:r>
        <w:rPr>
          <w:rFonts w:hint="eastAsia" w:ascii="楷体" w:eastAsia="楷体" w:cs="楷体"/>
          <w:b/>
          <w:sz w:val="32"/>
          <w:szCs w:val="32"/>
        </w:rPr>
        <w:t>机构设置：</w:t>
      </w:r>
    </w:p>
    <w:p w14:paraId="1445436D">
      <w:pPr>
        <w:jc w:val="center"/>
        <w:outlineLvl w:val="0"/>
        <w:rPr>
          <w:rFonts w:ascii="Times New Roman" w:hAnsi="Times New Roman" w:eastAsia="方正小标宋_GBK" w:cs="Times New Roman"/>
          <w:sz w:val="32"/>
          <w:szCs w:val="24"/>
        </w:rPr>
      </w:pPr>
      <w:r>
        <w:rPr>
          <w:rFonts w:ascii="Times New Roman" w:hAnsi="Times New Roman" w:eastAsia="方正小标宋_GBK" w:cs="Times New Roman"/>
          <w:sz w:val="32"/>
          <w:szCs w:val="24"/>
        </w:rPr>
        <w:t>部门</w:t>
      </w:r>
      <w:r>
        <w:rPr>
          <w:rFonts w:hint="eastAsia" w:ascii="Times New Roman" w:hAnsi="Times New Roman" w:eastAsia="方正小标宋_GBK" w:cs="Times New Roman"/>
          <w:sz w:val="32"/>
          <w:szCs w:val="24"/>
        </w:rPr>
        <w:t>机构设置情况</w:t>
      </w:r>
    </w:p>
    <w:tbl>
      <w:tblPr>
        <w:tblStyle w:val="6"/>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38267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restart"/>
            <w:shd w:val="clear" w:color="auto" w:fill="auto"/>
            <w:vAlign w:val="center"/>
          </w:tcPr>
          <w:p w14:paraId="00DF6E1A">
            <w:pPr>
              <w:spacing w:line="30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单位名称</w:t>
            </w:r>
          </w:p>
        </w:tc>
        <w:tc>
          <w:tcPr>
            <w:tcW w:w="1134" w:type="dxa"/>
            <w:vMerge w:val="restart"/>
            <w:shd w:val="clear" w:color="auto" w:fill="auto"/>
            <w:vAlign w:val="center"/>
          </w:tcPr>
          <w:p w14:paraId="784717E7">
            <w:pPr>
              <w:spacing w:line="30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单位性质</w:t>
            </w:r>
          </w:p>
        </w:tc>
        <w:tc>
          <w:tcPr>
            <w:tcW w:w="1276" w:type="dxa"/>
            <w:vMerge w:val="restart"/>
            <w:shd w:val="clear" w:color="auto" w:fill="auto"/>
            <w:vAlign w:val="center"/>
          </w:tcPr>
          <w:p w14:paraId="06338B47">
            <w:pPr>
              <w:spacing w:line="30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单位规格</w:t>
            </w:r>
          </w:p>
        </w:tc>
        <w:tc>
          <w:tcPr>
            <w:tcW w:w="2902" w:type="dxa"/>
            <w:vMerge w:val="restart"/>
            <w:shd w:val="clear" w:color="auto" w:fill="auto"/>
            <w:vAlign w:val="center"/>
          </w:tcPr>
          <w:p w14:paraId="6E8EC592">
            <w:pPr>
              <w:spacing w:line="30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经费保障形式</w:t>
            </w:r>
          </w:p>
        </w:tc>
      </w:tr>
      <w:tr w14:paraId="1D5917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2" w:hRule="atLeast"/>
          <w:tblHeader/>
          <w:jc w:val="center"/>
        </w:trPr>
        <w:tc>
          <w:tcPr>
            <w:tcW w:w="4443" w:type="dxa"/>
            <w:vMerge w:val="continue"/>
            <w:shd w:val="clear" w:color="auto" w:fill="auto"/>
            <w:vAlign w:val="center"/>
          </w:tcPr>
          <w:p w14:paraId="35AE6F02"/>
        </w:tc>
        <w:tc>
          <w:tcPr>
            <w:tcW w:w="1134" w:type="dxa"/>
            <w:vMerge w:val="continue"/>
            <w:shd w:val="clear" w:color="auto" w:fill="auto"/>
            <w:vAlign w:val="center"/>
          </w:tcPr>
          <w:p w14:paraId="6B3FF0A0"/>
        </w:tc>
        <w:tc>
          <w:tcPr>
            <w:tcW w:w="1276" w:type="dxa"/>
            <w:vMerge w:val="continue"/>
            <w:shd w:val="clear" w:color="auto" w:fill="auto"/>
            <w:vAlign w:val="center"/>
          </w:tcPr>
          <w:p w14:paraId="5FB570DF"/>
        </w:tc>
        <w:tc>
          <w:tcPr>
            <w:tcW w:w="2902" w:type="dxa"/>
            <w:vMerge w:val="continue"/>
            <w:shd w:val="clear" w:color="auto" w:fill="auto"/>
            <w:vAlign w:val="center"/>
          </w:tcPr>
          <w:p w14:paraId="0AA2A431"/>
        </w:tc>
      </w:tr>
      <w:tr w14:paraId="4ACB2D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5EB2B105">
            <w:pPr>
              <w:spacing w:line="300" w:lineRule="exact"/>
              <w:jc w:val="left"/>
              <w:rPr>
                <w:rFonts w:hint="eastAsia" w:ascii="仿宋" w:eastAsia="仿宋" w:cs="仿宋"/>
                <w:szCs w:val="24"/>
                <w:lang w:eastAsia="zh-CN"/>
              </w:rPr>
            </w:pPr>
            <w:r>
              <w:rPr>
                <w:rFonts w:hint="eastAsia" w:ascii="仿宋" w:eastAsia="仿宋" w:cs="仿宋"/>
                <w:szCs w:val="24"/>
                <w:lang w:eastAsia="zh-CN"/>
              </w:rPr>
              <w:t>中国国际贸易促进委员会廊坊市委员会</w:t>
            </w:r>
          </w:p>
        </w:tc>
        <w:tc>
          <w:tcPr>
            <w:tcW w:w="1134" w:type="dxa"/>
            <w:shd w:val="clear" w:color="auto" w:fill="auto"/>
            <w:vAlign w:val="center"/>
          </w:tcPr>
          <w:p w14:paraId="067081F0">
            <w:pPr>
              <w:spacing w:line="300" w:lineRule="exact"/>
              <w:jc w:val="left"/>
              <w:rPr>
                <w:rFonts w:hint="eastAsia" w:ascii="仿宋" w:eastAsia="仿宋" w:cs="仿宋"/>
                <w:szCs w:val="24"/>
                <w:lang w:eastAsia="zh-CN"/>
              </w:rPr>
            </w:pPr>
            <w:r>
              <w:rPr>
                <w:rFonts w:hint="eastAsia" w:ascii="仿宋" w:eastAsia="仿宋" w:cs="仿宋"/>
                <w:szCs w:val="24"/>
                <w:lang w:eastAsia="zh-CN"/>
              </w:rPr>
              <w:t>事业</w:t>
            </w:r>
          </w:p>
        </w:tc>
        <w:tc>
          <w:tcPr>
            <w:tcW w:w="1276" w:type="dxa"/>
            <w:shd w:val="clear" w:color="auto" w:fill="auto"/>
            <w:vAlign w:val="center"/>
          </w:tcPr>
          <w:p w14:paraId="25D8A729">
            <w:pPr>
              <w:spacing w:line="300" w:lineRule="exact"/>
              <w:jc w:val="left"/>
              <w:rPr>
                <w:rFonts w:hint="eastAsia" w:ascii="仿宋" w:eastAsia="仿宋" w:cs="仿宋"/>
                <w:szCs w:val="24"/>
                <w:lang w:eastAsia="zh-CN"/>
              </w:rPr>
            </w:pPr>
            <w:r>
              <w:rPr>
                <w:rFonts w:hint="eastAsia" w:ascii="仿宋" w:eastAsia="仿宋" w:cs="仿宋"/>
                <w:szCs w:val="24"/>
                <w:lang w:eastAsia="zh-CN"/>
              </w:rPr>
              <w:t>正处级</w:t>
            </w:r>
          </w:p>
        </w:tc>
        <w:tc>
          <w:tcPr>
            <w:tcW w:w="2902" w:type="dxa"/>
            <w:shd w:val="clear" w:color="auto" w:fill="auto"/>
            <w:vAlign w:val="center"/>
          </w:tcPr>
          <w:p w14:paraId="6AF81A04">
            <w:pPr>
              <w:spacing w:line="300" w:lineRule="exact"/>
              <w:jc w:val="left"/>
              <w:rPr>
                <w:rFonts w:hint="eastAsia" w:ascii="仿宋" w:eastAsia="仿宋" w:cs="仿宋"/>
                <w:szCs w:val="24"/>
                <w:lang w:eastAsia="zh-CN"/>
              </w:rPr>
            </w:pPr>
            <w:r>
              <w:rPr>
                <w:rFonts w:hint="eastAsia" w:ascii="仿宋" w:eastAsia="仿宋" w:cs="仿宋"/>
                <w:szCs w:val="24"/>
                <w:lang w:eastAsia="zh-CN"/>
              </w:rPr>
              <w:t>财政性资金基本保证</w:t>
            </w:r>
          </w:p>
        </w:tc>
      </w:tr>
    </w:tbl>
    <w:p w14:paraId="6D6FCB66"/>
    <w:p w14:paraId="5B6D1B6D">
      <w:pPr>
        <w:ind w:firstLine="640"/>
        <w:rPr>
          <w:rFonts w:ascii="黑体" w:eastAsia="黑体" w:cs="Times New Roman"/>
          <w:sz w:val="32"/>
          <w:szCs w:val="32"/>
        </w:rPr>
      </w:pPr>
      <w:r>
        <w:rPr>
          <w:rFonts w:hint="eastAsia" w:ascii="黑体" w:eastAsia="黑体" w:cs="Times New Roman"/>
          <w:sz w:val="32"/>
          <w:szCs w:val="32"/>
        </w:rPr>
        <w:t>二、部门预算安排的总体情况</w:t>
      </w:r>
    </w:p>
    <w:p w14:paraId="0A6F8F90">
      <w:pPr>
        <w:ind w:firstLine="640"/>
        <w:rPr>
          <w:rFonts w:hint="eastAsia" w:ascii="仿宋" w:eastAsia="仿宋" w:cs="仿宋"/>
          <w:sz w:val="32"/>
          <w:szCs w:val="32"/>
        </w:rPr>
      </w:pPr>
      <w:r>
        <w:rPr>
          <w:rFonts w:hint="eastAsia" w:ascii="仿宋" w:eastAsia="仿宋" w:cs="仿宋"/>
          <w:sz w:val="32"/>
          <w:szCs w:val="32"/>
        </w:rPr>
        <w:t>按照预算管理有关规定，目前我</w:t>
      </w:r>
      <w:r>
        <w:rPr>
          <w:rFonts w:ascii="仿宋" w:eastAsia="仿宋" w:cs="仿宋"/>
          <w:sz w:val="32"/>
          <w:szCs w:val="32"/>
        </w:rPr>
        <w:t>市</w:t>
      </w:r>
      <w:r>
        <w:rPr>
          <w:rFonts w:hint="eastAsia" w:ascii="仿宋" w:eastAsia="仿宋" w:cs="仿宋"/>
          <w:sz w:val="32"/>
          <w:szCs w:val="32"/>
        </w:rPr>
        <w:t>部门预算的编制实行综合预算制度，即全部收入和支出都反映在预算中。</w:t>
      </w:r>
    </w:p>
    <w:p w14:paraId="421736C9">
      <w:pPr>
        <w:ind w:firstLine="640"/>
        <w:rPr>
          <w:rFonts w:hint="eastAsia" w:ascii="楷体" w:eastAsia="楷体" w:cs="楷体"/>
          <w:b/>
          <w:bCs/>
          <w:sz w:val="32"/>
          <w:szCs w:val="32"/>
        </w:rPr>
      </w:pPr>
      <w:r>
        <w:rPr>
          <w:rFonts w:hint="eastAsia" w:ascii="楷体" w:eastAsia="楷体" w:cs="楷体"/>
          <w:b/>
          <w:bCs/>
          <w:sz w:val="32"/>
          <w:szCs w:val="32"/>
        </w:rPr>
        <w:t>1、收入说明</w:t>
      </w:r>
    </w:p>
    <w:p w14:paraId="24F3FEE7">
      <w:pPr>
        <w:ind w:firstLine="640"/>
        <w:rPr>
          <w:rFonts w:hint="eastAsia" w:ascii="仿宋" w:eastAsia="仿宋" w:cs="仿宋"/>
          <w:sz w:val="32"/>
          <w:szCs w:val="32"/>
        </w:rPr>
      </w:pPr>
      <w:r>
        <w:rPr>
          <w:rFonts w:ascii="仿宋" w:eastAsia="仿宋" w:cs="仿宋"/>
          <w:sz w:val="32"/>
          <w:szCs w:val="32"/>
        </w:rPr>
        <w:t>反应本部门当年全部收入。</w:t>
      </w:r>
      <w:r>
        <w:rPr>
          <w:rFonts w:hint="eastAsia" w:ascii="仿宋" w:eastAsia="仿宋" w:cs="仿宋"/>
          <w:sz w:val="32"/>
          <w:szCs w:val="32"/>
        </w:rPr>
        <w:t>2017年预算收入</w:t>
      </w:r>
      <w:r>
        <w:rPr>
          <w:rFonts w:hint="eastAsia" w:ascii="仿宋" w:eastAsia="仿宋" w:cs="仿宋"/>
          <w:sz w:val="32"/>
          <w:szCs w:val="32"/>
          <w:lang w:val="en-US" w:eastAsia="zh-CN"/>
        </w:rPr>
        <w:t>1941</w:t>
      </w:r>
      <w:r>
        <w:rPr>
          <w:rFonts w:hint="eastAsia" w:ascii="仿宋" w:eastAsia="仿宋" w:cs="仿宋"/>
          <w:sz w:val="32"/>
          <w:szCs w:val="32"/>
        </w:rPr>
        <w:t>万元，其中：一般公共预算收入</w:t>
      </w:r>
      <w:r>
        <w:rPr>
          <w:rFonts w:hint="eastAsia" w:ascii="仿宋" w:eastAsia="仿宋" w:cs="仿宋"/>
          <w:sz w:val="32"/>
          <w:szCs w:val="32"/>
          <w:lang w:val="en-US" w:eastAsia="zh-CN"/>
        </w:rPr>
        <w:t>1941</w:t>
      </w:r>
      <w:r>
        <w:rPr>
          <w:rFonts w:hint="eastAsia" w:ascii="仿宋" w:eastAsia="仿宋" w:cs="仿宋"/>
          <w:sz w:val="32"/>
          <w:szCs w:val="32"/>
        </w:rPr>
        <w:t>万元，事业收入</w:t>
      </w:r>
      <w:r>
        <w:rPr>
          <w:rFonts w:hint="eastAsia" w:ascii="仿宋" w:eastAsia="仿宋" w:cs="仿宋"/>
          <w:sz w:val="32"/>
          <w:szCs w:val="32"/>
          <w:lang w:val="en-US" w:eastAsia="zh-CN"/>
        </w:rPr>
        <w:t>0</w:t>
      </w:r>
      <w:r>
        <w:rPr>
          <w:rFonts w:hint="eastAsia" w:ascii="仿宋" w:eastAsia="仿宋" w:cs="仿宋"/>
          <w:sz w:val="32"/>
          <w:szCs w:val="32"/>
        </w:rPr>
        <w:t>万元，其他收入</w:t>
      </w:r>
      <w:r>
        <w:rPr>
          <w:rFonts w:hint="eastAsia" w:ascii="仿宋" w:eastAsia="仿宋" w:cs="仿宋"/>
          <w:sz w:val="32"/>
          <w:szCs w:val="32"/>
          <w:lang w:val="en-US" w:eastAsia="zh-CN"/>
        </w:rPr>
        <w:t>0</w:t>
      </w:r>
      <w:r>
        <w:rPr>
          <w:rFonts w:hint="eastAsia" w:ascii="仿宋" w:eastAsia="仿宋" w:cs="仿宋"/>
          <w:sz w:val="32"/>
          <w:szCs w:val="32"/>
        </w:rPr>
        <w:t>万元。</w:t>
      </w:r>
    </w:p>
    <w:p w14:paraId="3DB6B08A">
      <w:pPr>
        <w:ind w:firstLine="640"/>
        <w:rPr>
          <w:rFonts w:hint="eastAsia" w:ascii="楷体" w:eastAsia="楷体" w:cs="楷体"/>
          <w:b/>
          <w:bCs/>
          <w:sz w:val="32"/>
          <w:szCs w:val="32"/>
        </w:rPr>
      </w:pPr>
      <w:r>
        <w:rPr>
          <w:rFonts w:hint="eastAsia" w:ascii="楷体" w:eastAsia="楷体" w:cs="楷体"/>
          <w:b/>
          <w:bCs/>
          <w:sz w:val="32"/>
          <w:szCs w:val="32"/>
        </w:rPr>
        <w:t>2、支出说明</w:t>
      </w:r>
    </w:p>
    <w:p w14:paraId="1D0D066C">
      <w:pPr>
        <w:ind w:firstLine="640"/>
        <w:rPr>
          <w:rFonts w:hint="eastAsia" w:ascii="仿宋" w:eastAsia="仿宋" w:cs="仿宋"/>
          <w:sz w:val="32"/>
          <w:szCs w:val="32"/>
        </w:rPr>
      </w:pPr>
      <w:r>
        <w:rPr>
          <w:rFonts w:hint="eastAsia" w:ascii="仿宋" w:eastAsia="仿宋" w:cs="仿宋"/>
          <w:sz w:val="32"/>
          <w:szCs w:val="32"/>
        </w:rPr>
        <w:t>收支预算总表支出栏、基本支出表、项目支出表按经济分类和支出功能分类科目编制，反映河北省</w:t>
      </w:r>
      <w:r>
        <w:rPr>
          <w:rFonts w:hint="eastAsia" w:ascii="仿宋" w:eastAsia="仿宋" w:cs="仿宋"/>
          <w:sz w:val="32"/>
          <w:szCs w:val="32"/>
          <w:lang w:val="en-US" w:eastAsia="zh-CN"/>
        </w:rPr>
        <w:t>2017</w:t>
      </w:r>
      <w:r>
        <w:rPr>
          <w:rFonts w:hint="eastAsia" w:ascii="仿宋" w:eastAsia="仿宋" w:cs="仿宋"/>
          <w:sz w:val="32"/>
          <w:szCs w:val="32"/>
        </w:rPr>
        <w:t>年度部门预算中支出预算的总体情况。2017年支出预算</w:t>
      </w:r>
      <w:r>
        <w:rPr>
          <w:rFonts w:hint="eastAsia" w:ascii="仿宋" w:eastAsia="仿宋" w:cs="仿宋"/>
          <w:sz w:val="32"/>
          <w:szCs w:val="32"/>
          <w:lang w:val="en-US" w:eastAsia="zh-CN"/>
        </w:rPr>
        <w:t>1941</w:t>
      </w:r>
      <w:r>
        <w:rPr>
          <w:rFonts w:hint="eastAsia" w:ascii="仿宋" w:eastAsia="仿宋" w:cs="仿宋"/>
          <w:sz w:val="32"/>
          <w:szCs w:val="32"/>
        </w:rPr>
        <w:t>万元，其中基本支出</w:t>
      </w:r>
      <w:r>
        <w:rPr>
          <w:rFonts w:hint="eastAsia" w:ascii="仿宋" w:eastAsia="仿宋" w:cs="仿宋"/>
          <w:sz w:val="32"/>
          <w:szCs w:val="32"/>
          <w:lang w:val="en-US" w:eastAsia="zh-CN"/>
        </w:rPr>
        <w:t>264.33</w:t>
      </w:r>
      <w:r>
        <w:rPr>
          <w:rFonts w:hint="eastAsia" w:ascii="仿宋" w:eastAsia="仿宋" w:cs="仿宋"/>
          <w:sz w:val="32"/>
          <w:szCs w:val="32"/>
        </w:rPr>
        <w:t>万元，包括人员经费和日常公用经费；项目支出</w:t>
      </w:r>
      <w:r>
        <w:rPr>
          <w:rFonts w:hint="eastAsia" w:ascii="仿宋" w:eastAsia="仿宋" w:cs="仿宋"/>
          <w:sz w:val="32"/>
          <w:szCs w:val="32"/>
          <w:lang w:val="en-US" w:eastAsia="zh-CN"/>
        </w:rPr>
        <w:t>1676.67</w:t>
      </w:r>
      <w:r>
        <w:rPr>
          <w:rFonts w:hint="eastAsia" w:ascii="仿宋" w:eastAsia="仿宋" w:cs="仿宋"/>
          <w:sz w:val="32"/>
          <w:szCs w:val="32"/>
        </w:rPr>
        <w:t>万元，主要为</w:t>
      </w:r>
      <w:r>
        <w:rPr>
          <w:rFonts w:hint="eastAsia" w:ascii="仿宋" w:eastAsia="仿宋" w:cs="仿宋"/>
          <w:sz w:val="32"/>
          <w:szCs w:val="32"/>
          <w:lang w:val="en-US" w:eastAsia="zh-CN"/>
        </w:rPr>
        <w:t>2017环渤海汽车后市场服务节、2017河北廊坊装备制造业博览会、2017中国（廊坊）国际有机食品展览会</w:t>
      </w:r>
      <w:r>
        <w:rPr>
          <w:rFonts w:hint="eastAsia" w:ascii="仿宋" w:eastAsia="仿宋" w:cs="仿宋"/>
          <w:sz w:val="32"/>
          <w:szCs w:val="32"/>
        </w:rPr>
        <w:t>等；</w:t>
      </w:r>
    </w:p>
    <w:p w14:paraId="4C6901A5">
      <w:pPr>
        <w:ind w:firstLine="640"/>
        <w:rPr>
          <w:rFonts w:hint="eastAsia" w:ascii="楷体" w:eastAsia="楷体" w:cs="楷体"/>
          <w:b/>
          <w:bCs/>
          <w:sz w:val="32"/>
          <w:szCs w:val="32"/>
        </w:rPr>
      </w:pPr>
      <w:r>
        <w:rPr>
          <w:rFonts w:hint="eastAsia" w:ascii="楷体" w:eastAsia="楷体" w:cs="楷体"/>
          <w:b/>
          <w:bCs/>
          <w:sz w:val="32"/>
          <w:szCs w:val="32"/>
        </w:rPr>
        <w:t>3、比上年增减情况</w:t>
      </w:r>
    </w:p>
    <w:p w14:paraId="38289EF7">
      <w:pPr>
        <w:ind w:firstLine="640"/>
        <w:rPr>
          <w:rFonts w:hint="eastAsia" w:ascii="仿宋" w:eastAsia="仿宋" w:cs="仿宋"/>
          <w:sz w:val="32"/>
          <w:szCs w:val="32"/>
        </w:rPr>
      </w:pPr>
      <w:r>
        <w:rPr>
          <w:rFonts w:hint="eastAsia" w:ascii="仿宋" w:eastAsia="仿宋" w:cs="仿宋"/>
          <w:sz w:val="32"/>
          <w:szCs w:val="32"/>
        </w:rPr>
        <w:t>2017年预算收支安排</w:t>
      </w:r>
      <w:r>
        <w:rPr>
          <w:rFonts w:hint="eastAsia" w:ascii="仿宋" w:eastAsia="仿宋" w:cs="仿宋"/>
          <w:sz w:val="32"/>
          <w:szCs w:val="32"/>
          <w:lang w:val="en-US" w:eastAsia="zh-CN"/>
        </w:rPr>
        <w:t>1941</w:t>
      </w:r>
      <w:r>
        <w:rPr>
          <w:rFonts w:hint="eastAsia" w:ascii="仿宋" w:eastAsia="仿宋" w:cs="仿宋"/>
          <w:sz w:val="32"/>
          <w:szCs w:val="32"/>
        </w:rPr>
        <w:t>万元，较2016年预算</w:t>
      </w:r>
      <w:r>
        <w:rPr>
          <w:rFonts w:hint="eastAsia" w:ascii="仿宋" w:eastAsia="仿宋" w:cs="仿宋"/>
          <w:sz w:val="32"/>
          <w:szCs w:val="32"/>
          <w:highlight w:val="none"/>
        </w:rPr>
        <w:t>增加</w:t>
      </w:r>
      <w:r>
        <w:rPr>
          <w:rFonts w:hint="eastAsia" w:ascii="仿宋" w:eastAsia="仿宋" w:cs="仿宋"/>
          <w:sz w:val="32"/>
          <w:szCs w:val="32"/>
          <w:lang w:val="en-US" w:eastAsia="zh-CN"/>
        </w:rPr>
        <w:t>653.1</w:t>
      </w:r>
      <w:r>
        <w:rPr>
          <w:rFonts w:hint="eastAsia" w:ascii="仿宋" w:eastAsia="仿宋" w:cs="仿宋"/>
          <w:sz w:val="32"/>
          <w:szCs w:val="32"/>
        </w:rPr>
        <w:t>万元，其中：基本支出</w:t>
      </w:r>
      <w:r>
        <w:rPr>
          <w:rFonts w:hint="eastAsia" w:ascii="仿宋" w:eastAsia="仿宋" w:cs="仿宋"/>
          <w:sz w:val="32"/>
          <w:szCs w:val="32"/>
          <w:highlight w:val="none"/>
        </w:rPr>
        <w:t>增加</w:t>
      </w:r>
      <w:r>
        <w:rPr>
          <w:rFonts w:hint="eastAsia" w:ascii="仿宋" w:eastAsia="仿宋" w:cs="仿宋"/>
          <w:sz w:val="32"/>
          <w:szCs w:val="32"/>
          <w:lang w:val="en-US" w:eastAsia="zh-CN"/>
        </w:rPr>
        <w:t>66.48</w:t>
      </w:r>
      <w:r>
        <w:rPr>
          <w:rFonts w:hint="eastAsia" w:ascii="仿宋" w:eastAsia="仿宋" w:cs="仿宋"/>
          <w:sz w:val="32"/>
          <w:szCs w:val="32"/>
        </w:rPr>
        <w:t>万元，主要为</w:t>
      </w:r>
      <w:r>
        <w:rPr>
          <w:rFonts w:hint="eastAsia" w:ascii="仿宋" w:eastAsia="仿宋" w:cs="仿宋"/>
          <w:sz w:val="32"/>
          <w:szCs w:val="32"/>
          <w:highlight w:val="none"/>
        </w:rPr>
        <w:t>增加人员经费支出</w:t>
      </w:r>
      <w:r>
        <w:rPr>
          <w:rFonts w:hint="eastAsia" w:ascii="仿宋" w:eastAsia="仿宋" w:cs="仿宋"/>
          <w:sz w:val="32"/>
          <w:szCs w:val="32"/>
          <w:highlight w:val="none"/>
          <w:lang w:eastAsia="zh-CN"/>
        </w:rPr>
        <w:t>和日常公用经费支出</w:t>
      </w:r>
      <w:r>
        <w:rPr>
          <w:rFonts w:hint="eastAsia" w:ascii="仿宋" w:eastAsia="仿宋" w:cs="仿宋"/>
          <w:sz w:val="32"/>
          <w:szCs w:val="32"/>
        </w:rPr>
        <w:t>；项目支出</w:t>
      </w:r>
      <w:r>
        <w:rPr>
          <w:rFonts w:hint="eastAsia" w:ascii="仿宋" w:eastAsia="仿宋" w:cs="仿宋"/>
          <w:sz w:val="32"/>
          <w:szCs w:val="32"/>
          <w:highlight w:val="none"/>
        </w:rPr>
        <w:t>增加</w:t>
      </w:r>
      <w:r>
        <w:rPr>
          <w:rFonts w:hint="eastAsia" w:ascii="仿宋" w:eastAsia="仿宋" w:cs="仿宋"/>
          <w:sz w:val="32"/>
          <w:szCs w:val="32"/>
          <w:lang w:val="en-US" w:eastAsia="zh-CN"/>
        </w:rPr>
        <w:t>586.62</w:t>
      </w:r>
      <w:r>
        <w:rPr>
          <w:rFonts w:hint="eastAsia" w:ascii="仿宋" w:eastAsia="仿宋" w:cs="仿宋"/>
          <w:sz w:val="32"/>
          <w:szCs w:val="32"/>
        </w:rPr>
        <w:t>万元，主要为</w:t>
      </w:r>
      <w:r>
        <w:rPr>
          <w:rFonts w:hint="eastAsia" w:ascii="仿宋" w:eastAsia="仿宋" w:cs="仿宋"/>
          <w:sz w:val="32"/>
          <w:szCs w:val="32"/>
          <w:lang w:val="en-US" w:eastAsia="zh-CN"/>
        </w:rPr>
        <w:t>2017中国（廊坊）国际有机食品展览会、2017河北廊坊装备制造业博览会经费、劳务派遣社会化用工等</w:t>
      </w:r>
      <w:r>
        <w:rPr>
          <w:rFonts w:hint="eastAsia" w:ascii="仿宋" w:eastAsia="仿宋" w:cs="仿宋"/>
          <w:sz w:val="32"/>
          <w:szCs w:val="32"/>
        </w:rPr>
        <w:t>支出。</w:t>
      </w:r>
    </w:p>
    <w:p w14:paraId="50EEA1EE">
      <w:pPr>
        <w:autoSpaceDE w:val="0"/>
        <w:autoSpaceDN w:val="0"/>
        <w:adjustRightInd w:val="0"/>
        <w:ind w:left="198" w:firstLine="640" w:firstLineChars="200"/>
        <w:jc w:val="left"/>
        <w:rPr>
          <w:rFonts w:ascii="黑体" w:eastAsia="黑体" w:cs="Times New Roman"/>
          <w:sz w:val="32"/>
          <w:szCs w:val="32"/>
        </w:rPr>
      </w:pPr>
      <w:r>
        <w:rPr>
          <w:rFonts w:hint="eastAsia" w:ascii="黑体" w:eastAsia="黑体" w:cs="Times New Roman"/>
          <w:sz w:val="32"/>
          <w:szCs w:val="32"/>
        </w:rPr>
        <w:t>三、机关运行经费安排情况</w:t>
      </w:r>
    </w:p>
    <w:p w14:paraId="776C636E">
      <w:pPr>
        <w:autoSpaceDE w:val="0"/>
        <w:autoSpaceDN w:val="0"/>
        <w:adjustRightInd w:val="0"/>
        <w:ind w:left="198" w:firstLine="640" w:firstLineChars="200"/>
        <w:jc w:val="left"/>
        <w:rPr>
          <w:rFonts w:hint="eastAsia" w:ascii="仿宋" w:eastAsia="仿宋" w:cs="仿宋"/>
          <w:sz w:val="32"/>
          <w:szCs w:val="32"/>
        </w:rPr>
      </w:pPr>
      <w:r>
        <w:rPr>
          <w:rFonts w:hint="eastAsia" w:ascii="仿宋" w:eastAsia="仿宋" w:cs="仿宋"/>
          <w:sz w:val="32"/>
          <w:szCs w:val="32"/>
        </w:rPr>
        <w:t>机关运行经费共计安排</w:t>
      </w:r>
      <w:r>
        <w:rPr>
          <w:rFonts w:hint="eastAsia" w:ascii="仿宋" w:eastAsia="仿宋" w:cs="仿宋"/>
          <w:sz w:val="32"/>
          <w:szCs w:val="32"/>
          <w:lang w:val="en-US" w:eastAsia="zh-CN"/>
        </w:rPr>
        <w:t>271.97</w:t>
      </w:r>
      <w:r>
        <w:rPr>
          <w:rFonts w:hint="eastAsia" w:ascii="仿宋" w:eastAsia="仿宋" w:cs="仿宋"/>
          <w:sz w:val="32"/>
          <w:szCs w:val="32"/>
        </w:rPr>
        <w:t>万元，主要用于</w:t>
      </w:r>
      <w:r>
        <w:rPr>
          <w:rFonts w:hint="eastAsia" w:ascii="仿宋" w:eastAsia="仿宋" w:cs="仿宋"/>
          <w:sz w:val="32"/>
          <w:szCs w:val="32"/>
          <w:lang w:eastAsia="zh-CN"/>
        </w:rPr>
        <w:t>单位</w:t>
      </w:r>
      <w:r>
        <w:rPr>
          <w:rFonts w:hint="eastAsia" w:ascii="仿宋" w:eastAsia="仿宋" w:cs="仿宋"/>
          <w:sz w:val="32"/>
          <w:szCs w:val="32"/>
        </w:rPr>
        <w:t>办公区的日常维修、办公用房水电费、办公用房取暖费、办公用房物业管理费等日常运行支出。</w:t>
      </w:r>
    </w:p>
    <w:p w14:paraId="76A00F1E">
      <w:pPr>
        <w:autoSpaceDE w:val="0"/>
        <w:autoSpaceDN w:val="0"/>
        <w:adjustRightInd w:val="0"/>
        <w:ind w:left="198" w:firstLine="640" w:firstLineChars="200"/>
        <w:jc w:val="left"/>
        <w:rPr>
          <w:rFonts w:ascii="黑体" w:eastAsia="黑体" w:cs="Times New Roman"/>
          <w:sz w:val="32"/>
          <w:szCs w:val="32"/>
        </w:rPr>
      </w:pPr>
      <w:r>
        <w:rPr>
          <w:rFonts w:hint="eastAsia" w:ascii="黑体" w:eastAsia="黑体" w:cs="Times New Roman"/>
          <w:sz w:val="32"/>
          <w:szCs w:val="32"/>
        </w:rPr>
        <w:t>四、财政拨款</w:t>
      </w:r>
      <w:r>
        <w:rPr>
          <w:rFonts w:ascii="黑体" w:eastAsia="黑体" w:cs="Times New Roman"/>
          <w:sz w:val="32"/>
          <w:szCs w:val="32"/>
        </w:rPr>
        <w:t>“</w:t>
      </w:r>
      <w:r>
        <w:rPr>
          <w:rFonts w:hint="eastAsia" w:ascii="黑体" w:eastAsia="黑体" w:cs="Times New Roman"/>
          <w:sz w:val="32"/>
          <w:szCs w:val="32"/>
        </w:rPr>
        <w:t>三公</w:t>
      </w:r>
      <w:r>
        <w:rPr>
          <w:rFonts w:ascii="黑体" w:eastAsia="黑体" w:cs="Times New Roman"/>
          <w:sz w:val="32"/>
          <w:szCs w:val="32"/>
        </w:rPr>
        <w:t>”</w:t>
      </w:r>
      <w:r>
        <w:rPr>
          <w:rFonts w:hint="eastAsia" w:ascii="黑体" w:eastAsia="黑体" w:cs="Times New Roman"/>
          <w:sz w:val="32"/>
          <w:szCs w:val="32"/>
        </w:rPr>
        <w:t>经费预算情况及增减变化原因</w:t>
      </w:r>
    </w:p>
    <w:p w14:paraId="60093E5E">
      <w:pPr>
        <w:autoSpaceDE w:val="0"/>
        <w:autoSpaceDN w:val="0"/>
        <w:adjustRightInd w:val="0"/>
        <w:ind w:left="198" w:firstLine="640" w:firstLineChars="200"/>
        <w:jc w:val="left"/>
        <w:rPr>
          <w:rFonts w:hint="eastAsia" w:ascii="仿宋" w:eastAsia="仿宋" w:cs="仿宋"/>
          <w:sz w:val="32"/>
          <w:szCs w:val="32"/>
        </w:rPr>
      </w:pPr>
      <w:r>
        <w:rPr>
          <w:rFonts w:hint="eastAsia" w:ascii="仿宋" w:eastAsia="仿宋" w:cs="仿宋"/>
          <w:sz w:val="32"/>
          <w:szCs w:val="32"/>
        </w:rPr>
        <w:t>2017年，我</w:t>
      </w:r>
      <w:r>
        <w:rPr>
          <w:rFonts w:hint="eastAsia" w:ascii="仿宋" w:eastAsia="仿宋" w:cs="仿宋"/>
          <w:sz w:val="32"/>
          <w:szCs w:val="32"/>
          <w:lang w:eastAsia="zh-CN"/>
        </w:rPr>
        <w:t>单位</w:t>
      </w:r>
      <w:r>
        <w:rPr>
          <w:rFonts w:hint="eastAsia" w:ascii="仿宋" w:eastAsia="仿宋" w:cs="仿宋"/>
          <w:sz w:val="32"/>
          <w:szCs w:val="32"/>
        </w:rPr>
        <w:t>“三公”经费预算安排</w:t>
      </w:r>
      <w:r>
        <w:rPr>
          <w:rFonts w:ascii="仿宋" w:eastAsia="仿宋" w:cs="仿宋"/>
          <w:sz w:val="32"/>
          <w:szCs w:val="32"/>
          <w:lang w:val="en-US" w:eastAsia="zh-CN"/>
        </w:rPr>
        <w:t>36.6</w:t>
      </w:r>
      <w:r>
        <w:rPr>
          <w:rFonts w:hint="eastAsia" w:ascii="仿宋" w:eastAsia="仿宋" w:cs="仿宋"/>
          <w:sz w:val="32"/>
          <w:szCs w:val="32"/>
        </w:rPr>
        <w:t>万元，其中因公出国（境）费</w:t>
      </w:r>
      <w:r>
        <w:rPr>
          <w:rFonts w:hint="eastAsia" w:ascii="仿宋" w:eastAsia="仿宋" w:cs="仿宋"/>
          <w:sz w:val="32"/>
          <w:szCs w:val="32"/>
          <w:lang w:val="en-US" w:eastAsia="zh-CN"/>
        </w:rPr>
        <w:t>0</w:t>
      </w:r>
      <w:r>
        <w:rPr>
          <w:rFonts w:hint="eastAsia" w:ascii="仿宋" w:eastAsia="仿宋" w:cs="仿宋"/>
          <w:sz w:val="32"/>
          <w:szCs w:val="32"/>
        </w:rPr>
        <w:t>万元；公务用车购置及运维费</w:t>
      </w:r>
      <w:r>
        <w:rPr>
          <w:rFonts w:hint="eastAsia" w:ascii="仿宋" w:eastAsia="仿宋" w:cs="仿宋"/>
          <w:sz w:val="32"/>
          <w:szCs w:val="32"/>
          <w:lang w:val="en-US" w:eastAsia="zh-CN"/>
        </w:rPr>
        <w:t>15.56</w:t>
      </w:r>
      <w:r>
        <w:rPr>
          <w:rFonts w:hint="eastAsia" w:ascii="仿宋" w:eastAsia="仿宋" w:cs="仿宋"/>
          <w:sz w:val="32"/>
          <w:szCs w:val="32"/>
        </w:rPr>
        <w:t>万元（其中：公务用车购置费为</w:t>
      </w:r>
      <w:r>
        <w:rPr>
          <w:rFonts w:hint="eastAsia" w:ascii="仿宋" w:eastAsia="仿宋" w:cs="仿宋"/>
          <w:sz w:val="32"/>
          <w:szCs w:val="32"/>
          <w:lang w:val="en-US" w:eastAsia="zh-CN"/>
        </w:rPr>
        <w:t>0万元</w:t>
      </w:r>
      <w:r>
        <w:rPr>
          <w:rFonts w:hint="eastAsia" w:ascii="仿宋" w:eastAsia="仿宋" w:cs="仿宋"/>
          <w:sz w:val="32"/>
          <w:szCs w:val="32"/>
        </w:rPr>
        <w:t>，公务用车运行费</w:t>
      </w:r>
      <w:r>
        <w:rPr>
          <w:rFonts w:hint="eastAsia" w:ascii="仿宋" w:eastAsia="仿宋" w:cs="仿宋"/>
          <w:sz w:val="32"/>
          <w:szCs w:val="32"/>
          <w:lang w:val="en-US" w:eastAsia="zh-CN"/>
        </w:rPr>
        <w:t>15.56</w:t>
      </w:r>
      <w:r>
        <w:rPr>
          <w:rFonts w:hint="eastAsia" w:ascii="仿宋" w:eastAsia="仿宋" w:cs="仿宋"/>
          <w:sz w:val="32"/>
          <w:szCs w:val="32"/>
        </w:rPr>
        <w:t>万元)；公务接待费</w:t>
      </w:r>
      <w:r>
        <w:rPr>
          <w:rFonts w:hint="eastAsia" w:ascii="仿宋" w:eastAsia="仿宋" w:cs="仿宋"/>
          <w:sz w:val="32"/>
          <w:szCs w:val="32"/>
          <w:lang w:val="en-US" w:eastAsia="zh-CN"/>
        </w:rPr>
        <w:t>21.04</w:t>
      </w:r>
      <w:r>
        <w:rPr>
          <w:rFonts w:hint="eastAsia" w:ascii="仿宋" w:eastAsia="仿宋" w:cs="仿宋"/>
          <w:sz w:val="32"/>
          <w:szCs w:val="32"/>
        </w:rPr>
        <w:t>万元。与2016年</w:t>
      </w:r>
      <w:r>
        <w:rPr>
          <w:rFonts w:hint="eastAsia" w:ascii="仿宋" w:eastAsia="仿宋" w:cs="仿宋"/>
          <w:color w:val="auto"/>
          <w:sz w:val="32"/>
          <w:szCs w:val="32"/>
          <w:highlight w:val="none"/>
        </w:rPr>
        <w:t>持平</w:t>
      </w:r>
      <w:r>
        <w:rPr>
          <w:rFonts w:hint="eastAsia" w:ascii="仿宋" w:eastAsia="仿宋" w:cs="仿宋"/>
          <w:sz w:val="32"/>
          <w:szCs w:val="32"/>
        </w:rPr>
        <w:t>，</w:t>
      </w:r>
      <w:r>
        <w:rPr>
          <w:rFonts w:hint="eastAsia" w:ascii="仿宋" w:eastAsia="仿宋" w:cs="仿宋"/>
          <w:sz w:val="32"/>
          <w:szCs w:val="32"/>
          <w:lang w:eastAsia="zh-CN"/>
        </w:rPr>
        <w:t>无增减变化。</w:t>
      </w:r>
    </w:p>
    <w:p w14:paraId="74513E53">
      <w:pPr>
        <w:ind w:firstLine="640"/>
        <w:rPr>
          <w:rFonts w:ascii="黑体" w:eastAsia="黑体" w:cs="Times New Roman"/>
          <w:sz w:val="32"/>
          <w:szCs w:val="32"/>
        </w:rPr>
      </w:pPr>
      <w:r>
        <w:rPr>
          <w:rFonts w:hint="eastAsia" w:ascii="黑体" w:eastAsia="黑体" w:cs="Times New Roman"/>
          <w:sz w:val="32"/>
          <w:szCs w:val="32"/>
        </w:rPr>
        <w:t>五、绩效预算信息</w:t>
      </w:r>
    </w:p>
    <w:p w14:paraId="1EB02A0E">
      <w:pPr>
        <w:ind w:firstLine="640" w:firstLineChars="200"/>
        <w:jc w:val="left"/>
        <w:rPr>
          <w:rFonts w:ascii="Times New Roman" w:hAnsi="Times New Roman" w:eastAsia="方正仿宋_GBK" w:cs="Times New Roman"/>
          <w:sz w:val="32"/>
          <w:szCs w:val="32"/>
        </w:rPr>
      </w:pPr>
      <w:bookmarkStart w:id="0" w:name="_Toc471398463"/>
      <w:r>
        <w:rPr>
          <w:rFonts w:hint="eastAsia" w:ascii="楷体" w:eastAsia="楷体" w:cs="楷体"/>
          <w:b/>
          <w:sz w:val="32"/>
          <w:szCs w:val="32"/>
        </w:rPr>
        <w:t>总体绩效目标：</w:t>
      </w:r>
    </w:p>
    <w:p w14:paraId="417E89D2">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2017年我会将以党的十八大精神为指导，紧紧围绕工作职能，以国家实施“一带一路”倡议</w:t>
      </w:r>
      <w:bookmarkStart w:id="2" w:name="_GoBack"/>
      <w:bookmarkEnd w:id="2"/>
      <w:r>
        <w:rPr>
          <w:rFonts w:hint="eastAsia" w:ascii="仿宋" w:eastAsia="仿宋" w:cs="仿宋"/>
          <w:sz w:val="32"/>
          <w:szCs w:val="32"/>
          <w:shd w:val="clear" w:color="auto" w:fill="auto"/>
        </w:rPr>
        <w:t>和京津冀协同发展为契机，突出“绿色、高端”产业，重点加强会展业发展、国际商会、对外联络与宣传、贸易促进与招商引资、企业服务等五个方面的工作，为“十三五”贸促工作发展开好头、起好步，促进贸促工作全面上水平，深入推动全市对外开放和经济发展。</w:t>
      </w:r>
    </w:p>
    <w:p w14:paraId="2DEF766D">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1、加快我市会展业发展，推动转型升级。“十三五”期间，我国会展业进入由会展大国到会展强国的关键转型期，同时，各城市会展业竞争更加激烈，为在新一轮竞争中，抢占先机，2017年我市将以夯实会展基础，积极承接首都会展产业转移为主线，培育和引进京津知名专业展会，大力推进展会品牌建设，确保我市会展业持续健康发展。</w:t>
      </w:r>
    </w:p>
    <w:p w14:paraId="5D39C8ED">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进一步强化会展管理服务职能。加强全市会展的统计、监督和核查工作，做好省、市会展资金申请、补贴工作，开展对国内外会展业的调研，协调解决我市会展业发展过程中存在的问题，提高会展业品牌化、国际化、市场化水平。</w:t>
      </w:r>
    </w:p>
    <w:p w14:paraId="1F41EA36">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大力做好展会引进工作。完善会展环境，做优服务质量，加强京津行业协会、会展机构的联系，宣传我市办展优势，积极承接首都会展产业转移，引进品牌展会。</w:t>
      </w:r>
    </w:p>
    <w:p w14:paraId="78E51C4D">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加快展会品牌建设。大力扶植我市自办展会项目，着重做好国际展会认证、宣传推广及协调服务，争取创成全国乃至世界知名品牌会展。</w:t>
      </w:r>
    </w:p>
    <w:p w14:paraId="1DCEC5C5">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加强会展宣传与营销。2017年着重加强对京津的宣传，通过编发《廊坊贸促信息》、《会展动态》，加强“廊坊会展网”建设，利用全国性会展高峰论坛和峰会、网络媒体等各种方式，形成饱和性宣传，提高我市在省内外的知名度和影响力，促使更多会展移至廊坊。</w:t>
      </w:r>
    </w:p>
    <w:p w14:paraId="77AB9DAE">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继续加强会展人才培训。一是与国内会展机构合作，举办一期会展从业人员培训班，重在提高展会组织水平。二是与会展先进地区开展交流与研讨，汲取先进经验，重在提高会展管理水平。</w:t>
      </w:r>
    </w:p>
    <w:p w14:paraId="486EB93B">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继续做好各大型专项会展项目。2017年继续组织举办河北·廊坊装备制造业博览会、中国国际有机食品展览会、河北国际绿色产业博览会、环渤海汽车后市场服务节，提质提量，扩大规模，通过自主举办各项展览及配套活动，为企业搭建洽谈交流合作的平台，带动我市相关产业的发展，促进我市经济贸易的发展和对外经贸交流与合作。</w:t>
      </w:r>
    </w:p>
    <w:p w14:paraId="6AF8701A">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继续做好全市会展业发展引导资金审批工作，对专项展览项目给予重点支持。</w:t>
      </w:r>
    </w:p>
    <w:p w14:paraId="070B9D48">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2、充分发挥国际商会在服务企业、对外联系中的作用。</w:t>
      </w:r>
    </w:p>
    <w:p w14:paraId="170C6EB7">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2017年国际商会将实施大力拓宽对外联系与合作，狠抓业务，提升服务会员企业质量战略，促进我市国际贸易投资与合作。一是加强与国内、国际商协会组织、商务机构的联系，着力促进我市对外开放。二是组织会员企业举行专项对接座谈会，帮助企业寻求对外贸易投资合作机会。三是举办外贸业务培训班和企业家座谈会或银企对接会，帮助企业提高管理水平和解决资金需求。四是发展壮大国际商会组织建设，吸收一批行业代表性企业加入商会，指导县级国际商会加强组织机构建设，开展贸易促进和招商引资工作，推动县域经济发展。</w:t>
      </w:r>
    </w:p>
    <w:p w14:paraId="2C91798F">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3、扩大对外联络，引进国外团组，促进对外交流与合作。</w:t>
      </w:r>
    </w:p>
    <w:p w14:paraId="4D183C7A">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充分发挥我会对外联络的渠道优势，邀请和接待外国经贸界人士和代表团来我市访问、考察洽谈。为企业提供和搭建国际交流平台，提供专业化服务，帮助我市更多的企业获取最新的市场信息和贸易机会，推动我市企业积极参与国际经贸活动和“一带一路”建设，促进国际贸易和投资。</w:t>
      </w:r>
    </w:p>
    <w:p w14:paraId="08DE18AF">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4、积极组织有关单位和企业参加国内外及区域性展会，进一步促进国际贸易。</w:t>
      </w:r>
    </w:p>
    <w:p w14:paraId="7739261D">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为帮助我市优势产能企业和装备制造企业“走出去”，促进我省企业与海外企业开展广泛的国际贸易与合作，我会计划组织我市装备制造企业和钢管钢材等石油产业链上下游企业分别参加第23届墨西哥石油天然气展览会、2017古巴哈瓦那国际贸易博览会、2017肯尼亚五大行业展，共申请11个展位。通过统一布展，集体展览展示，提升企业签单率和“冀货”品牌的影响力。通过与当地商协会举办对口洽谈活动，拓宽廊坊企业与海外企业的联系渠道。通过系列活动，加快我市装备制造产业对外开放步伐，促进我市装备制造企业与国际企业间的交流与合作。同时组织参加考察国内各地展会8-10次，学习交流，加强联络。</w:t>
      </w:r>
    </w:p>
    <w:p w14:paraId="74EF33EA">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5、为发展我市外向型经济提供高效、优质服务。</w:t>
      </w:r>
    </w:p>
    <w:p w14:paraId="21098613">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随着我市外贸形式逐渐转暖，出口企业办证量不断增加，同时为促进贸易便利化，提高原产地证书签证效率，2017年，我会认真按照相关法律、法规，严格执行货物原产地规则，继续为廊坊市进出口企业办理一般原产地证明书及其他代办业务，为企业提供优质高效的认证服务。</w:t>
      </w:r>
    </w:p>
    <w:p w14:paraId="77C3E177">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举办涉外法律和出证认证业务培训班，就国家对外经贸政策和国外贸易形势对企业骨干进行轮训，提高其专业技能。</w:t>
      </w:r>
    </w:p>
    <w:p w14:paraId="47578757">
      <w:pPr>
        <w:ind w:firstLine="640" w:firstLineChars="200"/>
        <w:rPr>
          <w:rFonts w:hint="eastAsia" w:ascii="仿宋" w:eastAsia="仿宋" w:cs="仿宋"/>
          <w:sz w:val="32"/>
          <w:szCs w:val="32"/>
          <w:shd w:val="clear" w:color="auto" w:fill="auto"/>
        </w:rPr>
      </w:pPr>
      <w:r>
        <w:rPr>
          <w:rFonts w:hint="eastAsia" w:ascii="仿宋" w:eastAsia="仿宋" w:cs="仿宋"/>
          <w:sz w:val="32"/>
          <w:szCs w:val="32"/>
          <w:shd w:val="clear" w:color="auto" w:fill="auto"/>
        </w:rPr>
        <w:t>强化涉外法律服务手段。一是开展涉外法律服务行活动，掌握企业需求，有针对性地搞好服务。二是借助“外力”、“外脑”，邀请国家贸促会、省贸促会法律部及与我市知名律师合作，将资信调查、合同审理、调解、仲裁、法律顾问等业务进行整合，开展“一站式”法律服务。三是完善风险预警信息，继续刊发《涉外法律服务》，转发河北省贸促会《国际商事预警》信息，为企业防范经营风险起到预警作用。</w:t>
      </w:r>
    </w:p>
    <w:p w14:paraId="6CF3385E">
      <w:pPr>
        <w:ind w:firstLine="640" w:firstLineChars="200"/>
        <w:rPr>
          <w:rFonts w:hint="eastAsia" w:ascii="仿宋" w:eastAsia="仿宋" w:cs="仿宋"/>
          <w:sz w:val="32"/>
          <w:szCs w:val="32"/>
          <w:shd w:val="clear" w:color="auto" w:fill="auto"/>
        </w:rPr>
        <w:sectPr>
          <w:footerReference r:id="rId3" w:type="default"/>
          <w:pgSz w:w="16839" w:h="11907" w:orient="landscape"/>
          <w:pgMar w:top="1134" w:right="1531" w:bottom="1134" w:left="1474" w:header="851" w:footer="992" w:gutter="0"/>
          <w:pgNumType w:start="1"/>
          <w:cols w:space="720" w:num="1"/>
          <w:docGrid w:type="linesAndChars" w:linePitch="312" w:charSpace="0"/>
        </w:sectPr>
      </w:pPr>
    </w:p>
    <w:p w14:paraId="23C8B10B">
      <w:pPr>
        <w:ind w:firstLine="640" w:firstLineChars="200"/>
        <w:jc w:val="left"/>
        <w:rPr>
          <w:rFonts w:ascii="Times New Roman" w:hAnsi="Times New Roman" w:eastAsia="方正仿宋_GBK" w:cs="Times New Roman"/>
          <w:b/>
          <w:sz w:val="32"/>
          <w:szCs w:val="32"/>
        </w:rPr>
      </w:pPr>
    </w:p>
    <w:p w14:paraId="3F253AC1">
      <w:pPr>
        <w:ind w:firstLine="643" w:firstLineChars="200"/>
        <w:jc w:val="left"/>
        <w:outlineLvl w:val="0"/>
        <w:rPr>
          <w:rFonts w:ascii="楷体_GB2312" w:eastAsia="楷体_GB2312" w:cs="Times New Roman"/>
          <w:b/>
          <w:sz w:val="32"/>
          <w:szCs w:val="24"/>
        </w:rPr>
      </w:pPr>
      <w:r>
        <w:rPr>
          <w:rFonts w:hint="eastAsia" w:ascii="楷体_GB2312" w:eastAsia="楷体_GB2312" w:cs="Times New Roman"/>
          <w:b/>
          <w:sz w:val="32"/>
          <w:szCs w:val="32"/>
        </w:rPr>
        <w:t>部门职责及工作活动绩效目标指标：</w:t>
      </w:r>
    </w:p>
    <w:p w14:paraId="0DD5889F">
      <w:pPr>
        <w:jc w:val="center"/>
        <w:outlineLvl w:val="0"/>
        <w:rPr>
          <w:rFonts w:ascii="方正小标宋_GBK" w:eastAsia="方正小标宋_GBK" w:cs="Times New Roman"/>
          <w:sz w:val="32"/>
          <w:szCs w:val="24"/>
        </w:rPr>
      </w:pPr>
    </w:p>
    <w:p w14:paraId="0AFEB1E6">
      <w:pPr>
        <w:jc w:val="center"/>
        <w:outlineLvl w:val="0"/>
        <w:rPr>
          <w:rFonts w:ascii="方正小标宋_GBK" w:eastAsia="方正小标宋_GBK" w:cs="Times New Roman"/>
          <w:sz w:val="32"/>
          <w:szCs w:val="24"/>
        </w:rPr>
      </w:pPr>
      <w:r>
        <w:rPr>
          <w:rFonts w:hint="eastAsia" w:ascii="方正小标宋_GBK" w:eastAsia="方正小标宋_GBK" w:cs="Times New Roman"/>
          <w:sz w:val="32"/>
          <w:szCs w:val="24"/>
        </w:rPr>
        <w:t>部门职责-工作活动绩效目标</w:t>
      </w:r>
      <w:bookmarkEnd w:id="0"/>
    </w:p>
    <w:tbl>
      <w:tblPr>
        <w:tblStyle w:val="6"/>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3A9D1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0FBCE5BC">
            <w:pPr>
              <w:spacing w:line="300" w:lineRule="exact"/>
              <w:jc w:val="left"/>
              <w:rPr>
                <w:rFonts w:hint="eastAsia" w:ascii="方正小标宋_GBK" w:eastAsia="方正小标宋_GBK" w:cs="Times New Roman"/>
                <w:sz w:val="18"/>
                <w:szCs w:val="18"/>
                <w:lang w:eastAsia="zh-CN"/>
              </w:rPr>
            </w:pPr>
            <w:r>
              <w:rPr>
                <w:rFonts w:hint="eastAsia" w:ascii="方正小标宋_GBK" w:eastAsia="方正小标宋_GBK" w:cs="Times New Roman"/>
                <w:sz w:val="18"/>
                <w:szCs w:val="18"/>
                <w:lang w:val="en-US" w:eastAsia="zh-CN"/>
              </w:rPr>
              <w:t>708中国国际贸易促进委员会廊坊市委员会</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77E4385C">
            <w:pPr>
              <w:spacing w:line="300" w:lineRule="exact"/>
              <w:jc w:val="right"/>
              <w:rPr>
                <w:rFonts w:ascii="方正书宋_GBK" w:eastAsia="方正书宋_GBK" w:cs="Times New Roman"/>
                <w:sz w:val="18"/>
                <w:szCs w:val="18"/>
              </w:rPr>
            </w:pPr>
            <w:r>
              <w:rPr>
                <w:rFonts w:hint="eastAsia" w:ascii="方正书宋_GBK" w:eastAsia="方正书宋_GBK" w:cs="Times New Roman"/>
                <w:sz w:val="18"/>
                <w:szCs w:val="18"/>
              </w:rPr>
              <w:t>单位：万元</w:t>
            </w:r>
          </w:p>
        </w:tc>
      </w:tr>
      <w:tr w14:paraId="02BE20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0CF9CBFA">
            <w:pPr>
              <w:spacing w:line="300" w:lineRule="exact"/>
              <w:jc w:val="center"/>
              <w:rPr>
                <w:rFonts w:ascii="方正书宋_GBK" w:eastAsia="方正书宋_GBK" w:cs="Times New Roman"/>
                <w:b/>
                <w:sz w:val="18"/>
                <w:szCs w:val="18"/>
              </w:rPr>
            </w:pPr>
            <w:r>
              <w:rPr>
                <w:rFonts w:hint="eastAsia" w:ascii="方正书宋_GBK" w:eastAsia="方正书宋_GBK" w:cs="Times New Roman"/>
                <w:b/>
                <w:sz w:val="18"/>
                <w:szCs w:val="18"/>
              </w:rPr>
              <w:t>职责活动</w:t>
            </w:r>
          </w:p>
        </w:tc>
        <w:tc>
          <w:tcPr>
            <w:tcW w:w="1276" w:type="dxa"/>
            <w:vMerge w:val="restart"/>
            <w:shd w:val="clear" w:color="auto" w:fill="auto"/>
            <w:vAlign w:val="center"/>
          </w:tcPr>
          <w:p w14:paraId="4572B86E">
            <w:pPr>
              <w:spacing w:line="300" w:lineRule="exact"/>
              <w:jc w:val="center"/>
              <w:rPr>
                <w:rFonts w:ascii="方正书宋_GBK" w:eastAsia="方正书宋_GBK" w:cs="Times New Roman"/>
                <w:b/>
                <w:sz w:val="18"/>
                <w:szCs w:val="18"/>
              </w:rPr>
            </w:pPr>
            <w:r>
              <w:rPr>
                <w:rFonts w:hint="eastAsia" w:ascii="方正书宋_GBK" w:eastAsia="方正书宋_GBK" w:cs="Times New Roman"/>
                <w:b/>
                <w:sz w:val="18"/>
                <w:szCs w:val="18"/>
              </w:rPr>
              <w:t>年度预算数</w:t>
            </w:r>
          </w:p>
        </w:tc>
        <w:tc>
          <w:tcPr>
            <w:tcW w:w="2976" w:type="dxa"/>
            <w:vMerge w:val="restart"/>
            <w:shd w:val="clear" w:color="auto" w:fill="auto"/>
            <w:vAlign w:val="center"/>
          </w:tcPr>
          <w:p w14:paraId="5AFCF457">
            <w:pPr>
              <w:spacing w:line="300" w:lineRule="exact"/>
              <w:jc w:val="center"/>
              <w:rPr>
                <w:rFonts w:ascii="方正书宋_GBK" w:eastAsia="方正书宋_GBK" w:cs="Times New Roman"/>
                <w:b/>
                <w:sz w:val="18"/>
                <w:szCs w:val="18"/>
              </w:rPr>
            </w:pPr>
            <w:r>
              <w:rPr>
                <w:rFonts w:hint="eastAsia" w:ascii="方正书宋_GBK" w:eastAsia="方正书宋_GBK" w:cs="Times New Roman"/>
                <w:b/>
                <w:sz w:val="18"/>
                <w:szCs w:val="18"/>
              </w:rPr>
              <w:t>内容描述</w:t>
            </w:r>
          </w:p>
        </w:tc>
        <w:tc>
          <w:tcPr>
            <w:tcW w:w="2976" w:type="dxa"/>
            <w:vMerge w:val="restart"/>
            <w:shd w:val="clear" w:color="auto" w:fill="auto"/>
            <w:vAlign w:val="center"/>
          </w:tcPr>
          <w:p w14:paraId="292BB770">
            <w:pPr>
              <w:spacing w:line="300" w:lineRule="exact"/>
              <w:jc w:val="center"/>
              <w:rPr>
                <w:rFonts w:ascii="方正书宋_GBK" w:eastAsia="方正书宋_GBK" w:cs="Times New Roman"/>
                <w:b/>
                <w:sz w:val="18"/>
                <w:szCs w:val="18"/>
              </w:rPr>
            </w:pPr>
            <w:r>
              <w:rPr>
                <w:rFonts w:hint="eastAsia" w:ascii="方正书宋_GBK" w:eastAsia="方正书宋_GBK" w:cs="Times New Roman"/>
                <w:b/>
                <w:sz w:val="18"/>
                <w:szCs w:val="18"/>
              </w:rPr>
              <w:t>绩效目标</w:t>
            </w:r>
          </w:p>
        </w:tc>
        <w:tc>
          <w:tcPr>
            <w:tcW w:w="1417" w:type="dxa"/>
            <w:vMerge w:val="restart"/>
            <w:shd w:val="clear" w:color="auto" w:fill="auto"/>
            <w:vAlign w:val="center"/>
          </w:tcPr>
          <w:p w14:paraId="4510C9A6">
            <w:pPr>
              <w:spacing w:line="300" w:lineRule="exact"/>
              <w:jc w:val="center"/>
              <w:rPr>
                <w:rFonts w:ascii="方正书宋_GBK" w:eastAsia="方正书宋_GBK" w:cs="Times New Roman"/>
                <w:b/>
                <w:sz w:val="18"/>
                <w:szCs w:val="18"/>
              </w:rPr>
            </w:pPr>
            <w:r>
              <w:rPr>
                <w:rFonts w:hint="eastAsia" w:ascii="方正书宋_GBK" w:eastAsia="方正书宋_GBK" w:cs="Times New Roman"/>
                <w:b/>
                <w:sz w:val="18"/>
                <w:szCs w:val="18"/>
              </w:rPr>
              <w:t>绩效指标</w:t>
            </w:r>
          </w:p>
        </w:tc>
        <w:tc>
          <w:tcPr>
            <w:tcW w:w="2948" w:type="dxa"/>
            <w:gridSpan w:val="4"/>
            <w:shd w:val="clear" w:color="auto" w:fill="auto"/>
            <w:vAlign w:val="center"/>
          </w:tcPr>
          <w:p w14:paraId="7B80F86A">
            <w:pPr>
              <w:spacing w:line="300" w:lineRule="exact"/>
              <w:jc w:val="center"/>
              <w:rPr>
                <w:rFonts w:ascii="方正书宋_GBK" w:eastAsia="方正书宋_GBK" w:cs="Times New Roman"/>
                <w:b/>
                <w:sz w:val="18"/>
                <w:szCs w:val="18"/>
              </w:rPr>
            </w:pPr>
            <w:r>
              <w:rPr>
                <w:rFonts w:hint="eastAsia" w:ascii="方正书宋_GBK" w:eastAsia="方正书宋_GBK" w:cs="Times New Roman"/>
                <w:b/>
                <w:sz w:val="18"/>
                <w:szCs w:val="18"/>
              </w:rPr>
              <w:t>评价标准</w:t>
            </w:r>
          </w:p>
        </w:tc>
      </w:tr>
      <w:tr w14:paraId="42943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497C0541"/>
        </w:tc>
        <w:tc>
          <w:tcPr>
            <w:tcW w:w="1276" w:type="dxa"/>
            <w:vMerge w:val="continue"/>
            <w:shd w:val="clear" w:color="auto" w:fill="auto"/>
            <w:vAlign w:val="center"/>
          </w:tcPr>
          <w:p w14:paraId="4E4528A0"/>
        </w:tc>
        <w:tc>
          <w:tcPr>
            <w:tcW w:w="2976" w:type="dxa"/>
            <w:vMerge w:val="continue"/>
            <w:shd w:val="clear" w:color="auto" w:fill="auto"/>
            <w:vAlign w:val="center"/>
          </w:tcPr>
          <w:p w14:paraId="1D7D2C28"/>
        </w:tc>
        <w:tc>
          <w:tcPr>
            <w:tcW w:w="2976" w:type="dxa"/>
            <w:vMerge w:val="continue"/>
            <w:shd w:val="clear" w:color="auto" w:fill="auto"/>
            <w:vAlign w:val="center"/>
          </w:tcPr>
          <w:p w14:paraId="7802C74B"/>
        </w:tc>
        <w:tc>
          <w:tcPr>
            <w:tcW w:w="1417" w:type="dxa"/>
            <w:vMerge w:val="continue"/>
            <w:shd w:val="clear" w:color="auto" w:fill="auto"/>
            <w:vAlign w:val="center"/>
          </w:tcPr>
          <w:p w14:paraId="7AC19CFA"/>
        </w:tc>
        <w:tc>
          <w:tcPr>
            <w:tcW w:w="737" w:type="dxa"/>
            <w:shd w:val="clear" w:color="auto" w:fill="auto"/>
            <w:vAlign w:val="center"/>
          </w:tcPr>
          <w:p w14:paraId="1AD805B1">
            <w:pPr>
              <w:spacing w:line="300" w:lineRule="exact"/>
              <w:jc w:val="center"/>
              <w:rPr>
                <w:rFonts w:ascii="方正书宋_GBK" w:eastAsia="方正书宋_GBK" w:cs="Times New Roman"/>
                <w:b/>
                <w:sz w:val="18"/>
                <w:szCs w:val="18"/>
              </w:rPr>
            </w:pPr>
            <w:r>
              <w:rPr>
                <w:rFonts w:hint="eastAsia" w:ascii="方正书宋_GBK" w:eastAsia="方正书宋_GBK" w:cs="Times New Roman"/>
                <w:b/>
                <w:sz w:val="18"/>
                <w:szCs w:val="18"/>
              </w:rPr>
              <w:t>优</w:t>
            </w:r>
          </w:p>
        </w:tc>
        <w:tc>
          <w:tcPr>
            <w:tcW w:w="737" w:type="dxa"/>
            <w:shd w:val="clear" w:color="auto" w:fill="auto"/>
            <w:vAlign w:val="center"/>
          </w:tcPr>
          <w:p w14:paraId="20BA0475">
            <w:pPr>
              <w:spacing w:line="300" w:lineRule="exact"/>
              <w:jc w:val="center"/>
              <w:rPr>
                <w:rFonts w:ascii="方正书宋_GBK" w:eastAsia="方正书宋_GBK" w:cs="Times New Roman"/>
                <w:b/>
                <w:sz w:val="18"/>
                <w:szCs w:val="18"/>
              </w:rPr>
            </w:pPr>
            <w:r>
              <w:rPr>
                <w:rFonts w:hint="eastAsia" w:ascii="方正书宋_GBK" w:eastAsia="方正书宋_GBK" w:cs="Times New Roman"/>
                <w:b/>
                <w:sz w:val="18"/>
                <w:szCs w:val="18"/>
              </w:rPr>
              <w:t>良</w:t>
            </w:r>
          </w:p>
        </w:tc>
        <w:tc>
          <w:tcPr>
            <w:tcW w:w="737" w:type="dxa"/>
            <w:shd w:val="clear" w:color="auto" w:fill="auto"/>
            <w:vAlign w:val="center"/>
          </w:tcPr>
          <w:p w14:paraId="43340F07">
            <w:pPr>
              <w:spacing w:line="300" w:lineRule="exact"/>
              <w:jc w:val="center"/>
              <w:rPr>
                <w:rFonts w:ascii="方正书宋_GBK" w:eastAsia="方正书宋_GBK" w:cs="Times New Roman"/>
                <w:b/>
                <w:sz w:val="18"/>
                <w:szCs w:val="18"/>
              </w:rPr>
            </w:pPr>
            <w:r>
              <w:rPr>
                <w:rFonts w:hint="eastAsia" w:ascii="方正书宋_GBK" w:eastAsia="方正书宋_GBK" w:cs="Times New Roman"/>
                <w:b/>
                <w:sz w:val="18"/>
                <w:szCs w:val="18"/>
              </w:rPr>
              <w:t>中</w:t>
            </w:r>
          </w:p>
        </w:tc>
        <w:tc>
          <w:tcPr>
            <w:tcW w:w="737" w:type="dxa"/>
            <w:shd w:val="clear" w:color="auto" w:fill="auto"/>
            <w:vAlign w:val="center"/>
          </w:tcPr>
          <w:p w14:paraId="18C7685D">
            <w:pPr>
              <w:spacing w:line="300" w:lineRule="exact"/>
              <w:jc w:val="center"/>
              <w:rPr>
                <w:rFonts w:ascii="方正书宋_GBK" w:eastAsia="方正书宋_GBK" w:cs="Times New Roman"/>
                <w:b/>
                <w:sz w:val="18"/>
                <w:szCs w:val="18"/>
              </w:rPr>
            </w:pPr>
            <w:r>
              <w:rPr>
                <w:rFonts w:hint="eastAsia" w:ascii="方正书宋_GBK" w:eastAsia="方正书宋_GBK" w:cs="Times New Roman"/>
                <w:b/>
                <w:sz w:val="18"/>
                <w:szCs w:val="18"/>
              </w:rPr>
              <w:t>差</w:t>
            </w:r>
          </w:p>
        </w:tc>
      </w:tr>
      <w:tr w14:paraId="794A66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151556E">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促进国际贸易、投资与交流</w:t>
            </w:r>
          </w:p>
        </w:tc>
        <w:tc>
          <w:tcPr>
            <w:tcW w:w="1276" w:type="dxa"/>
            <w:shd w:val="clear" w:color="auto" w:fill="auto"/>
            <w:vAlign w:val="center"/>
          </w:tcPr>
          <w:p w14:paraId="22808C70">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1526.95</w:t>
            </w:r>
          </w:p>
        </w:tc>
        <w:tc>
          <w:tcPr>
            <w:tcW w:w="2976" w:type="dxa"/>
            <w:shd w:val="clear" w:color="auto" w:fill="auto"/>
            <w:vAlign w:val="center"/>
          </w:tcPr>
          <w:p w14:paraId="54A63979">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引导全市会展业健康有序发展，制定会展业发展规划，引进知名展会，打造地方品牌展会；组织、参加境内、外经济技术展览、博览会，组织市内经贸展览、博览、洽谈会；接待中外经贸界代表团来我市交流访问，组织我市代表团出访；为企业提供涉外商事法律服务</w:t>
            </w:r>
          </w:p>
        </w:tc>
        <w:tc>
          <w:tcPr>
            <w:tcW w:w="2976" w:type="dxa"/>
            <w:shd w:val="clear" w:color="auto" w:fill="auto"/>
            <w:vAlign w:val="center"/>
          </w:tcPr>
          <w:p w14:paraId="186327AF">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在境内外开展多种形式的经贸活动，促进进出口贸易和投资，促进经济技术交流和合作，推动企业参与经济全球化的发展进程；为企业提供涉外商事法律服务，维护企业合法权益</w:t>
            </w:r>
          </w:p>
        </w:tc>
        <w:tc>
          <w:tcPr>
            <w:tcW w:w="1417" w:type="dxa"/>
            <w:shd w:val="clear" w:color="auto" w:fill="auto"/>
            <w:vAlign w:val="center"/>
          </w:tcPr>
          <w:p w14:paraId="43B9C74A">
            <w:pPr>
              <w:spacing w:line="300" w:lineRule="exact"/>
              <w:jc w:val="center"/>
              <w:rPr>
                <w:rFonts w:hint="eastAsia" w:ascii="仿宋" w:eastAsia="仿宋" w:cs="仿宋"/>
                <w:b w:val="0"/>
                <w:bCs/>
                <w:sz w:val="18"/>
                <w:szCs w:val="18"/>
              </w:rPr>
            </w:pPr>
          </w:p>
        </w:tc>
        <w:tc>
          <w:tcPr>
            <w:tcW w:w="737" w:type="dxa"/>
            <w:shd w:val="clear" w:color="auto" w:fill="auto"/>
            <w:vAlign w:val="center"/>
          </w:tcPr>
          <w:p w14:paraId="37E1A722">
            <w:pPr>
              <w:spacing w:line="300" w:lineRule="exact"/>
              <w:jc w:val="center"/>
              <w:rPr>
                <w:rFonts w:hint="eastAsia" w:ascii="仿宋" w:eastAsia="仿宋" w:cs="仿宋"/>
                <w:b w:val="0"/>
                <w:bCs/>
                <w:sz w:val="18"/>
                <w:szCs w:val="18"/>
              </w:rPr>
            </w:pPr>
          </w:p>
        </w:tc>
        <w:tc>
          <w:tcPr>
            <w:tcW w:w="737" w:type="dxa"/>
            <w:shd w:val="clear" w:color="auto" w:fill="auto"/>
            <w:vAlign w:val="center"/>
          </w:tcPr>
          <w:p w14:paraId="633D01B7">
            <w:pPr>
              <w:spacing w:line="300" w:lineRule="exact"/>
              <w:jc w:val="center"/>
              <w:rPr>
                <w:rFonts w:hint="eastAsia" w:ascii="仿宋" w:eastAsia="仿宋" w:cs="仿宋"/>
                <w:b w:val="0"/>
                <w:bCs/>
                <w:sz w:val="18"/>
                <w:szCs w:val="18"/>
              </w:rPr>
            </w:pPr>
          </w:p>
        </w:tc>
        <w:tc>
          <w:tcPr>
            <w:tcW w:w="737" w:type="dxa"/>
            <w:shd w:val="clear" w:color="auto" w:fill="auto"/>
            <w:vAlign w:val="center"/>
          </w:tcPr>
          <w:p w14:paraId="206370DA">
            <w:pPr>
              <w:spacing w:line="300" w:lineRule="exact"/>
              <w:jc w:val="center"/>
              <w:rPr>
                <w:rFonts w:hint="eastAsia" w:ascii="仿宋" w:eastAsia="仿宋" w:cs="仿宋"/>
                <w:b w:val="0"/>
                <w:bCs/>
                <w:sz w:val="18"/>
                <w:szCs w:val="18"/>
              </w:rPr>
            </w:pPr>
          </w:p>
        </w:tc>
        <w:tc>
          <w:tcPr>
            <w:tcW w:w="737" w:type="dxa"/>
            <w:shd w:val="clear" w:color="auto" w:fill="auto"/>
            <w:vAlign w:val="center"/>
          </w:tcPr>
          <w:p w14:paraId="2766339F">
            <w:pPr>
              <w:spacing w:line="300" w:lineRule="exact"/>
              <w:jc w:val="center"/>
              <w:rPr>
                <w:rFonts w:hint="eastAsia" w:ascii="仿宋" w:eastAsia="仿宋" w:cs="仿宋"/>
                <w:b w:val="0"/>
                <w:bCs/>
                <w:sz w:val="18"/>
                <w:szCs w:val="18"/>
              </w:rPr>
            </w:pPr>
          </w:p>
        </w:tc>
      </w:tr>
      <w:tr w14:paraId="1E2B66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328A86A5">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　　举办、参加展（博）览会</w:t>
            </w:r>
          </w:p>
        </w:tc>
        <w:tc>
          <w:tcPr>
            <w:tcW w:w="1276" w:type="dxa"/>
            <w:vMerge w:val="restart"/>
            <w:shd w:val="clear" w:color="auto" w:fill="auto"/>
            <w:vAlign w:val="center"/>
          </w:tcPr>
          <w:p w14:paraId="71CC1BE8">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906.00</w:t>
            </w:r>
          </w:p>
        </w:tc>
        <w:tc>
          <w:tcPr>
            <w:tcW w:w="2976" w:type="dxa"/>
            <w:vMerge w:val="restart"/>
            <w:shd w:val="clear" w:color="auto" w:fill="auto"/>
            <w:vAlign w:val="center"/>
          </w:tcPr>
          <w:p w14:paraId="5E74272B">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举办、参加境内外经贸展览（博）览会、洽谈会，代表本市参加博览会。为企业参加境内外博览会提供信息咨询、业务培训等服务工作。</w:t>
            </w:r>
          </w:p>
        </w:tc>
        <w:tc>
          <w:tcPr>
            <w:tcW w:w="2976" w:type="dxa"/>
            <w:vMerge w:val="restart"/>
            <w:shd w:val="clear" w:color="auto" w:fill="auto"/>
            <w:vAlign w:val="center"/>
          </w:tcPr>
          <w:p w14:paraId="43356AAD">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促进国际贸易和投资，促进经济技术交流和合作，推动企业参与经济全球化的发展进程。</w:t>
            </w:r>
          </w:p>
        </w:tc>
        <w:tc>
          <w:tcPr>
            <w:tcW w:w="1417" w:type="dxa"/>
            <w:shd w:val="clear" w:color="auto" w:fill="auto"/>
            <w:vAlign w:val="center"/>
          </w:tcPr>
          <w:p w14:paraId="14E9904F">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企业满意度</w:t>
            </w:r>
          </w:p>
        </w:tc>
        <w:tc>
          <w:tcPr>
            <w:tcW w:w="737" w:type="dxa"/>
            <w:shd w:val="clear" w:color="auto" w:fill="auto"/>
            <w:vAlign w:val="center"/>
          </w:tcPr>
          <w:p w14:paraId="10D04962">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≥90%</w:t>
            </w:r>
          </w:p>
        </w:tc>
        <w:tc>
          <w:tcPr>
            <w:tcW w:w="737" w:type="dxa"/>
            <w:shd w:val="clear" w:color="auto" w:fill="auto"/>
            <w:vAlign w:val="center"/>
          </w:tcPr>
          <w:p w14:paraId="66E819D7">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≥80%</w:t>
            </w:r>
          </w:p>
        </w:tc>
        <w:tc>
          <w:tcPr>
            <w:tcW w:w="737" w:type="dxa"/>
            <w:shd w:val="clear" w:color="auto" w:fill="auto"/>
            <w:vAlign w:val="center"/>
          </w:tcPr>
          <w:p w14:paraId="0EF1328E">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≥70%</w:t>
            </w:r>
          </w:p>
        </w:tc>
        <w:tc>
          <w:tcPr>
            <w:tcW w:w="737" w:type="dxa"/>
            <w:shd w:val="clear" w:color="auto" w:fill="auto"/>
            <w:vAlign w:val="center"/>
          </w:tcPr>
          <w:p w14:paraId="24618AED">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＜70%</w:t>
            </w:r>
          </w:p>
        </w:tc>
      </w:tr>
      <w:tr w14:paraId="3CA070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046F3B78"/>
        </w:tc>
        <w:tc>
          <w:tcPr>
            <w:tcW w:w="1276" w:type="dxa"/>
            <w:vMerge w:val="continue"/>
            <w:shd w:val="clear" w:color="auto" w:fill="auto"/>
            <w:vAlign w:val="center"/>
          </w:tcPr>
          <w:p w14:paraId="15F2994C"/>
        </w:tc>
        <w:tc>
          <w:tcPr>
            <w:tcW w:w="2976" w:type="dxa"/>
            <w:vMerge w:val="continue"/>
            <w:shd w:val="clear" w:color="auto" w:fill="auto"/>
            <w:vAlign w:val="center"/>
          </w:tcPr>
          <w:p w14:paraId="2A1DE62F"/>
        </w:tc>
        <w:tc>
          <w:tcPr>
            <w:tcW w:w="2976" w:type="dxa"/>
            <w:vMerge w:val="continue"/>
            <w:shd w:val="clear" w:color="auto" w:fill="auto"/>
            <w:vAlign w:val="center"/>
          </w:tcPr>
          <w:p w14:paraId="06A29FB3"/>
        </w:tc>
        <w:tc>
          <w:tcPr>
            <w:tcW w:w="1417" w:type="dxa"/>
            <w:shd w:val="clear" w:color="auto" w:fill="auto"/>
            <w:vAlign w:val="center"/>
          </w:tcPr>
          <w:p w14:paraId="5688FEA2">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自主举办展览、展会活动规模</w:t>
            </w:r>
          </w:p>
        </w:tc>
        <w:tc>
          <w:tcPr>
            <w:tcW w:w="737" w:type="dxa"/>
            <w:shd w:val="clear" w:color="auto" w:fill="auto"/>
            <w:vAlign w:val="center"/>
          </w:tcPr>
          <w:p w14:paraId="205EC81D">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≥5</w:t>
            </w:r>
          </w:p>
        </w:tc>
        <w:tc>
          <w:tcPr>
            <w:tcW w:w="737" w:type="dxa"/>
            <w:shd w:val="clear" w:color="auto" w:fill="auto"/>
            <w:vAlign w:val="center"/>
          </w:tcPr>
          <w:p w14:paraId="200223E7">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≥3</w:t>
            </w:r>
          </w:p>
        </w:tc>
        <w:tc>
          <w:tcPr>
            <w:tcW w:w="737" w:type="dxa"/>
            <w:shd w:val="clear" w:color="auto" w:fill="auto"/>
            <w:vAlign w:val="center"/>
          </w:tcPr>
          <w:p w14:paraId="7764FAD4">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≥2</w:t>
            </w:r>
          </w:p>
        </w:tc>
        <w:tc>
          <w:tcPr>
            <w:tcW w:w="737" w:type="dxa"/>
            <w:shd w:val="clear" w:color="auto" w:fill="auto"/>
            <w:vAlign w:val="center"/>
          </w:tcPr>
          <w:p w14:paraId="56EE5A79">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＜2</w:t>
            </w:r>
          </w:p>
        </w:tc>
      </w:tr>
      <w:tr w14:paraId="26880C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46B18E3F">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　　1.2国内外交流与合作</w:t>
            </w:r>
          </w:p>
        </w:tc>
        <w:tc>
          <w:tcPr>
            <w:tcW w:w="1276" w:type="dxa"/>
            <w:vMerge w:val="restart"/>
            <w:shd w:val="clear" w:color="auto" w:fill="auto"/>
            <w:vAlign w:val="center"/>
          </w:tcPr>
          <w:p w14:paraId="4AFA3BBC">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89.30</w:t>
            </w:r>
          </w:p>
        </w:tc>
        <w:tc>
          <w:tcPr>
            <w:tcW w:w="2976" w:type="dxa"/>
            <w:vMerge w:val="restart"/>
            <w:shd w:val="clear" w:color="auto" w:fill="auto"/>
            <w:vAlign w:val="center"/>
          </w:tcPr>
          <w:p w14:paraId="1D88B416">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开展同世界各国及国内各地的经贸交往，邀请和接待国内外经贸界人士和代表团来廊坊访问、考察洽谈，按规定组织我市经贸代表团出访。</w:t>
            </w:r>
          </w:p>
        </w:tc>
        <w:tc>
          <w:tcPr>
            <w:tcW w:w="2976" w:type="dxa"/>
            <w:vMerge w:val="restart"/>
            <w:shd w:val="clear" w:color="auto" w:fill="auto"/>
            <w:vAlign w:val="center"/>
          </w:tcPr>
          <w:p w14:paraId="465CDE2E">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为境内外企业“请进来”和“走出去”提供专业化服务，为企业“走出去”和境外企业来廊投资搭建沟通交流平台。组织参加各项国内外经贸活动，建立和完善国内外客户资源信息库和招商引资项目库。</w:t>
            </w:r>
          </w:p>
        </w:tc>
        <w:tc>
          <w:tcPr>
            <w:tcW w:w="1417" w:type="dxa"/>
            <w:shd w:val="clear" w:color="auto" w:fill="auto"/>
            <w:vAlign w:val="center"/>
          </w:tcPr>
          <w:p w14:paraId="714C12D4">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企业满意度</w:t>
            </w:r>
          </w:p>
        </w:tc>
        <w:tc>
          <w:tcPr>
            <w:tcW w:w="737" w:type="dxa"/>
            <w:shd w:val="clear" w:color="auto" w:fill="auto"/>
            <w:vAlign w:val="center"/>
          </w:tcPr>
          <w:p w14:paraId="41EB0579">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≥90%</w:t>
            </w:r>
          </w:p>
        </w:tc>
        <w:tc>
          <w:tcPr>
            <w:tcW w:w="737" w:type="dxa"/>
            <w:shd w:val="clear" w:color="auto" w:fill="auto"/>
            <w:vAlign w:val="center"/>
          </w:tcPr>
          <w:p w14:paraId="76E65BB1">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≥80%</w:t>
            </w:r>
          </w:p>
        </w:tc>
        <w:tc>
          <w:tcPr>
            <w:tcW w:w="737" w:type="dxa"/>
            <w:shd w:val="clear" w:color="auto" w:fill="auto"/>
            <w:vAlign w:val="center"/>
          </w:tcPr>
          <w:p w14:paraId="24D830DE">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≥70%</w:t>
            </w:r>
          </w:p>
        </w:tc>
        <w:tc>
          <w:tcPr>
            <w:tcW w:w="737" w:type="dxa"/>
            <w:shd w:val="clear" w:color="auto" w:fill="auto"/>
            <w:vAlign w:val="center"/>
          </w:tcPr>
          <w:p w14:paraId="4A7F57E7">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＜70%</w:t>
            </w:r>
          </w:p>
        </w:tc>
      </w:tr>
      <w:tr w14:paraId="42AF30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3225425"/>
        </w:tc>
        <w:tc>
          <w:tcPr>
            <w:tcW w:w="1276" w:type="dxa"/>
            <w:vMerge w:val="continue"/>
            <w:shd w:val="clear" w:color="auto" w:fill="auto"/>
            <w:vAlign w:val="center"/>
          </w:tcPr>
          <w:p w14:paraId="44F455E8"/>
        </w:tc>
        <w:tc>
          <w:tcPr>
            <w:tcW w:w="2976" w:type="dxa"/>
            <w:vMerge w:val="continue"/>
            <w:shd w:val="clear" w:color="auto" w:fill="auto"/>
            <w:vAlign w:val="center"/>
          </w:tcPr>
          <w:p w14:paraId="300E3AFD"/>
        </w:tc>
        <w:tc>
          <w:tcPr>
            <w:tcW w:w="2976" w:type="dxa"/>
            <w:vMerge w:val="continue"/>
            <w:shd w:val="clear" w:color="auto" w:fill="auto"/>
            <w:vAlign w:val="center"/>
          </w:tcPr>
          <w:p w14:paraId="0C79AAD7"/>
        </w:tc>
        <w:tc>
          <w:tcPr>
            <w:tcW w:w="1417" w:type="dxa"/>
            <w:shd w:val="clear" w:color="auto" w:fill="auto"/>
            <w:vAlign w:val="center"/>
          </w:tcPr>
          <w:p w14:paraId="7650E435">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组织参加国内外经贸活动情况</w:t>
            </w:r>
          </w:p>
        </w:tc>
        <w:tc>
          <w:tcPr>
            <w:tcW w:w="737" w:type="dxa"/>
            <w:shd w:val="clear" w:color="auto" w:fill="auto"/>
            <w:vAlign w:val="center"/>
          </w:tcPr>
          <w:p w14:paraId="0C138AE2">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≥20</w:t>
            </w:r>
          </w:p>
        </w:tc>
        <w:tc>
          <w:tcPr>
            <w:tcW w:w="737" w:type="dxa"/>
            <w:shd w:val="clear" w:color="auto" w:fill="auto"/>
            <w:vAlign w:val="center"/>
          </w:tcPr>
          <w:p w14:paraId="6ACB28AA">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≥15</w:t>
            </w:r>
          </w:p>
        </w:tc>
        <w:tc>
          <w:tcPr>
            <w:tcW w:w="737" w:type="dxa"/>
            <w:shd w:val="clear" w:color="auto" w:fill="auto"/>
            <w:vAlign w:val="center"/>
          </w:tcPr>
          <w:p w14:paraId="09163744">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≥10</w:t>
            </w:r>
          </w:p>
        </w:tc>
        <w:tc>
          <w:tcPr>
            <w:tcW w:w="737" w:type="dxa"/>
            <w:shd w:val="clear" w:color="auto" w:fill="auto"/>
            <w:vAlign w:val="center"/>
          </w:tcPr>
          <w:p w14:paraId="3813938B">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＜10</w:t>
            </w:r>
          </w:p>
        </w:tc>
      </w:tr>
      <w:tr w14:paraId="5DA976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01762012">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　　会展业发展</w:t>
            </w:r>
          </w:p>
        </w:tc>
        <w:tc>
          <w:tcPr>
            <w:tcW w:w="1276" w:type="dxa"/>
            <w:vMerge w:val="restart"/>
            <w:shd w:val="clear" w:color="auto" w:fill="auto"/>
            <w:vAlign w:val="center"/>
          </w:tcPr>
          <w:p w14:paraId="66C9C3F1">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517.90</w:t>
            </w:r>
          </w:p>
        </w:tc>
        <w:tc>
          <w:tcPr>
            <w:tcW w:w="2976" w:type="dxa"/>
            <w:vMerge w:val="restart"/>
            <w:shd w:val="clear" w:color="auto" w:fill="auto"/>
            <w:vAlign w:val="center"/>
          </w:tcPr>
          <w:p w14:paraId="619E2A07">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制定会展业中长期发展规划，维护会展业发展秩序，积极引进国际国内知名品牌展会，扶持和打造地方品牌展会，调查统计发布会展业成果和信息。</w:t>
            </w:r>
          </w:p>
        </w:tc>
        <w:tc>
          <w:tcPr>
            <w:tcW w:w="2976" w:type="dxa"/>
            <w:vMerge w:val="restart"/>
            <w:shd w:val="clear" w:color="auto" w:fill="auto"/>
            <w:vAlign w:val="center"/>
          </w:tcPr>
          <w:p w14:paraId="66130E92">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引导行业健康有序发展，建立行业信息平台，为我省会展业健康发展建言献策，科学制定会展发展政策，提升从业人员素质，借鉴其他地区先进行业管理模式和工作经验，健全行业引导和管理规范，支持、培育、打造品牌会展项目</w:t>
            </w:r>
          </w:p>
        </w:tc>
        <w:tc>
          <w:tcPr>
            <w:tcW w:w="1417" w:type="dxa"/>
            <w:shd w:val="clear" w:color="auto" w:fill="auto"/>
            <w:vAlign w:val="center"/>
          </w:tcPr>
          <w:p w14:paraId="259CE6A6">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全市重点展览会计划完成率</w:t>
            </w:r>
          </w:p>
        </w:tc>
        <w:tc>
          <w:tcPr>
            <w:tcW w:w="737" w:type="dxa"/>
            <w:shd w:val="clear" w:color="auto" w:fill="auto"/>
            <w:vAlign w:val="center"/>
          </w:tcPr>
          <w:p w14:paraId="252652D3">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≥95%</w:t>
            </w:r>
          </w:p>
        </w:tc>
        <w:tc>
          <w:tcPr>
            <w:tcW w:w="737" w:type="dxa"/>
            <w:shd w:val="clear" w:color="auto" w:fill="auto"/>
            <w:vAlign w:val="center"/>
          </w:tcPr>
          <w:p w14:paraId="7504F30A">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≥80%</w:t>
            </w:r>
          </w:p>
        </w:tc>
        <w:tc>
          <w:tcPr>
            <w:tcW w:w="737" w:type="dxa"/>
            <w:shd w:val="clear" w:color="auto" w:fill="auto"/>
            <w:vAlign w:val="center"/>
          </w:tcPr>
          <w:p w14:paraId="4A305E1E">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≥75%</w:t>
            </w:r>
          </w:p>
        </w:tc>
        <w:tc>
          <w:tcPr>
            <w:tcW w:w="737" w:type="dxa"/>
            <w:shd w:val="clear" w:color="auto" w:fill="auto"/>
            <w:vAlign w:val="center"/>
          </w:tcPr>
          <w:p w14:paraId="57687308">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＜60%</w:t>
            </w:r>
          </w:p>
        </w:tc>
      </w:tr>
      <w:tr w14:paraId="540F2E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46FEAEC"/>
        </w:tc>
        <w:tc>
          <w:tcPr>
            <w:tcW w:w="1276" w:type="dxa"/>
            <w:vMerge w:val="continue"/>
            <w:shd w:val="clear" w:color="auto" w:fill="auto"/>
            <w:vAlign w:val="center"/>
          </w:tcPr>
          <w:p w14:paraId="1C825490"/>
        </w:tc>
        <w:tc>
          <w:tcPr>
            <w:tcW w:w="2976" w:type="dxa"/>
            <w:vMerge w:val="continue"/>
            <w:shd w:val="clear" w:color="auto" w:fill="auto"/>
            <w:vAlign w:val="center"/>
          </w:tcPr>
          <w:p w14:paraId="4D1F987E"/>
        </w:tc>
        <w:tc>
          <w:tcPr>
            <w:tcW w:w="2976" w:type="dxa"/>
            <w:vMerge w:val="continue"/>
            <w:shd w:val="clear" w:color="auto" w:fill="auto"/>
            <w:vAlign w:val="center"/>
          </w:tcPr>
          <w:p w14:paraId="3AB81F26"/>
        </w:tc>
        <w:tc>
          <w:tcPr>
            <w:tcW w:w="1417" w:type="dxa"/>
            <w:shd w:val="clear" w:color="auto" w:fill="auto"/>
            <w:vAlign w:val="center"/>
          </w:tcPr>
          <w:p w14:paraId="6A696CF4">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市级会展业发展资金使用率</w:t>
            </w:r>
          </w:p>
        </w:tc>
        <w:tc>
          <w:tcPr>
            <w:tcW w:w="737" w:type="dxa"/>
            <w:shd w:val="clear" w:color="auto" w:fill="auto"/>
            <w:vAlign w:val="center"/>
          </w:tcPr>
          <w:p w14:paraId="29EEB69E">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≥95%</w:t>
            </w:r>
          </w:p>
        </w:tc>
        <w:tc>
          <w:tcPr>
            <w:tcW w:w="737" w:type="dxa"/>
            <w:shd w:val="clear" w:color="auto" w:fill="auto"/>
            <w:vAlign w:val="center"/>
          </w:tcPr>
          <w:p w14:paraId="2CA9BBE8">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≥85%</w:t>
            </w:r>
          </w:p>
        </w:tc>
        <w:tc>
          <w:tcPr>
            <w:tcW w:w="737" w:type="dxa"/>
            <w:shd w:val="clear" w:color="auto" w:fill="auto"/>
            <w:vAlign w:val="center"/>
          </w:tcPr>
          <w:p w14:paraId="3395FE81">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≥75%</w:t>
            </w:r>
          </w:p>
        </w:tc>
        <w:tc>
          <w:tcPr>
            <w:tcW w:w="737" w:type="dxa"/>
            <w:shd w:val="clear" w:color="auto" w:fill="auto"/>
            <w:vAlign w:val="center"/>
          </w:tcPr>
          <w:p w14:paraId="48EF4B0A">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＜60%</w:t>
            </w:r>
          </w:p>
        </w:tc>
      </w:tr>
      <w:tr w14:paraId="4BB419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2905B3B"/>
        </w:tc>
        <w:tc>
          <w:tcPr>
            <w:tcW w:w="1276" w:type="dxa"/>
            <w:vMerge w:val="continue"/>
            <w:shd w:val="clear" w:color="auto" w:fill="auto"/>
            <w:vAlign w:val="center"/>
          </w:tcPr>
          <w:p w14:paraId="270C3705"/>
        </w:tc>
        <w:tc>
          <w:tcPr>
            <w:tcW w:w="2976" w:type="dxa"/>
            <w:vMerge w:val="continue"/>
            <w:shd w:val="clear" w:color="auto" w:fill="auto"/>
            <w:vAlign w:val="center"/>
          </w:tcPr>
          <w:p w14:paraId="23B6ACE9"/>
        </w:tc>
        <w:tc>
          <w:tcPr>
            <w:tcW w:w="2976" w:type="dxa"/>
            <w:vMerge w:val="continue"/>
            <w:shd w:val="clear" w:color="auto" w:fill="auto"/>
            <w:vAlign w:val="center"/>
          </w:tcPr>
          <w:p w14:paraId="58BD8881"/>
        </w:tc>
        <w:tc>
          <w:tcPr>
            <w:tcW w:w="1417" w:type="dxa"/>
            <w:shd w:val="clear" w:color="auto" w:fill="auto"/>
            <w:vAlign w:val="center"/>
          </w:tcPr>
          <w:p w14:paraId="3E4B52B1">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年度培训行业从业者人次</w:t>
            </w:r>
          </w:p>
        </w:tc>
        <w:tc>
          <w:tcPr>
            <w:tcW w:w="737" w:type="dxa"/>
            <w:shd w:val="clear" w:color="auto" w:fill="auto"/>
            <w:vAlign w:val="center"/>
          </w:tcPr>
          <w:p w14:paraId="56C84060">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≥80</w:t>
            </w:r>
          </w:p>
        </w:tc>
        <w:tc>
          <w:tcPr>
            <w:tcW w:w="737" w:type="dxa"/>
            <w:shd w:val="clear" w:color="auto" w:fill="auto"/>
            <w:vAlign w:val="center"/>
          </w:tcPr>
          <w:p w14:paraId="0CF03537">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≥60</w:t>
            </w:r>
          </w:p>
        </w:tc>
        <w:tc>
          <w:tcPr>
            <w:tcW w:w="737" w:type="dxa"/>
            <w:shd w:val="clear" w:color="auto" w:fill="auto"/>
            <w:vAlign w:val="center"/>
          </w:tcPr>
          <w:p w14:paraId="71634720">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≥50</w:t>
            </w:r>
          </w:p>
        </w:tc>
        <w:tc>
          <w:tcPr>
            <w:tcW w:w="737" w:type="dxa"/>
            <w:shd w:val="clear" w:color="auto" w:fill="auto"/>
            <w:vAlign w:val="center"/>
          </w:tcPr>
          <w:p w14:paraId="3EAD39A3">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＜50</w:t>
            </w:r>
          </w:p>
        </w:tc>
      </w:tr>
      <w:tr w14:paraId="4FD222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0F4438AD">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　　涉外商事法律服务</w:t>
            </w:r>
          </w:p>
        </w:tc>
        <w:tc>
          <w:tcPr>
            <w:tcW w:w="1276" w:type="dxa"/>
            <w:vMerge w:val="restart"/>
            <w:shd w:val="clear" w:color="auto" w:fill="auto"/>
            <w:vAlign w:val="center"/>
          </w:tcPr>
          <w:p w14:paraId="768D2503">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13.75</w:t>
            </w:r>
          </w:p>
        </w:tc>
        <w:tc>
          <w:tcPr>
            <w:tcW w:w="2976" w:type="dxa"/>
            <w:vMerge w:val="restart"/>
            <w:shd w:val="clear" w:color="auto" w:fill="auto"/>
            <w:vAlign w:val="center"/>
          </w:tcPr>
          <w:p w14:paraId="5A5BFC56">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代言工商，受理国内外商事法律咨询与投诉，解决各类国际商事争议，提供风险预警和法律援助，应对和解决国际贸易摩擦与纠纷，为企业提供国际商事法律培训和各类国际贸易认证服务。</w:t>
            </w:r>
          </w:p>
        </w:tc>
        <w:tc>
          <w:tcPr>
            <w:tcW w:w="2976" w:type="dxa"/>
            <w:vMerge w:val="restart"/>
            <w:shd w:val="clear" w:color="auto" w:fill="auto"/>
            <w:vAlign w:val="center"/>
          </w:tcPr>
          <w:p w14:paraId="570D2ACF">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帮助企业规避风险、解决国际商事争议、维护企业合法权益。</w:t>
            </w:r>
          </w:p>
        </w:tc>
        <w:tc>
          <w:tcPr>
            <w:tcW w:w="1417" w:type="dxa"/>
            <w:shd w:val="clear" w:color="auto" w:fill="auto"/>
            <w:vAlign w:val="center"/>
          </w:tcPr>
          <w:p w14:paraId="1646A0AD">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企业满意度</w:t>
            </w:r>
          </w:p>
        </w:tc>
        <w:tc>
          <w:tcPr>
            <w:tcW w:w="737" w:type="dxa"/>
            <w:shd w:val="clear" w:color="auto" w:fill="auto"/>
            <w:vAlign w:val="center"/>
          </w:tcPr>
          <w:p w14:paraId="0C305157">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≥90%</w:t>
            </w:r>
          </w:p>
        </w:tc>
        <w:tc>
          <w:tcPr>
            <w:tcW w:w="737" w:type="dxa"/>
            <w:shd w:val="clear" w:color="auto" w:fill="auto"/>
            <w:vAlign w:val="center"/>
          </w:tcPr>
          <w:p w14:paraId="6A27F467">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≥80%</w:t>
            </w:r>
          </w:p>
        </w:tc>
        <w:tc>
          <w:tcPr>
            <w:tcW w:w="737" w:type="dxa"/>
            <w:shd w:val="clear" w:color="auto" w:fill="auto"/>
            <w:vAlign w:val="center"/>
          </w:tcPr>
          <w:p w14:paraId="1ECBC7F2">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≥70%</w:t>
            </w:r>
          </w:p>
        </w:tc>
        <w:tc>
          <w:tcPr>
            <w:tcW w:w="737" w:type="dxa"/>
            <w:shd w:val="clear" w:color="auto" w:fill="auto"/>
            <w:vAlign w:val="center"/>
          </w:tcPr>
          <w:p w14:paraId="07D7CC8D">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＜70%</w:t>
            </w:r>
          </w:p>
        </w:tc>
      </w:tr>
      <w:tr w14:paraId="003676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8BD97EC"/>
        </w:tc>
        <w:tc>
          <w:tcPr>
            <w:tcW w:w="1276" w:type="dxa"/>
            <w:vMerge w:val="continue"/>
            <w:shd w:val="clear" w:color="auto" w:fill="auto"/>
            <w:vAlign w:val="center"/>
          </w:tcPr>
          <w:p w14:paraId="360BB56D"/>
        </w:tc>
        <w:tc>
          <w:tcPr>
            <w:tcW w:w="2976" w:type="dxa"/>
            <w:vMerge w:val="continue"/>
            <w:shd w:val="clear" w:color="auto" w:fill="auto"/>
            <w:vAlign w:val="center"/>
          </w:tcPr>
          <w:p w14:paraId="3294B7D3"/>
        </w:tc>
        <w:tc>
          <w:tcPr>
            <w:tcW w:w="2976" w:type="dxa"/>
            <w:vMerge w:val="continue"/>
            <w:shd w:val="clear" w:color="auto" w:fill="auto"/>
            <w:vAlign w:val="center"/>
          </w:tcPr>
          <w:p w14:paraId="02C122F2"/>
        </w:tc>
        <w:tc>
          <w:tcPr>
            <w:tcW w:w="1417" w:type="dxa"/>
            <w:shd w:val="clear" w:color="auto" w:fill="auto"/>
            <w:vAlign w:val="center"/>
          </w:tcPr>
          <w:p w14:paraId="66477840">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提供法律服务的次数</w:t>
            </w:r>
          </w:p>
        </w:tc>
        <w:tc>
          <w:tcPr>
            <w:tcW w:w="737" w:type="dxa"/>
            <w:shd w:val="clear" w:color="auto" w:fill="auto"/>
            <w:vAlign w:val="center"/>
          </w:tcPr>
          <w:p w14:paraId="70FAF00C">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≥3</w:t>
            </w:r>
          </w:p>
        </w:tc>
        <w:tc>
          <w:tcPr>
            <w:tcW w:w="737" w:type="dxa"/>
            <w:shd w:val="clear" w:color="auto" w:fill="auto"/>
            <w:vAlign w:val="center"/>
          </w:tcPr>
          <w:p w14:paraId="1E50E92A">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2</w:t>
            </w:r>
          </w:p>
        </w:tc>
        <w:tc>
          <w:tcPr>
            <w:tcW w:w="737" w:type="dxa"/>
            <w:shd w:val="clear" w:color="auto" w:fill="auto"/>
            <w:vAlign w:val="center"/>
          </w:tcPr>
          <w:p w14:paraId="4AE50520">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1</w:t>
            </w:r>
          </w:p>
        </w:tc>
        <w:tc>
          <w:tcPr>
            <w:tcW w:w="737" w:type="dxa"/>
            <w:shd w:val="clear" w:color="auto" w:fill="auto"/>
            <w:vAlign w:val="center"/>
          </w:tcPr>
          <w:p w14:paraId="1EBC78F8">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0</w:t>
            </w:r>
          </w:p>
        </w:tc>
      </w:tr>
      <w:tr w14:paraId="33D993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A1901B3"/>
        </w:tc>
        <w:tc>
          <w:tcPr>
            <w:tcW w:w="1276" w:type="dxa"/>
            <w:vMerge w:val="continue"/>
            <w:shd w:val="clear" w:color="auto" w:fill="auto"/>
            <w:vAlign w:val="center"/>
          </w:tcPr>
          <w:p w14:paraId="66EEB7DE"/>
        </w:tc>
        <w:tc>
          <w:tcPr>
            <w:tcW w:w="2976" w:type="dxa"/>
            <w:vMerge w:val="continue"/>
            <w:shd w:val="clear" w:color="auto" w:fill="auto"/>
            <w:vAlign w:val="center"/>
          </w:tcPr>
          <w:p w14:paraId="36398688"/>
        </w:tc>
        <w:tc>
          <w:tcPr>
            <w:tcW w:w="2976" w:type="dxa"/>
            <w:vMerge w:val="continue"/>
            <w:shd w:val="clear" w:color="auto" w:fill="auto"/>
            <w:vAlign w:val="center"/>
          </w:tcPr>
          <w:p w14:paraId="7F00A521"/>
        </w:tc>
        <w:tc>
          <w:tcPr>
            <w:tcW w:w="1417" w:type="dxa"/>
            <w:shd w:val="clear" w:color="auto" w:fill="auto"/>
            <w:vAlign w:val="center"/>
          </w:tcPr>
          <w:p w14:paraId="56DF5BDD">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办理证书的数量</w:t>
            </w:r>
          </w:p>
        </w:tc>
        <w:tc>
          <w:tcPr>
            <w:tcW w:w="737" w:type="dxa"/>
            <w:shd w:val="clear" w:color="auto" w:fill="auto"/>
            <w:vAlign w:val="center"/>
          </w:tcPr>
          <w:p w14:paraId="28155DCD">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≥5000</w:t>
            </w:r>
          </w:p>
        </w:tc>
        <w:tc>
          <w:tcPr>
            <w:tcW w:w="737" w:type="dxa"/>
            <w:shd w:val="clear" w:color="auto" w:fill="auto"/>
            <w:vAlign w:val="center"/>
          </w:tcPr>
          <w:p w14:paraId="2FC001F0">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≥4000</w:t>
            </w:r>
          </w:p>
        </w:tc>
        <w:tc>
          <w:tcPr>
            <w:tcW w:w="737" w:type="dxa"/>
            <w:shd w:val="clear" w:color="auto" w:fill="auto"/>
            <w:vAlign w:val="center"/>
          </w:tcPr>
          <w:p w14:paraId="2E90FE06">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≥3500</w:t>
            </w:r>
          </w:p>
        </w:tc>
        <w:tc>
          <w:tcPr>
            <w:tcW w:w="737" w:type="dxa"/>
            <w:shd w:val="clear" w:color="auto" w:fill="auto"/>
            <w:vAlign w:val="center"/>
          </w:tcPr>
          <w:p w14:paraId="5D96EECC">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＜3500</w:t>
            </w:r>
          </w:p>
        </w:tc>
      </w:tr>
      <w:tr w14:paraId="107B48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FE7C08F">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贸促事务管理</w:t>
            </w:r>
          </w:p>
        </w:tc>
        <w:tc>
          <w:tcPr>
            <w:tcW w:w="1276" w:type="dxa"/>
            <w:shd w:val="clear" w:color="auto" w:fill="auto"/>
            <w:vAlign w:val="center"/>
          </w:tcPr>
          <w:p w14:paraId="4552B05B">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149.72</w:t>
            </w:r>
          </w:p>
        </w:tc>
        <w:tc>
          <w:tcPr>
            <w:tcW w:w="2976" w:type="dxa"/>
            <w:shd w:val="clear" w:color="auto" w:fill="auto"/>
            <w:vAlign w:val="center"/>
          </w:tcPr>
          <w:p w14:paraId="21583A7A">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负责本系统的组织建设和业务建设；研究经贸领域的问题，向市政府及有关部门反映企业界有关情况和意见，向企业提供参指导见；为企业开拓国际市场提供专业化服务。</w:t>
            </w:r>
          </w:p>
        </w:tc>
        <w:tc>
          <w:tcPr>
            <w:tcW w:w="2976" w:type="dxa"/>
            <w:shd w:val="clear" w:color="auto" w:fill="auto"/>
            <w:vAlign w:val="center"/>
          </w:tcPr>
          <w:p w14:paraId="55B3760B">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提高商会机构凝聚力，吸收新会员，壮大商会实力；建立和完经贸信息库，完成调研课题。</w:t>
            </w:r>
          </w:p>
        </w:tc>
        <w:tc>
          <w:tcPr>
            <w:tcW w:w="1417" w:type="dxa"/>
            <w:shd w:val="clear" w:color="auto" w:fill="auto"/>
            <w:vAlign w:val="center"/>
          </w:tcPr>
          <w:p w14:paraId="6CB840EA">
            <w:pPr>
              <w:spacing w:line="300" w:lineRule="exact"/>
              <w:jc w:val="center"/>
              <w:rPr>
                <w:rFonts w:hint="eastAsia" w:ascii="仿宋" w:eastAsia="仿宋" w:cs="仿宋"/>
                <w:b w:val="0"/>
                <w:bCs/>
                <w:sz w:val="18"/>
                <w:szCs w:val="18"/>
              </w:rPr>
            </w:pPr>
          </w:p>
        </w:tc>
        <w:tc>
          <w:tcPr>
            <w:tcW w:w="737" w:type="dxa"/>
            <w:shd w:val="clear" w:color="auto" w:fill="auto"/>
            <w:vAlign w:val="center"/>
          </w:tcPr>
          <w:p w14:paraId="77046A7D">
            <w:pPr>
              <w:spacing w:line="300" w:lineRule="exact"/>
              <w:jc w:val="center"/>
              <w:rPr>
                <w:rFonts w:hint="eastAsia" w:ascii="仿宋" w:eastAsia="仿宋" w:cs="仿宋"/>
                <w:b w:val="0"/>
                <w:bCs/>
                <w:sz w:val="18"/>
                <w:szCs w:val="18"/>
              </w:rPr>
            </w:pPr>
          </w:p>
        </w:tc>
        <w:tc>
          <w:tcPr>
            <w:tcW w:w="737" w:type="dxa"/>
            <w:shd w:val="clear" w:color="auto" w:fill="auto"/>
            <w:vAlign w:val="center"/>
          </w:tcPr>
          <w:p w14:paraId="21634671">
            <w:pPr>
              <w:spacing w:line="300" w:lineRule="exact"/>
              <w:jc w:val="center"/>
              <w:rPr>
                <w:rFonts w:hint="eastAsia" w:ascii="仿宋" w:eastAsia="仿宋" w:cs="仿宋"/>
                <w:b w:val="0"/>
                <w:bCs/>
                <w:sz w:val="18"/>
                <w:szCs w:val="18"/>
              </w:rPr>
            </w:pPr>
          </w:p>
        </w:tc>
        <w:tc>
          <w:tcPr>
            <w:tcW w:w="737" w:type="dxa"/>
            <w:shd w:val="clear" w:color="auto" w:fill="auto"/>
            <w:vAlign w:val="center"/>
          </w:tcPr>
          <w:p w14:paraId="5D385069">
            <w:pPr>
              <w:spacing w:line="300" w:lineRule="exact"/>
              <w:jc w:val="center"/>
              <w:rPr>
                <w:rFonts w:hint="eastAsia" w:ascii="仿宋" w:eastAsia="仿宋" w:cs="仿宋"/>
                <w:b w:val="0"/>
                <w:bCs/>
                <w:sz w:val="18"/>
                <w:szCs w:val="18"/>
              </w:rPr>
            </w:pPr>
          </w:p>
        </w:tc>
        <w:tc>
          <w:tcPr>
            <w:tcW w:w="737" w:type="dxa"/>
            <w:shd w:val="clear" w:color="auto" w:fill="auto"/>
            <w:vAlign w:val="center"/>
          </w:tcPr>
          <w:p w14:paraId="5DFC17C2">
            <w:pPr>
              <w:spacing w:line="300" w:lineRule="exact"/>
              <w:jc w:val="center"/>
              <w:rPr>
                <w:rFonts w:hint="eastAsia" w:ascii="仿宋" w:eastAsia="仿宋" w:cs="仿宋"/>
                <w:b w:val="0"/>
                <w:bCs/>
                <w:sz w:val="18"/>
                <w:szCs w:val="18"/>
              </w:rPr>
            </w:pPr>
          </w:p>
        </w:tc>
      </w:tr>
      <w:tr w14:paraId="1A5A6D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17A1819C">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　　贸促事务管理</w:t>
            </w:r>
          </w:p>
        </w:tc>
        <w:tc>
          <w:tcPr>
            <w:tcW w:w="1276" w:type="dxa"/>
            <w:vMerge w:val="restart"/>
            <w:shd w:val="clear" w:color="auto" w:fill="auto"/>
            <w:vAlign w:val="center"/>
          </w:tcPr>
          <w:p w14:paraId="311DF982">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149.72</w:t>
            </w:r>
          </w:p>
        </w:tc>
        <w:tc>
          <w:tcPr>
            <w:tcW w:w="2976" w:type="dxa"/>
            <w:vMerge w:val="restart"/>
            <w:shd w:val="clear" w:color="auto" w:fill="auto"/>
            <w:vAlign w:val="center"/>
          </w:tcPr>
          <w:p w14:paraId="08442A54">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加强和推动基层和行业贸促机构建设，组织业务交流、培训，发展国际商会会员；利用经贸促进机构网络渠道提供国际经贸信息服务，研究国际国内经贸动态和市场发展趋势，收集、整理、传递和发布国际经贸信息，为全省企业和境外客商提供经贸信息咨询服务等。加强机关建设，创建文明机关。完成上级部门交办的乡村建设、扶贫帮困等工作</w:t>
            </w:r>
          </w:p>
        </w:tc>
        <w:tc>
          <w:tcPr>
            <w:tcW w:w="2976" w:type="dxa"/>
            <w:vMerge w:val="restart"/>
            <w:shd w:val="clear" w:color="auto" w:fill="auto"/>
            <w:vAlign w:val="center"/>
          </w:tcPr>
          <w:p w14:paraId="4BD0C691">
            <w:pPr>
              <w:spacing w:line="300" w:lineRule="exact"/>
              <w:jc w:val="left"/>
              <w:rPr>
                <w:rFonts w:hint="eastAsia" w:ascii="仿宋" w:eastAsia="仿宋" w:cs="仿宋"/>
                <w:b w:val="0"/>
                <w:bCs/>
                <w:sz w:val="18"/>
                <w:szCs w:val="18"/>
              </w:rPr>
            </w:pPr>
            <w:r>
              <w:rPr>
                <w:rFonts w:hint="eastAsia" w:ascii="仿宋" w:eastAsia="仿宋" w:cs="仿宋"/>
                <w:b w:val="0"/>
                <w:bCs/>
                <w:sz w:val="18"/>
                <w:szCs w:val="18"/>
              </w:rPr>
              <w:t>加强和推动基层和行业贸促机构建设，组织业务交流、培训，发展国际商会会员；利用经贸促进机构网络渠道提供国际经贸信息服务，研究国际国内经贸动态和市场发展趋势，收集、整理、传递和发布国际经贸信息，为全市企业和境外客商提供经贸信息咨询服务等。加强机关建设创建文明机关。助力乡村建设，解决实际发展困难，帮助困难</w:t>
            </w:r>
            <w:r>
              <w:rPr>
                <w:rFonts w:hint="eastAsia" w:ascii="仿宋" w:eastAsia="仿宋" w:cs="仿宋"/>
                <w:b w:val="0"/>
                <w:bCs/>
                <w:sz w:val="18"/>
                <w:szCs w:val="18"/>
                <w:lang w:val="en-US" w:eastAsia="zh-CN"/>
              </w:rPr>
              <w:t xml:space="preserve">      </w:t>
            </w:r>
            <w:r>
              <w:rPr>
                <w:rFonts w:hint="eastAsia" w:ascii="仿宋" w:eastAsia="仿宋" w:cs="仿宋"/>
                <w:b w:val="0"/>
                <w:bCs/>
                <w:sz w:val="18"/>
                <w:szCs w:val="18"/>
              </w:rPr>
              <w:t>群众，提升生活质量。</w:t>
            </w:r>
          </w:p>
        </w:tc>
        <w:tc>
          <w:tcPr>
            <w:tcW w:w="1417" w:type="dxa"/>
            <w:shd w:val="clear" w:color="auto" w:fill="auto"/>
            <w:vAlign w:val="center"/>
          </w:tcPr>
          <w:p w14:paraId="5AF1DB40">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完成帮扶项目1个</w:t>
            </w:r>
          </w:p>
        </w:tc>
        <w:tc>
          <w:tcPr>
            <w:tcW w:w="737" w:type="dxa"/>
            <w:shd w:val="clear" w:color="auto" w:fill="auto"/>
            <w:vAlign w:val="center"/>
          </w:tcPr>
          <w:p w14:paraId="3C5D31A5">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100%</w:t>
            </w:r>
          </w:p>
        </w:tc>
        <w:tc>
          <w:tcPr>
            <w:tcW w:w="737" w:type="dxa"/>
            <w:shd w:val="clear" w:color="auto" w:fill="auto"/>
            <w:vAlign w:val="center"/>
          </w:tcPr>
          <w:p w14:paraId="34769CA8">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≥90%</w:t>
            </w:r>
          </w:p>
        </w:tc>
        <w:tc>
          <w:tcPr>
            <w:tcW w:w="737" w:type="dxa"/>
            <w:shd w:val="clear" w:color="auto" w:fill="auto"/>
            <w:vAlign w:val="center"/>
          </w:tcPr>
          <w:p w14:paraId="53C3B09C">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≥80%</w:t>
            </w:r>
          </w:p>
        </w:tc>
        <w:tc>
          <w:tcPr>
            <w:tcW w:w="737" w:type="dxa"/>
            <w:shd w:val="clear" w:color="auto" w:fill="auto"/>
            <w:vAlign w:val="center"/>
          </w:tcPr>
          <w:p w14:paraId="4401D790">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＜80%</w:t>
            </w:r>
          </w:p>
        </w:tc>
      </w:tr>
      <w:tr w14:paraId="6054D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958AB1F"/>
        </w:tc>
        <w:tc>
          <w:tcPr>
            <w:tcW w:w="1276" w:type="dxa"/>
            <w:vMerge w:val="continue"/>
            <w:shd w:val="clear" w:color="auto" w:fill="auto"/>
            <w:vAlign w:val="center"/>
          </w:tcPr>
          <w:p w14:paraId="03BB710D"/>
        </w:tc>
        <w:tc>
          <w:tcPr>
            <w:tcW w:w="2976" w:type="dxa"/>
            <w:vMerge w:val="continue"/>
            <w:shd w:val="clear" w:color="auto" w:fill="auto"/>
            <w:vAlign w:val="center"/>
          </w:tcPr>
          <w:p w14:paraId="03403E9F"/>
        </w:tc>
        <w:tc>
          <w:tcPr>
            <w:tcW w:w="2976" w:type="dxa"/>
            <w:vMerge w:val="continue"/>
            <w:shd w:val="clear" w:color="auto" w:fill="auto"/>
            <w:vAlign w:val="center"/>
          </w:tcPr>
          <w:p w14:paraId="67B54D05"/>
        </w:tc>
        <w:tc>
          <w:tcPr>
            <w:tcW w:w="1417" w:type="dxa"/>
            <w:shd w:val="clear" w:color="auto" w:fill="auto"/>
            <w:vAlign w:val="center"/>
          </w:tcPr>
          <w:p w14:paraId="2D324E97">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创建文明、和谐具有文化底蕴的机关环境</w:t>
            </w:r>
          </w:p>
        </w:tc>
        <w:tc>
          <w:tcPr>
            <w:tcW w:w="737" w:type="dxa"/>
            <w:shd w:val="clear" w:color="auto" w:fill="auto"/>
            <w:vAlign w:val="center"/>
          </w:tcPr>
          <w:p w14:paraId="395D066E">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100%</w:t>
            </w:r>
          </w:p>
        </w:tc>
        <w:tc>
          <w:tcPr>
            <w:tcW w:w="737" w:type="dxa"/>
            <w:shd w:val="clear" w:color="auto" w:fill="auto"/>
            <w:vAlign w:val="center"/>
          </w:tcPr>
          <w:p w14:paraId="0AF03C52">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≥90%</w:t>
            </w:r>
          </w:p>
        </w:tc>
        <w:tc>
          <w:tcPr>
            <w:tcW w:w="737" w:type="dxa"/>
            <w:shd w:val="clear" w:color="auto" w:fill="auto"/>
            <w:vAlign w:val="center"/>
          </w:tcPr>
          <w:p w14:paraId="7DB47576">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≥80%</w:t>
            </w:r>
          </w:p>
        </w:tc>
        <w:tc>
          <w:tcPr>
            <w:tcW w:w="737" w:type="dxa"/>
            <w:shd w:val="clear" w:color="auto" w:fill="auto"/>
            <w:vAlign w:val="center"/>
          </w:tcPr>
          <w:p w14:paraId="278EA531">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＜80%</w:t>
            </w:r>
          </w:p>
        </w:tc>
      </w:tr>
      <w:tr w14:paraId="6310E3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ADBEA0B"/>
        </w:tc>
        <w:tc>
          <w:tcPr>
            <w:tcW w:w="1276" w:type="dxa"/>
            <w:vMerge w:val="continue"/>
            <w:shd w:val="clear" w:color="auto" w:fill="auto"/>
            <w:vAlign w:val="center"/>
          </w:tcPr>
          <w:p w14:paraId="2279BA66"/>
        </w:tc>
        <w:tc>
          <w:tcPr>
            <w:tcW w:w="2976" w:type="dxa"/>
            <w:vMerge w:val="continue"/>
            <w:shd w:val="clear" w:color="auto" w:fill="auto"/>
            <w:vAlign w:val="center"/>
          </w:tcPr>
          <w:p w14:paraId="0ED02433"/>
        </w:tc>
        <w:tc>
          <w:tcPr>
            <w:tcW w:w="2976" w:type="dxa"/>
            <w:vMerge w:val="continue"/>
            <w:shd w:val="clear" w:color="auto" w:fill="auto"/>
            <w:vAlign w:val="center"/>
          </w:tcPr>
          <w:p w14:paraId="54D3946B"/>
        </w:tc>
        <w:tc>
          <w:tcPr>
            <w:tcW w:w="1417" w:type="dxa"/>
            <w:shd w:val="clear" w:color="auto" w:fill="auto"/>
            <w:vAlign w:val="center"/>
          </w:tcPr>
          <w:p w14:paraId="47DFD146">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企业满意度</w:t>
            </w:r>
          </w:p>
        </w:tc>
        <w:tc>
          <w:tcPr>
            <w:tcW w:w="737" w:type="dxa"/>
            <w:shd w:val="clear" w:color="auto" w:fill="auto"/>
            <w:vAlign w:val="center"/>
          </w:tcPr>
          <w:p w14:paraId="159D68BB">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≥90%</w:t>
            </w:r>
          </w:p>
        </w:tc>
        <w:tc>
          <w:tcPr>
            <w:tcW w:w="737" w:type="dxa"/>
            <w:shd w:val="clear" w:color="auto" w:fill="auto"/>
            <w:vAlign w:val="center"/>
          </w:tcPr>
          <w:p w14:paraId="27C102E3">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≥80%</w:t>
            </w:r>
          </w:p>
        </w:tc>
        <w:tc>
          <w:tcPr>
            <w:tcW w:w="737" w:type="dxa"/>
            <w:shd w:val="clear" w:color="auto" w:fill="auto"/>
            <w:vAlign w:val="center"/>
          </w:tcPr>
          <w:p w14:paraId="34098519">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≥70%</w:t>
            </w:r>
          </w:p>
        </w:tc>
        <w:tc>
          <w:tcPr>
            <w:tcW w:w="737" w:type="dxa"/>
            <w:shd w:val="clear" w:color="auto" w:fill="auto"/>
            <w:vAlign w:val="center"/>
          </w:tcPr>
          <w:p w14:paraId="4AB918AF">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＜70%</w:t>
            </w:r>
          </w:p>
        </w:tc>
      </w:tr>
      <w:tr w14:paraId="211643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1A4A550"/>
        </w:tc>
        <w:tc>
          <w:tcPr>
            <w:tcW w:w="1276" w:type="dxa"/>
            <w:vMerge w:val="continue"/>
            <w:shd w:val="clear" w:color="auto" w:fill="auto"/>
            <w:vAlign w:val="center"/>
          </w:tcPr>
          <w:p w14:paraId="2CBDE02B"/>
        </w:tc>
        <w:tc>
          <w:tcPr>
            <w:tcW w:w="2976" w:type="dxa"/>
            <w:vMerge w:val="continue"/>
            <w:shd w:val="clear" w:color="auto" w:fill="auto"/>
            <w:vAlign w:val="center"/>
          </w:tcPr>
          <w:p w14:paraId="163C6B5A"/>
        </w:tc>
        <w:tc>
          <w:tcPr>
            <w:tcW w:w="2976" w:type="dxa"/>
            <w:vMerge w:val="continue"/>
            <w:shd w:val="clear" w:color="auto" w:fill="auto"/>
            <w:vAlign w:val="center"/>
          </w:tcPr>
          <w:p w14:paraId="4B12E820"/>
        </w:tc>
        <w:tc>
          <w:tcPr>
            <w:tcW w:w="1417" w:type="dxa"/>
            <w:shd w:val="clear" w:color="auto" w:fill="auto"/>
            <w:vAlign w:val="center"/>
          </w:tcPr>
          <w:p w14:paraId="2AC713D7">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发展新会员个数</w:t>
            </w:r>
          </w:p>
        </w:tc>
        <w:tc>
          <w:tcPr>
            <w:tcW w:w="737" w:type="dxa"/>
            <w:shd w:val="clear" w:color="auto" w:fill="auto"/>
            <w:vAlign w:val="center"/>
          </w:tcPr>
          <w:p w14:paraId="1FEB1C17">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≥3</w:t>
            </w:r>
          </w:p>
        </w:tc>
        <w:tc>
          <w:tcPr>
            <w:tcW w:w="737" w:type="dxa"/>
            <w:shd w:val="clear" w:color="auto" w:fill="auto"/>
            <w:vAlign w:val="center"/>
          </w:tcPr>
          <w:p w14:paraId="3E57CB7F">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2</w:t>
            </w:r>
          </w:p>
        </w:tc>
        <w:tc>
          <w:tcPr>
            <w:tcW w:w="737" w:type="dxa"/>
            <w:shd w:val="clear" w:color="auto" w:fill="auto"/>
            <w:vAlign w:val="center"/>
          </w:tcPr>
          <w:p w14:paraId="62E7D773">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1</w:t>
            </w:r>
          </w:p>
        </w:tc>
        <w:tc>
          <w:tcPr>
            <w:tcW w:w="737" w:type="dxa"/>
            <w:shd w:val="clear" w:color="auto" w:fill="auto"/>
            <w:vAlign w:val="center"/>
          </w:tcPr>
          <w:p w14:paraId="31FC7771">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0</w:t>
            </w:r>
          </w:p>
        </w:tc>
      </w:tr>
      <w:tr w14:paraId="5A6B15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431AA21"/>
        </w:tc>
        <w:tc>
          <w:tcPr>
            <w:tcW w:w="1276" w:type="dxa"/>
            <w:vMerge w:val="continue"/>
            <w:shd w:val="clear" w:color="auto" w:fill="auto"/>
            <w:vAlign w:val="center"/>
          </w:tcPr>
          <w:p w14:paraId="217F6951"/>
        </w:tc>
        <w:tc>
          <w:tcPr>
            <w:tcW w:w="2976" w:type="dxa"/>
            <w:vMerge w:val="continue"/>
            <w:shd w:val="clear" w:color="auto" w:fill="auto"/>
            <w:vAlign w:val="center"/>
          </w:tcPr>
          <w:p w14:paraId="0C3E2139"/>
        </w:tc>
        <w:tc>
          <w:tcPr>
            <w:tcW w:w="2976" w:type="dxa"/>
            <w:vMerge w:val="continue"/>
            <w:shd w:val="clear" w:color="auto" w:fill="auto"/>
            <w:vAlign w:val="center"/>
          </w:tcPr>
          <w:p w14:paraId="089CF1D2"/>
        </w:tc>
        <w:tc>
          <w:tcPr>
            <w:tcW w:w="1417" w:type="dxa"/>
            <w:shd w:val="clear" w:color="auto" w:fill="auto"/>
            <w:vAlign w:val="center"/>
          </w:tcPr>
          <w:p w14:paraId="21BE95B2">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组织开展各种商务经贸拓展活动计划完成率</w:t>
            </w:r>
          </w:p>
        </w:tc>
        <w:tc>
          <w:tcPr>
            <w:tcW w:w="737" w:type="dxa"/>
            <w:shd w:val="clear" w:color="auto" w:fill="auto"/>
            <w:vAlign w:val="center"/>
          </w:tcPr>
          <w:p w14:paraId="6599258E">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100%</w:t>
            </w:r>
          </w:p>
        </w:tc>
        <w:tc>
          <w:tcPr>
            <w:tcW w:w="737" w:type="dxa"/>
            <w:shd w:val="clear" w:color="auto" w:fill="auto"/>
            <w:vAlign w:val="center"/>
          </w:tcPr>
          <w:p w14:paraId="1FA6CDD5">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≥90%</w:t>
            </w:r>
          </w:p>
        </w:tc>
        <w:tc>
          <w:tcPr>
            <w:tcW w:w="737" w:type="dxa"/>
            <w:shd w:val="clear" w:color="auto" w:fill="auto"/>
            <w:vAlign w:val="center"/>
          </w:tcPr>
          <w:p w14:paraId="50C7FCDC">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≥80%</w:t>
            </w:r>
          </w:p>
        </w:tc>
        <w:tc>
          <w:tcPr>
            <w:tcW w:w="737" w:type="dxa"/>
            <w:shd w:val="clear" w:color="auto" w:fill="auto"/>
            <w:vAlign w:val="center"/>
          </w:tcPr>
          <w:p w14:paraId="5B1E6D4E">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＜80%</w:t>
            </w:r>
          </w:p>
        </w:tc>
      </w:tr>
      <w:tr w14:paraId="2C8EBD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05302A7F"/>
        </w:tc>
        <w:tc>
          <w:tcPr>
            <w:tcW w:w="1276" w:type="dxa"/>
            <w:vMerge w:val="continue"/>
            <w:shd w:val="clear" w:color="auto" w:fill="auto"/>
            <w:vAlign w:val="center"/>
          </w:tcPr>
          <w:p w14:paraId="7CDFB15F"/>
        </w:tc>
        <w:tc>
          <w:tcPr>
            <w:tcW w:w="2976" w:type="dxa"/>
            <w:vMerge w:val="continue"/>
            <w:shd w:val="clear" w:color="auto" w:fill="auto"/>
            <w:vAlign w:val="center"/>
          </w:tcPr>
          <w:p w14:paraId="43EB2F0A"/>
        </w:tc>
        <w:tc>
          <w:tcPr>
            <w:tcW w:w="2976" w:type="dxa"/>
            <w:vMerge w:val="continue"/>
            <w:shd w:val="clear" w:color="auto" w:fill="auto"/>
            <w:vAlign w:val="center"/>
          </w:tcPr>
          <w:p w14:paraId="7B218106"/>
        </w:tc>
        <w:tc>
          <w:tcPr>
            <w:tcW w:w="1417" w:type="dxa"/>
            <w:shd w:val="clear" w:color="auto" w:fill="auto"/>
            <w:vAlign w:val="center"/>
          </w:tcPr>
          <w:p w14:paraId="293CBCA2">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提供信息条数</w:t>
            </w:r>
          </w:p>
        </w:tc>
        <w:tc>
          <w:tcPr>
            <w:tcW w:w="737" w:type="dxa"/>
            <w:shd w:val="clear" w:color="auto" w:fill="auto"/>
            <w:vAlign w:val="center"/>
          </w:tcPr>
          <w:p w14:paraId="67F04E95">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10条以上</w:t>
            </w:r>
          </w:p>
        </w:tc>
        <w:tc>
          <w:tcPr>
            <w:tcW w:w="737" w:type="dxa"/>
            <w:shd w:val="clear" w:color="auto" w:fill="auto"/>
            <w:vAlign w:val="center"/>
          </w:tcPr>
          <w:p w14:paraId="07B4E13D">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8天以上</w:t>
            </w:r>
          </w:p>
        </w:tc>
        <w:tc>
          <w:tcPr>
            <w:tcW w:w="737" w:type="dxa"/>
            <w:shd w:val="clear" w:color="auto" w:fill="auto"/>
            <w:vAlign w:val="center"/>
          </w:tcPr>
          <w:p w14:paraId="55D49F5E">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6条以上</w:t>
            </w:r>
          </w:p>
        </w:tc>
        <w:tc>
          <w:tcPr>
            <w:tcW w:w="737" w:type="dxa"/>
            <w:shd w:val="clear" w:color="auto" w:fill="auto"/>
            <w:vAlign w:val="center"/>
          </w:tcPr>
          <w:p w14:paraId="2A6CF45F">
            <w:pPr>
              <w:spacing w:line="300" w:lineRule="exact"/>
              <w:jc w:val="center"/>
              <w:rPr>
                <w:rFonts w:hint="eastAsia" w:ascii="仿宋" w:eastAsia="仿宋" w:cs="仿宋"/>
                <w:b w:val="0"/>
                <w:bCs/>
                <w:sz w:val="18"/>
                <w:szCs w:val="18"/>
              </w:rPr>
            </w:pPr>
            <w:r>
              <w:rPr>
                <w:rFonts w:hint="eastAsia" w:ascii="仿宋" w:eastAsia="仿宋" w:cs="仿宋"/>
                <w:b w:val="0"/>
                <w:bCs/>
                <w:sz w:val="18"/>
                <w:szCs w:val="18"/>
              </w:rPr>
              <w:t>5条以下</w:t>
            </w:r>
          </w:p>
        </w:tc>
      </w:tr>
    </w:tbl>
    <w:p w14:paraId="7D5C3477">
      <w:pPr>
        <w:autoSpaceDE w:val="0"/>
        <w:autoSpaceDN w:val="0"/>
        <w:adjustRightInd w:val="0"/>
        <w:ind w:firstLine="640" w:firstLineChars="200"/>
        <w:jc w:val="left"/>
        <w:rPr>
          <w:rFonts w:hint="eastAsia" w:ascii="黑体" w:eastAsia="黑体" w:cs="Times New Roman"/>
          <w:sz w:val="32"/>
          <w:szCs w:val="32"/>
        </w:rPr>
      </w:pPr>
    </w:p>
    <w:p w14:paraId="3FCE543F">
      <w:pPr>
        <w:autoSpaceDE w:val="0"/>
        <w:autoSpaceDN w:val="0"/>
        <w:adjustRightInd w:val="0"/>
        <w:ind w:firstLine="640" w:firstLineChars="200"/>
        <w:jc w:val="left"/>
        <w:rPr>
          <w:rFonts w:hint="eastAsia" w:ascii="黑体" w:eastAsia="黑体" w:cs="Times New Roman"/>
          <w:sz w:val="32"/>
          <w:szCs w:val="32"/>
        </w:rPr>
      </w:pPr>
    </w:p>
    <w:p w14:paraId="184C7823">
      <w:pPr>
        <w:autoSpaceDE w:val="0"/>
        <w:autoSpaceDN w:val="0"/>
        <w:adjustRightInd w:val="0"/>
        <w:ind w:firstLine="640" w:firstLineChars="200"/>
        <w:jc w:val="left"/>
        <w:rPr>
          <w:rFonts w:hint="eastAsia" w:ascii="黑体" w:eastAsia="黑体" w:cs="Times New Roman"/>
          <w:sz w:val="32"/>
          <w:szCs w:val="32"/>
        </w:rPr>
      </w:pPr>
    </w:p>
    <w:p w14:paraId="5574ABEF">
      <w:pPr>
        <w:autoSpaceDE w:val="0"/>
        <w:autoSpaceDN w:val="0"/>
        <w:adjustRightInd w:val="0"/>
        <w:ind w:firstLine="640" w:firstLineChars="200"/>
        <w:jc w:val="left"/>
        <w:rPr>
          <w:rFonts w:hint="eastAsia" w:ascii="黑体" w:eastAsia="黑体" w:cs="Times New Roman"/>
          <w:sz w:val="32"/>
          <w:szCs w:val="32"/>
        </w:rPr>
      </w:pPr>
    </w:p>
    <w:p w14:paraId="562B2039">
      <w:pPr>
        <w:autoSpaceDE w:val="0"/>
        <w:autoSpaceDN w:val="0"/>
        <w:adjustRightInd w:val="0"/>
        <w:ind w:firstLine="640" w:firstLineChars="200"/>
        <w:jc w:val="left"/>
        <w:rPr>
          <w:rFonts w:hint="eastAsia" w:ascii="黑体" w:eastAsia="黑体" w:cs="Times New Roman"/>
          <w:sz w:val="32"/>
          <w:szCs w:val="32"/>
        </w:rPr>
      </w:pPr>
    </w:p>
    <w:p w14:paraId="0FA86F30">
      <w:pPr>
        <w:autoSpaceDE w:val="0"/>
        <w:autoSpaceDN w:val="0"/>
        <w:adjustRightInd w:val="0"/>
        <w:ind w:firstLine="640" w:firstLineChars="200"/>
        <w:jc w:val="left"/>
        <w:rPr>
          <w:rFonts w:hint="eastAsia" w:ascii="黑体" w:eastAsia="黑体" w:cs="Times New Roman"/>
          <w:sz w:val="32"/>
          <w:szCs w:val="32"/>
        </w:rPr>
      </w:pPr>
    </w:p>
    <w:p w14:paraId="4B4D5AF3">
      <w:pPr>
        <w:autoSpaceDE w:val="0"/>
        <w:autoSpaceDN w:val="0"/>
        <w:adjustRightInd w:val="0"/>
        <w:ind w:firstLine="640" w:firstLineChars="200"/>
        <w:jc w:val="left"/>
        <w:rPr>
          <w:rFonts w:ascii="黑体" w:eastAsia="黑体" w:cs="Times New Roman"/>
          <w:sz w:val="32"/>
          <w:szCs w:val="32"/>
        </w:rPr>
      </w:pPr>
      <w:r>
        <w:rPr>
          <w:rFonts w:hint="eastAsia" w:ascii="黑体" w:eastAsia="黑体" w:cs="Times New Roman"/>
          <w:sz w:val="32"/>
          <w:szCs w:val="32"/>
        </w:rPr>
        <w:t>六、政府采购预算情况</w:t>
      </w:r>
    </w:p>
    <w:p w14:paraId="7F57B196">
      <w:pPr>
        <w:outlineLvl w:val="0"/>
        <w:rPr>
          <w:rFonts w:hint="eastAsia" w:ascii="仿宋" w:eastAsia="仿宋" w:cs="仿宋"/>
          <w:sz w:val="32"/>
          <w:szCs w:val="24"/>
        </w:rPr>
      </w:pPr>
      <w:bookmarkStart w:id="1" w:name="_Toc471398468"/>
      <w:r>
        <w:rPr>
          <w:rFonts w:ascii="Times New Roman" w:hAnsi="Times New Roman" w:eastAsia="方正仿宋_GBK" w:cs="Times New Roman"/>
          <w:sz w:val="32"/>
          <w:szCs w:val="24"/>
        </w:rPr>
        <w:t xml:space="preserve">  </w:t>
      </w:r>
      <w:r>
        <w:rPr>
          <w:rFonts w:hint="eastAsia" w:ascii="仿宋" w:eastAsia="仿宋" w:cs="仿宋"/>
          <w:sz w:val="32"/>
          <w:szCs w:val="24"/>
        </w:rPr>
        <w:t xml:space="preserve"> 2017年，我</w:t>
      </w:r>
      <w:r>
        <w:rPr>
          <w:rFonts w:hint="eastAsia" w:ascii="仿宋" w:eastAsia="仿宋" w:cs="仿宋"/>
          <w:sz w:val="32"/>
          <w:szCs w:val="24"/>
          <w:lang w:eastAsia="zh-CN"/>
        </w:rPr>
        <w:t>单位</w:t>
      </w:r>
      <w:r>
        <w:rPr>
          <w:rFonts w:hint="eastAsia" w:ascii="仿宋" w:eastAsia="仿宋" w:cs="仿宋"/>
          <w:sz w:val="32"/>
          <w:szCs w:val="24"/>
        </w:rPr>
        <w:t>安排政府采购预算</w:t>
      </w:r>
      <w:r>
        <w:rPr>
          <w:rFonts w:hint="eastAsia" w:ascii="仿宋" w:eastAsia="仿宋" w:cs="仿宋"/>
          <w:sz w:val="32"/>
          <w:szCs w:val="24"/>
          <w:lang w:val="en-US" w:eastAsia="zh-CN"/>
        </w:rPr>
        <w:t>78.85</w:t>
      </w:r>
      <w:r>
        <w:rPr>
          <w:rFonts w:hint="eastAsia" w:ascii="仿宋" w:eastAsia="仿宋" w:cs="仿宋"/>
          <w:sz w:val="32"/>
          <w:szCs w:val="24"/>
        </w:rPr>
        <w:t>万元。具体内容见下表。</w:t>
      </w:r>
    </w:p>
    <w:p w14:paraId="465B8718">
      <w:pPr>
        <w:jc w:val="center"/>
        <w:outlineLvl w:val="0"/>
        <w:rPr>
          <w:rFonts w:ascii="方正小标宋_GBK" w:eastAsia="方正小标宋_GBK" w:cs="Times New Roman"/>
          <w:sz w:val="32"/>
          <w:szCs w:val="24"/>
        </w:rPr>
      </w:pPr>
      <w:r>
        <w:rPr>
          <w:rFonts w:hint="eastAsia" w:ascii="方正小标宋_GBK" w:eastAsia="方正小标宋_GBK" w:cs="Times New Roman"/>
          <w:sz w:val="32"/>
          <w:szCs w:val="24"/>
        </w:rPr>
        <w:t>部门政府采购预算</w:t>
      </w:r>
      <w:bookmarkEnd w:id="1"/>
    </w:p>
    <w:tbl>
      <w:tblPr>
        <w:tblStyle w:val="6"/>
        <w:tblW w:w="1449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14"/>
        <w:gridCol w:w="843"/>
        <w:gridCol w:w="879"/>
        <w:gridCol w:w="1398"/>
        <w:gridCol w:w="879"/>
        <w:gridCol w:w="879"/>
        <w:gridCol w:w="902"/>
        <w:gridCol w:w="899"/>
        <w:gridCol w:w="899"/>
        <w:gridCol w:w="899"/>
        <w:gridCol w:w="818"/>
        <w:gridCol w:w="881"/>
        <w:gridCol w:w="881"/>
        <w:gridCol w:w="826"/>
      </w:tblGrid>
      <w:tr w14:paraId="18F82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394" w:type="dxa"/>
            <w:gridSpan w:val="7"/>
            <w:tcBorders>
              <w:top w:val="single" w:color="FFFFFF" w:sz="6" w:space="0"/>
              <w:left w:val="single" w:color="FFFFFF" w:sz="6" w:space="0"/>
              <w:right w:val="single" w:color="FFFFFF" w:sz="6" w:space="0"/>
            </w:tcBorders>
            <w:shd w:val="clear" w:color="auto" w:fill="auto"/>
            <w:vAlign w:val="center"/>
          </w:tcPr>
          <w:p w14:paraId="1A5351C6">
            <w:pPr>
              <w:spacing w:line="300" w:lineRule="exact"/>
              <w:jc w:val="left"/>
              <w:rPr>
                <w:rFonts w:hint="eastAsia" w:ascii="方正小标宋_GBK" w:eastAsia="方正小标宋_GBK" w:cs="Times New Roman"/>
                <w:sz w:val="24"/>
                <w:szCs w:val="24"/>
                <w:lang w:eastAsia="zh-CN"/>
              </w:rPr>
            </w:pPr>
            <w:r>
              <w:rPr>
                <w:rFonts w:hint="eastAsia" w:ascii="方正小标宋_GBK" w:eastAsia="方正小标宋_GBK" w:cs="Times New Roman"/>
                <w:sz w:val="24"/>
                <w:szCs w:val="24"/>
                <w:lang w:val="en-US" w:eastAsia="zh-CN"/>
              </w:rPr>
              <w:t>708中国国际贸易促进委员会廊坊市委员会</w:t>
            </w:r>
          </w:p>
        </w:tc>
        <w:tc>
          <w:tcPr>
            <w:tcW w:w="6103" w:type="dxa"/>
            <w:gridSpan w:val="7"/>
            <w:tcBorders>
              <w:top w:val="single" w:color="FFFFFF" w:sz="6" w:space="0"/>
              <w:left w:val="single" w:color="FFFFFF" w:sz="6" w:space="0"/>
              <w:right w:val="single" w:color="FFFFFF" w:sz="6" w:space="0"/>
            </w:tcBorders>
            <w:shd w:val="clear" w:color="auto" w:fill="auto"/>
            <w:vAlign w:val="center"/>
          </w:tcPr>
          <w:p w14:paraId="22E288D5">
            <w:pPr>
              <w:spacing w:line="300" w:lineRule="exact"/>
              <w:jc w:val="right"/>
              <w:rPr>
                <w:rFonts w:ascii="方正书宋_GBK" w:eastAsia="方正书宋_GBK" w:cs="Times New Roman"/>
                <w:sz w:val="24"/>
                <w:szCs w:val="24"/>
              </w:rPr>
            </w:pPr>
            <w:r>
              <w:rPr>
                <w:rFonts w:hint="eastAsia" w:ascii="方正书宋_GBK" w:eastAsia="方正书宋_GBK" w:cs="Times New Roman"/>
                <w:sz w:val="24"/>
                <w:szCs w:val="24"/>
              </w:rPr>
              <w:t>单位：万元</w:t>
            </w:r>
          </w:p>
        </w:tc>
      </w:tr>
      <w:tr w14:paraId="4BD19F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3457" w:type="dxa"/>
            <w:gridSpan w:val="2"/>
            <w:shd w:val="clear" w:color="auto" w:fill="auto"/>
            <w:vAlign w:val="center"/>
          </w:tcPr>
          <w:p w14:paraId="74B66856">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政府采购项目来源</w:t>
            </w:r>
          </w:p>
        </w:tc>
        <w:tc>
          <w:tcPr>
            <w:tcW w:w="879" w:type="dxa"/>
            <w:vMerge w:val="restart"/>
            <w:shd w:val="clear" w:color="auto" w:fill="auto"/>
            <w:vAlign w:val="center"/>
          </w:tcPr>
          <w:p w14:paraId="7C39D8B9">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采购物品名称</w:t>
            </w:r>
          </w:p>
        </w:tc>
        <w:tc>
          <w:tcPr>
            <w:tcW w:w="1398" w:type="dxa"/>
            <w:vMerge w:val="restart"/>
            <w:shd w:val="clear" w:color="auto" w:fill="auto"/>
            <w:vAlign w:val="center"/>
          </w:tcPr>
          <w:p w14:paraId="4F497A2C">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政府采购目录序号</w:t>
            </w:r>
          </w:p>
        </w:tc>
        <w:tc>
          <w:tcPr>
            <w:tcW w:w="879" w:type="dxa"/>
            <w:vMerge w:val="restart"/>
            <w:shd w:val="clear" w:color="auto" w:fill="auto"/>
            <w:vAlign w:val="center"/>
          </w:tcPr>
          <w:p w14:paraId="12C8BD11">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数量  单位</w:t>
            </w:r>
          </w:p>
        </w:tc>
        <w:tc>
          <w:tcPr>
            <w:tcW w:w="879" w:type="dxa"/>
            <w:vMerge w:val="restart"/>
            <w:shd w:val="clear" w:color="auto" w:fill="auto"/>
            <w:vAlign w:val="center"/>
          </w:tcPr>
          <w:p w14:paraId="752DD464">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数量</w:t>
            </w:r>
          </w:p>
        </w:tc>
        <w:tc>
          <w:tcPr>
            <w:tcW w:w="902" w:type="dxa"/>
            <w:vMerge w:val="restart"/>
            <w:shd w:val="clear" w:color="auto" w:fill="auto"/>
            <w:vAlign w:val="center"/>
          </w:tcPr>
          <w:p w14:paraId="00B0EC5E">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单价</w:t>
            </w:r>
          </w:p>
        </w:tc>
        <w:tc>
          <w:tcPr>
            <w:tcW w:w="6103" w:type="dxa"/>
            <w:gridSpan w:val="7"/>
            <w:shd w:val="clear" w:color="auto" w:fill="auto"/>
            <w:vAlign w:val="center"/>
          </w:tcPr>
          <w:p w14:paraId="2FFE3238">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政府采购金额</w:t>
            </w:r>
          </w:p>
        </w:tc>
      </w:tr>
      <w:tr w14:paraId="354BB3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614" w:type="dxa"/>
            <w:vMerge w:val="restart"/>
            <w:shd w:val="clear" w:color="auto" w:fill="auto"/>
            <w:vAlign w:val="center"/>
          </w:tcPr>
          <w:p w14:paraId="1B48BE8D">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项目名称</w:t>
            </w:r>
          </w:p>
        </w:tc>
        <w:tc>
          <w:tcPr>
            <w:tcW w:w="843" w:type="dxa"/>
            <w:vMerge w:val="restart"/>
            <w:shd w:val="clear" w:color="auto" w:fill="auto"/>
            <w:vAlign w:val="center"/>
          </w:tcPr>
          <w:p w14:paraId="0AC3551E">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预算资金</w:t>
            </w:r>
          </w:p>
        </w:tc>
        <w:tc>
          <w:tcPr>
            <w:tcW w:w="879" w:type="dxa"/>
            <w:vMerge w:val="continue"/>
            <w:shd w:val="clear" w:color="auto" w:fill="auto"/>
            <w:vAlign w:val="center"/>
          </w:tcPr>
          <w:p w14:paraId="50F52883"/>
        </w:tc>
        <w:tc>
          <w:tcPr>
            <w:tcW w:w="1398" w:type="dxa"/>
            <w:vMerge w:val="continue"/>
            <w:shd w:val="clear" w:color="auto" w:fill="auto"/>
            <w:vAlign w:val="center"/>
          </w:tcPr>
          <w:p w14:paraId="34A317D6"/>
        </w:tc>
        <w:tc>
          <w:tcPr>
            <w:tcW w:w="879" w:type="dxa"/>
            <w:vMerge w:val="continue"/>
            <w:shd w:val="clear" w:color="auto" w:fill="auto"/>
            <w:vAlign w:val="center"/>
          </w:tcPr>
          <w:p w14:paraId="6116B63F"/>
        </w:tc>
        <w:tc>
          <w:tcPr>
            <w:tcW w:w="879" w:type="dxa"/>
            <w:vMerge w:val="continue"/>
            <w:shd w:val="clear" w:color="auto" w:fill="auto"/>
            <w:vAlign w:val="center"/>
          </w:tcPr>
          <w:p w14:paraId="166AE67A"/>
        </w:tc>
        <w:tc>
          <w:tcPr>
            <w:tcW w:w="902" w:type="dxa"/>
            <w:vMerge w:val="continue"/>
            <w:shd w:val="clear" w:color="auto" w:fill="auto"/>
            <w:vAlign w:val="center"/>
          </w:tcPr>
          <w:p w14:paraId="08761904"/>
        </w:tc>
        <w:tc>
          <w:tcPr>
            <w:tcW w:w="899" w:type="dxa"/>
            <w:vMerge w:val="restart"/>
            <w:shd w:val="clear" w:color="auto" w:fill="auto"/>
            <w:vAlign w:val="center"/>
          </w:tcPr>
          <w:p w14:paraId="00A49269">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总计</w:t>
            </w:r>
          </w:p>
        </w:tc>
        <w:tc>
          <w:tcPr>
            <w:tcW w:w="4378" w:type="dxa"/>
            <w:gridSpan w:val="5"/>
            <w:shd w:val="clear" w:color="auto" w:fill="auto"/>
            <w:vAlign w:val="center"/>
          </w:tcPr>
          <w:p w14:paraId="01D6A30C">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当年部门预算安排资金</w:t>
            </w:r>
          </w:p>
        </w:tc>
        <w:tc>
          <w:tcPr>
            <w:tcW w:w="826" w:type="dxa"/>
            <w:vMerge w:val="restart"/>
            <w:shd w:val="clear" w:color="auto" w:fill="auto"/>
            <w:vAlign w:val="center"/>
          </w:tcPr>
          <w:p w14:paraId="1D4AACA8">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其他渠道资金</w:t>
            </w:r>
          </w:p>
        </w:tc>
      </w:tr>
      <w:tr w14:paraId="57F758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614" w:type="dxa"/>
            <w:vMerge w:val="continue"/>
            <w:shd w:val="clear" w:color="auto" w:fill="auto"/>
            <w:vAlign w:val="center"/>
          </w:tcPr>
          <w:p w14:paraId="4090CB46"/>
        </w:tc>
        <w:tc>
          <w:tcPr>
            <w:tcW w:w="843" w:type="dxa"/>
            <w:vMerge w:val="continue"/>
            <w:shd w:val="clear" w:color="auto" w:fill="auto"/>
            <w:vAlign w:val="center"/>
          </w:tcPr>
          <w:p w14:paraId="33DD0395"/>
        </w:tc>
        <w:tc>
          <w:tcPr>
            <w:tcW w:w="879" w:type="dxa"/>
            <w:vMerge w:val="continue"/>
            <w:shd w:val="clear" w:color="auto" w:fill="auto"/>
            <w:vAlign w:val="center"/>
          </w:tcPr>
          <w:p w14:paraId="3AE31EB0"/>
        </w:tc>
        <w:tc>
          <w:tcPr>
            <w:tcW w:w="1398" w:type="dxa"/>
            <w:vMerge w:val="continue"/>
            <w:shd w:val="clear" w:color="auto" w:fill="auto"/>
            <w:vAlign w:val="center"/>
          </w:tcPr>
          <w:p w14:paraId="15FC800D"/>
        </w:tc>
        <w:tc>
          <w:tcPr>
            <w:tcW w:w="879" w:type="dxa"/>
            <w:vMerge w:val="continue"/>
            <w:shd w:val="clear" w:color="auto" w:fill="auto"/>
            <w:vAlign w:val="center"/>
          </w:tcPr>
          <w:p w14:paraId="0DE8C107"/>
        </w:tc>
        <w:tc>
          <w:tcPr>
            <w:tcW w:w="879" w:type="dxa"/>
            <w:vMerge w:val="continue"/>
            <w:shd w:val="clear" w:color="auto" w:fill="auto"/>
            <w:vAlign w:val="center"/>
          </w:tcPr>
          <w:p w14:paraId="2CF02D98"/>
        </w:tc>
        <w:tc>
          <w:tcPr>
            <w:tcW w:w="902" w:type="dxa"/>
            <w:vMerge w:val="continue"/>
            <w:shd w:val="clear" w:color="auto" w:fill="auto"/>
            <w:vAlign w:val="center"/>
          </w:tcPr>
          <w:p w14:paraId="42F48781"/>
        </w:tc>
        <w:tc>
          <w:tcPr>
            <w:tcW w:w="899" w:type="dxa"/>
            <w:vMerge w:val="continue"/>
            <w:shd w:val="clear" w:color="auto" w:fill="auto"/>
            <w:vAlign w:val="center"/>
          </w:tcPr>
          <w:p w14:paraId="6BCEFBCC"/>
        </w:tc>
        <w:tc>
          <w:tcPr>
            <w:tcW w:w="899" w:type="dxa"/>
            <w:shd w:val="clear" w:color="auto" w:fill="auto"/>
            <w:vAlign w:val="center"/>
          </w:tcPr>
          <w:p w14:paraId="7B807241">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合计</w:t>
            </w:r>
          </w:p>
        </w:tc>
        <w:tc>
          <w:tcPr>
            <w:tcW w:w="899" w:type="dxa"/>
            <w:shd w:val="clear" w:color="auto" w:fill="auto"/>
            <w:vAlign w:val="center"/>
          </w:tcPr>
          <w:p w14:paraId="6EEB74FF">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一般公共预算拨款</w:t>
            </w:r>
          </w:p>
        </w:tc>
        <w:tc>
          <w:tcPr>
            <w:tcW w:w="818" w:type="dxa"/>
            <w:shd w:val="clear" w:color="auto" w:fill="auto"/>
            <w:vAlign w:val="center"/>
          </w:tcPr>
          <w:p w14:paraId="73C0E6D7">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基金预算拨款</w:t>
            </w:r>
          </w:p>
        </w:tc>
        <w:tc>
          <w:tcPr>
            <w:tcW w:w="881" w:type="dxa"/>
            <w:shd w:val="clear" w:color="auto" w:fill="auto"/>
            <w:vAlign w:val="center"/>
          </w:tcPr>
          <w:p w14:paraId="19BEF90C">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财政专户核拨</w:t>
            </w:r>
          </w:p>
        </w:tc>
        <w:tc>
          <w:tcPr>
            <w:tcW w:w="881" w:type="dxa"/>
            <w:shd w:val="clear" w:color="auto" w:fill="auto"/>
            <w:vAlign w:val="center"/>
          </w:tcPr>
          <w:p w14:paraId="3614561D">
            <w:pPr>
              <w:spacing w:line="300" w:lineRule="exact"/>
              <w:jc w:val="center"/>
              <w:rPr>
                <w:rFonts w:ascii="方正书宋_GBK" w:eastAsia="方正书宋_GBK" w:cs="Times New Roman"/>
                <w:b/>
                <w:szCs w:val="24"/>
              </w:rPr>
            </w:pPr>
            <w:r>
              <w:rPr>
                <w:rFonts w:hint="eastAsia" w:ascii="方正书宋_GBK" w:eastAsia="方正书宋_GBK" w:cs="Times New Roman"/>
                <w:b/>
                <w:szCs w:val="24"/>
              </w:rPr>
              <w:t>其他来源收入</w:t>
            </w:r>
          </w:p>
        </w:tc>
        <w:tc>
          <w:tcPr>
            <w:tcW w:w="826" w:type="dxa"/>
            <w:vMerge w:val="continue"/>
            <w:shd w:val="clear" w:color="auto" w:fill="auto"/>
            <w:vAlign w:val="center"/>
          </w:tcPr>
          <w:p w14:paraId="525BD0CD"/>
        </w:tc>
      </w:tr>
      <w:tr w14:paraId="0A7ED6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14" w:type="dxa"/>
            <w:shd w:val="clear" w:color="auto" w:fill="auto"/>
            <w:vAlign w:val="center"/>
          </w:tcPr>
          <w:p w14:paraId="0D8EC2CB">
            <w:pPr>
              <w:spacing w:line="300" w:lineRule="exact"/>
              <w:jc w:val="center"/>
              <w:rPr>
                <w:rFonts w:ascii="方正书宋_GBK" w:eastAsia="方正书宋_GBK" w:cs="Times New Roman"/>
                <w:b/>
                <w:bCs w:val="0"/>
                <w:szCs w:val="24"/>
              </w:rPr>
            </w:pPr>
            <w:r>
              <w:rPr>
                <w:rFonts w:hint="eastAsia" w:ascii="方正书宋_GBK" w:eastAsia="方正书宋_GBK" w:cs="Times New Roman"/>
                <w:b/>
                <w:bCs w:val="0"/>
                <w:szCs w:val="24"/>
              </w:rPr>
              <w:t>合　计</w:t>
            </w:r>
          </w:p>
        </w:tc>
        <w:tc>
          <w:tcPr>
            <w:tcW w:w="843" w:type="dxa"/>
            <w:shd w:val="clear" w:color="auto" w:fill="auto"/>
            <w:vAlign w:val="center"/>
          </w:tcPr>
          <w:p w14:paraId="59C06CEA">
            <w:pPr>
              <w:spacing w:line="300" w:lineRule="exact"/>
              <w:jc w:val="right"/>
              <w:rPr>
                <w:rFonts w:ascii="方正书宋_GBK" w:eastAsia="方正书宋_GBK" w:cs="Times New Roman"/>
                <w:b/>
                <w:bCs w:val="0"/>
                <w:szCs w:val="24"/>
              </w:rPr>
            </w:pPr>
          </w:p>
        </w:tc>
        <w:tc>
          <w:tcPr>
            <w:tcW w:w="879" w:type="dxa"/>
            <w:shd w:val="clear" w:color="auto" w:fill="auto"/>
            <w:vAlign w:val="center"/>
          </w:tcPr>
          <w:p w14:paraId="280278FD">
            <w:pPr>
              <w:spacing w:line="300" w:lineRule="exact"/>
              <w:jc w:val="left"/>
              <w:rPr>
                <w:rFonts w:ascii="方正书宋_GBK" w:eastAsia="方正书宋_GBK" w:cs="Times New Roman"/>
                <w:b/>
                <w:bCs w:val="0"/>
                <w:szCs w:val="24"/>
              </w:rPr>
            </w:pPr>
          </w:p>
        </w:tc>
        <w:tc>
          <w:tcPr>
            <w:tcW w:w="1398" w:type="dxa"/>
            <w:shd w:val="clear" w:color="auto" w:fill="auto"/>
            <w:vAlign w:val="center"/>
          </w:tcPr>
          <w:p w14:paraId="234F2C04">
            <w:pPr>
              <w:spacing w:line="300" w:lineRule="exact"/>
              <w:jc w:val="left"/>
              <w:rPr>
                <w:rFonts w:ascii="方正书宋_GBK" w:eastAsia="方正书宋_GBK" w:cs="Times New Roman"/>
                <w:b/>
                <w:bCs w:val="0"/>
                <w:szCs w:val="24"/>
              </w:rPr>
            </w:pPr>
          </w:p>
        </w:tc>
        <w:tc>
          <w:tcPr>
            <w:tcW w:w="879" w:type="dxa"/>
            <w:shd w:val="clear" w:color="auto" w:fill="auto"/>
            <w:vAlign w:val="center"/>
          </w:tcPr>
          <w:p w14:paraId="43DEC9C0">
            <w:pPr>
              <w:spacing w:line="300" w:lineRule="exact"/>
              <w:jc w:val="left"/>
              <w:rPr>
                <w:rFonts w:ascii="方正书宋_GBK" w:eastAsia="方正书宋_GBK" w:cs="Times New Roman"/>
                <w:b/>
                <w:bCs w:val="0"/>
                <w:szCs w:val="24"/>
              </w:rPr>
            </w:pPr>
          </w:p>
        </w:tc>
        <w:tc>
          <w:tcPr>
            <w:tcW w:w="879" w:type="dxa"/>
            <w:shd w:val="clear" w:color="auto" w:fill="auto"/>
            <w:vAlign w:val="center"/>
          </w:tcPr>
          <w:p w14:paraId="64E27B4B">
            <w:pPr>
              <w:spacing w:line="300" w:lineRule="exact"/>
              <w:jc w:val="right"/>
              <w:rPr>
                <w:rFonts w:ascii="方正书宋_GBK" w:eastAsia="方正书宋_GBK" w:cs="Times New Roman"/>
                <w:b/>
                <w:bCs w:val="0"/>
                <w:szCs w:val="24"/>
              </w:rPr>
            </w:pPr>
          </w:p>
        </w:tc>
        <w:tc>
          <w:tcPr>
            <w:tcW w:w="902" w:type="dxa"/>
            <w:shd w:val="clear" w:color="auto" w:fill="auto"/>
            <w:vAlign w:val="center"/>
          </w:tcPr>
          <w:p w14:paraId="09CA2712">
            <w:pPr>
              <w:spacing w:line="300" w:lineRule="exact"/>
              <w:jc w:val="right"/>
              <w:rPr>
                <w:rFonts w:ascii="方正书宋_GBK" w:eastAsia="方正书宋_GBK" w:cs="Times New Roman"/>
                <w:b/>
                <w:bCs w:val="0"/>
                <w:szCs w:val="24"/>
              </w:rPr>
            </w:pPr>
          </w:p>
        </w:tc>
        <w:tc>
          <w:tcPr>
            <w:tcW w:w="899" w:type="dxa"/>
            <w:shd w:val="clear" w:color="auto" w:fill="auto"/>
            <w:vAlign w:val="center"/>
          </w:tcPr>
          <w:p w14:paraId="2DA98C8E">
            <w:pPr>
              <w:spacing w:line="300" w:lineRule="exact"/>
              <w:jc w:val="right"/>
              <w:rPr>
                <w:rFonts w:hint="eastAsia" w:ascii="方正书宋_GBK" w:eastAsia="方正书宋_GBK" w:cs="Times New Roman"/>
                <w:b/>
                <w:bCs w:val="0"/>
                <w:szCs w:val="24"/>
                <w:lang w:val="en-US" w:eastAsia="zh-CN"/>
              </w:rPr>
            </w:pPr>
            <w:r>
              <w:rPr>
                <w:rFonts w:hint="eastAsia" w:ascii="方正书宋_GBK" w:eastAsia="方正书宋_GBK" w:cs="Times New Roman"/>
                <w:b/>
                <w:bCs w:val="0"/>
                <w:szCs w:val="24"/>
                <w:lang w:val="en-US" w:eastAsia="zh-CN"/>
              </w:rPr>
              <w:t>78.85</w:t>
            </w:r>
          </w:p>
        </w:tc>
        <w:tc>
          <w:tcPr>
            <w:tcW w:w="899" w:type="dxa"/>
            <w:shd w:val="clear" w:color="auto" w:fill="auto"/>
            <w:vAlign w:val="center"/>
          </w:tcPr>
          <w:p w14:paraId="0029C069">
            <w:pPr>
              <w:spacing w:line="300" w:lineRule="exact"/>
              <w:jc w:val="right"/>
              <w:rPr>
                <w:rFonts w:ascii="方正书宋_GBK" w:eastAsia="方正书宋_GBK" w:cs="Times New Roman"/>
                <w:b/>
                <w:bCs w:val="0"/>
                <w:szCs w:val="24"/>
              </w:rPr>
            </w:pPr>
            <w:r>
              <w:rPr>
                <w:rFonts w:hint="eastAsia" w:ascii="方正书宋_GBK" w:eastAsia="方正书宋_GBK" w:cs="Times New Roman"/>
                <w:b/>
                <w:bCs w:val="0"/>
                <w:szCs w:val="24"/>
                <w:lang w:val="en-US" w:eastAsia="zh-CN"/>
              </w:rPr>
              <w:t>78.85</w:t>
            </w:r>
          </w:p>
        </w:tc>
        <w:tc>
          <w:tcPr>
            <w:tcW w:w="899" w:type="dxa"/>
            <w:shd w:val="clear" w:color="auto" w:fill="auto"/>
            <w:vAlign w:val="center"/>
          </w:tcPr>
          <w:p w14:paraId="6723F90E">
            <w:pPr>
              <w:spacing w:line="300" w:lineRule="exact"/>
              <w:jc w:val="right"/>
              <w:rPr>
                <w:rFonts w:ascii="方正书宋_GBK" w:eastAsia="方正书宋_GBK" w:cs="Times New Roman"/>
                <w:b/>
                <w:bCs w:val="0"/>
                <w:szCs w:val="24"/>
              </w:rPr>
            </w:pPr>
            <w:r>
              <w:rPr>
                <w:rFonts w:hint="eastAsia" w:ascii="方正书宋_GBK" w:eastAsia="方正书宋_GBK" w:cs="Times New Roman"/>
                <w:b/>
                <w:bCs w:val="0"/>
                <w:szCs w:val="24"/>
                <w:lang w:val="en-US" w:eastAsia="zh-CN"/>
              </w:rPr>
              <w:t>78.85</w:t>
            </w:r>
          </w:p>
        </w:tc>
        <w:tc>
          <w:tcPr>
            <w:tcW w:w="818" w:type="dxa"/>
            <w:shd w:val="clear" w:color="auto" w:fill="auto"/>
            <w:vAlign w:val="center"/>
          </w:tcPr>
          <w:p w14:paraId="15C98711">
            <w:pPr>
              <w:spacing w:line="300" w:lineRule="exact"/>
              <w:jc w:val="right"/>
              <w:rPr>
                <w:rFonts w:ascii="方正书宋_GBK" w:eastAsia="方正书宋_GBK" w:cs="Times New Roman"/>
                <w:b/>
                <w:bCs w:val="0"/>
                <w:szCs w:val="24"/>
              </w:rPr>
            </w:pPr>
          </w:p>
        </w:tc>
        <w:tc>
          <w:tcPr>
            <w:tcW w:w="881" w:type="dxa"/>
            <w:shd w:val="clear" w:color="auto" w:fill="auto"/>
            <w:vAlign w:val="center"/>
          </w:tcPr>
          <w:p w14:paraId="035CCC05">
            <w:pPr>
              <w:spacing w:line="300" w:lineRule="exact"/>
              <w:jc w:val="right"/>
              <w:rPr>
                <w:rFonts w:ascii="方正书宋_GBK" w:eastAsia="方正书宋_GBK" w:cs="Times New Roman"/>
                <w:b/>
                <w:bCs w:val="0"/>
                <w:szCs w:val="24"/>
              </w:rPr>
            </w:pPr>
          </w:p>
        </w:tc>
        <w:tc>
          <w:tcPr>
            <w:tcW w:w="881" w:type="dxa"/>
            <w:shd w:val="clear" w:color="auto" w:fill="auto"/>
            <w:vAlign w:val="center"/>
          </w:tcPr>
          <w:p w14:paraId="7FE579BA">
            <w:pPr>
              <w:spacing w:line="300" w:lineRule="exact"/>
              <w:jc w:val="right"/>
              <w:rPr>
                <w:rFonts w:ascii="方正书宋_GBK" w:eastAsia="方正书宋_GBK" w:cs="Times New Roman"/>
                <w:b/>
                <w:bCs w:val="0"/>
                <w:szCs w:val="24"/>
              </w:rPr>
            </w:pPr>
          </w:p>
        </w:tc>
        <w:tc>
          <w:tcPr>
            <w:tcW w:w="826" w:type="dxa"/>
            <w:shd w:val="clear" w:color="auto" w:fill="auto"/>
            <w:vAlign w:val="center"/>
          </w:tcPr>
          <w:p w14:paraId="20A87ACB">
            <w:pPr>
              <w:spacing w:line="300" w:lineRule="exact"/>
              <w:jc w:val="right"/>
              <w:rPr>
                <w:rFonts w:ascii="方正书宋_GBK" w:eastAsia="方正书宋_GBK" w:cs="Times New Roman"/>
                <w:b/>
                <w:bCs w:val="0"/>
                <w:szCs w:val="24"/>
              </w:rPr>
            </w:pPr>
          </w:p>
        </w:tc>
      </w:tr>
      <w:tr w14:paraId="0324F4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14" w:type="dxa"/>
            <w:shd w:val="clear" w:color="auto" w:fill="auto"/>
            <w:vAlign w:val="center"/>
          </w:tcPr>
          <w:p w14:paraId="20D22269">
            <w:pPr>
              <w:spacing w:line="300" w:lineRule="exact"/>
              <w:jc w:val="left"/>
              <w:rPr>
                <w:rFonts w:hint="eastAsia" w:ascii="仿宋" w:eastAsia="仿宋" w:cs="仿宋"/>
                <w:b w:val="0"/>
                <w:bCs/>
                <w:szCs w:val="24"/>
                <w:shd w:val="clear" w:color="auto" w:fill="auto"/>
                <w:lang w:eastAsia="zh-CN"/>
              </w:rPr>
            </w:pPr>
            <w:r>
              <w:rPr>
                <w:rFonts w:hint="eastAsia" w:ascii="仿宋" w:eastAsia="仿宋" w:cs="仿宋"/>
                <w:b w:val="0"/>
                <w:bCs/>
                <w:szCs w:val="24"/>
                <w:shd w:val="clear" w:color="auto" w:fill="auto"/>
                <w:lang w:eastAsia="zh-CN"/>
              </w:rPr>
              <w:t>购买办公设备经费</w:t>
            </w:r>
          </w:p>
        </w:tc>
        <w:tc>
          <w:tcPr>
            <w:tcW w:w="843" w:type="dxa"/>
            <w:shd w:val="clear" w:color="auto" w:fill="auto"/>
            <w:vAlign w:val="center"/>
          </w:tcPr>
          <w:p w14:paraId="7D5E12A0">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5.00</w:t>
            </w:r>
          </w:p>
        </w:tc>
        <w:tc>
          <w:tcPr>
            <w:tcW w:w="879" w:type="dxa"/>
            <w:shd w:val="clear" w:color="auto" w:fill="auto"/>
            <w:vAlign w:val="center"/>
          </w:tcPr>
          <w:p w14:paraId="354546E8">
            <w:pPr>
              <w:spacing w:line="300" w:lineRule="exact"/>
              <w:jc w:val="left"/>
              <w:rPr>
                <w:rFonts w:hint="eastAsia" w:ascii="仿宋" w:eastAsia="仿宋" w:cs="仿宋"/>
                <w:b w:val="0"/>
                <w:bCs/>
                <w:szCs w:val="24"/>
                <w:lang w:eastAsia="zh-CN"/>
              </w:rPr>
            </w:pPr>
            <w:r>
              <w:rPr>
                <w:rFonts w:hint="eastAsia" w:ascii="仿宋" w:eastAsia="仿宋" w:cs="仿宋"/>
                <w:b w:val="0"/>
                <w:bCs/>
                <w:szCs w:val="24"/>
                <w:lang w:eastAsia="zh-CN"/>
              </w:rPr>
              <w:t>打印设备</w:t>
            </w:r>
          </w:p>
        </w:tc>
        <w:tc>
          <w:tcPr>
            <w:tcW w:w="1398" w:type="dxa"/>
            <w:shd w:val="clear" w:color="auto" w:fill="auto"/>
            <w:vAlign w:val="center"/>
          </w:tcPr>
          <w:p w14:paraId="2AD1ACF4">
            <w:pPr>
              <w:spacing w:line="300" w:lineRule="exact"/>
              <w:jc w:val="left"/>
              <w:rPr>
                <w:rFonts w:hint="eastAsia" w:ascii="仿宋" w:eastAsia="仿宋" w:cs="仿宋"/>
                <w:b w:val="0"/>
                <w:bCs/>
                <w:szCs w:val="24"/>
                <w:lang w:val="en-US" w:eastAsia="zh-CN"/>
              </w:rPr>
            </w:pPr>
            <w:r>
              <w:rPr>
                <w:rFonts w:hint="eastAsia" w:ascii="仿宋" w:eastAsia="仿宋" w:cs="仿宋"/>
                <w:b w:val="0"/>
                <w:bCs/>
                <w:szCs w:val="24"/>
                <w:lang w:val="en-US" w:eastAsia="zh-CN"/>
              </w:rPr>
              <w:t>A02010601</w:t>
            </w:r>
          </w:p>
        </w:tc>
        <w:tc>
          <w:tcPr>
            <w:tcW w:w="879" w:type="dxa"/>
            <w:shd w:val="clear" w:color="auto" w:fill="auto"/>
            <w:vAlign w:val="center"/>
          </w:tcPr>
          <w:p w14:paraId="0EC0A35B">
            <w:pPr>
              <w:spacing w:line="300" w:lineRule="exact"/>
              <w:jc w:val="left"/>
              <w:rPr>
                <w:rFonts w:hint="eastAsia" w:ascii="仿宋" w:eastAsia="仿宋" w:cs="仿宋"/>
                <w:b w:val="0"/>
                <w:bCs/>
                <w:szCs w:val="24"/>
                <w:lang w:eastAsia="zh-CN"/>
              </w:rPr>
            </w:pPr>
            <w:r>
              <w:rPr>
                <w:rFonts w:hint="eastAsia" w:ascii="仿宋" w:eastAsia="仿宋" w:cs="仿宋"/>
                <w:b w:val="0"/>
                <w:bCs/>
                <w:szCs w:val="24"/>
                <w:lang w:eastAsia="zh-CN"/>
              </w:rPr>
              <w:t>台</w:t>
            </w:r>
          </w:p>
        </w:tc>
        <w:tc>
          <w:tcPr>
            <w:tcW w:w="879" w:type="dxa"/>
            <w:shd w:val="clear" w:color="auto" w:fill="auto"/>
            <w:vAlign w:val="center"/>
          </w:tcPr>
          <w:p w14:paraId="156AAE64">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3</w:t>
            </w:r>
          </w:p>
        </w:tc>
        <w:tc>
          <w:tcPr>
            <w:tcW w:w="902" w:type="dxa"/>
            <w:shd w:val="clear" w:color="auto" w:fill="auto"/>
            <w:vAlign w:val="center"/>
          </w:tcPr>
          <w:p w14:paraId="289694C6">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0.40</w:t>
            </w:r>
          </w:p>
        </w:tc>
        <w:tc>
          <w:tcPr>
            <w:tcW w:w="899" w:type="dxa"/>
            <w:shd w:val="clear" w:color="auto" w:fill="auto"/>
            <w:vAlign w:val="center"/>
          </w:tcPr>
          <w:p w14:paraId="51BD5100">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1.20</w:t>
            </w:r>
          </w:p>
        </w:tc>
        <w:tc>
          <w:tcPr>
            <w:tcW w:w="899" w:type="dxa"/>
            <w:shd w:val="clear" w:color="auto" w:fill="auto"/>
            <w:vAlign w:val="center"/>
          </w:tcPr>
          <w:p w14:paraId="1FDD0C0A">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1.20</w:t>
            </w:r>
          </w:p>
        </w:tc>
        <w:tc>
          <w:tcPr>
            <w:tcW w:w="899" w:type="dxa"/>
            <w:shd w:val="clear" w:color="auto" w:fill="auto"/>
            <w:vAlign w:val="center"/>
          </w:tcPr>
          <w:p w14:paraId="35D5BD2D">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1.20</w:t>
            </w:r>
          </w:p>
        </w:tc>
        <w:tc>
          <w:tcPr>
            <w:tcW w:w="818" w:type="dxa"/>
            <w:shd w:val="clear" w:color="auto" w:fill="auto"/>
            <w:vAlign w:val="center"/>
          </w:tcPr>
          <w:p w14:paraId="0F73340F">
            <w:pPr>
              <w:spacing w:line="300" w:lineRule="exact"/>
              <w:jc w:val="right"/>
              <w:rPr>
                <w:rFonts w:hint="eastAsia" w:ascii="仿宋" w:eastAsia="仿宋" w:cs="仿宋"/>
                <w:b w:val="0"/>
                <w:bCs/>
                <w:szCs w:val="24"/>
              </w:rPr>
            </w:pPr>
          </w:p>
        </w:tc>
        <w:tc>
          <w:tcPr>
            <w:tcW w:w="881" w:type="dxa"/>
            <w:shd w:val="clear" w:color="auto" w:fill="auto"/>
            <w:vAlign w:val="center"/>
          </w:tcPr>
          <w:p w14:paraId="38B6C7A3">
            <w:pPr>
              <w:spacing w:line="300" w:lineRule="exact"/>
              <w:jc w:val="right"/>
              <w:rPr>
                <w:rFonts w:hint="eastAsia" w:ascii="仿宋" w:eastAsia="仿宋" w:cs="仿宋"/>
                <w:b w:val="0"/>
                <w:bCs/>
                <w:szCs w:val="24"/>
              </w:rPr>
            </w:pPr>
          </w:p>
        </w:tc>
        <w:tc>
          <w:tcPr>
            <w:tcW w:w="881" w:type="dxa"/>
            <w:shd w:val="clear" w:color="auto" w:fill="auto"/>
            <w:vAlign w:val="center"/>
          </w:tcPr>
          <w:p w14:paraId="7CC7DFEF">
            <w:pPr>
              <w:spacing w:line="300" w:lineRule="exact"/>
              <w:jc w:val="right"/>
              <w:rPr>
                <w:rFonts w:hint="eastAsia" w:ascii="仿宋" w:eastAsia="仿宋" w:cs="仿宋"/>
                <w:b w:val="0"/>
                <w:bCs/>
                <w:szCs w:val="24"/>
              </w:rPr>
            </w:pPr>
          </w:p>
        </w:tc>
        <w:tc>
          <w:tcPr>
            <w:tcW w:w="826" w:type="dxa"/>
            <w:shd w:val="clear" w:color="auto" w:fill="auto"/>
            <w:vAlign w:val="center"/>
          </w:tcPr>
          <w:p w14:paraId="0D8452CF">
            <w:pPr>
              <w:spacing w:line="300" w:lineRule="exact"/>
              <w:jc w:val="right"/>
              <w:rPr>
                <w:rFonts w:hint="eastAsia" w:ascii="仿宋" w:eastAsia="仿宋" w:cs="仿宋"/>
                <w:b w:val="0"/>
                <w:bCs/>
                <w:szCs w:val="24"/>
              </w:rPr>
            </w:pPr>
          </w:p>
        </w:tc>
      </w:tr>
      <w:tr w14:paraId="31E321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14" w:type="dxa"/>
            <w:shd w:val="clear" w:color="auto" w:fill="auto"/>
            <w:vAlign w:val="center"/>
          </w:tcPr>
          <w:p w14:paraId="2B6D48FD">
            <w:pPr>
              <w:spacing w:line="300" w:lineRule="exact"/>
              <w:jc w:val="left"/>
              <w:rPr>
                <w:rFonts w:hint="eastAsia" w:ascii="仿宋" w:eastAsia="仿宋" w:cs="仿宋"/>
                <w:b w:val="0"/>
                <w:bCs/>
                <w:szCs w:val="24"/>
                <w:shd w:val="clear" w:color="auto" w:fill="auto"/>
              </w:rPr>
            </w:pPr>
            <w:r>
              <w:rPr>
                <w:rFonts w:hint="eastAsia" w:ascii="仿宋" w:eastAsia="仿宋" w:cs="仿宋"/>
                <w:b w:val="0"/>
                <w:bCs/>
                <w:szCs w:val="24"/>
                <w:shd w:val="clear" w:color="auto" w:fill="auto"/>
                <w:lang w:eastAsia="zh-CN"/>
              </w:rPr>
              <w:t>购买办公设备经费</w:t>
            </w:r>
          </w:p>
        </w:tc>
        <w:tc>
          <w:tcPr>
            <w:tcW w:w="843" w:type="dxa"/>
            <w:shd w:val="clear" w:color="auto" w:fill="auto"/>
            <w:vAlign w:val="center"/>
          </w:tcPr>
          <w:p w14:paraId="3EE155C6">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5.00</w:t>
            </w:r>
          </w:p>
        </w:tc>
        <w:tc>
          <w:tcPr>
            <w:tcW w:w="879" w:type="dxa"/>
            <w:shd w:val="clear" w:color="auto" w:fill="auto"/>
            <w:vAlign w:val="center"/>
          </w:tcPr>
          <w:p w14:paraId="56351142">
            <w:pPr>
              <w:spacing w:line="300" w:lineRule="exact"/>
              <w:jc w:val="left"/>
              <w:rPr>
                <w:rFonts w:hint="eastAsia" w:ascii="仿宋" w:eastAsia="仿宋" w:cs="仿宋"/>
                <w:b w:val="0"/>
                <w:bCs/>
                <w:szCs w:val="24"/>
                <w:lang w:eastAsia="zh-CN"/>
              </w:rPr>
            </w:pPr>
            <w:r>
              <w:rPr>
                <w:rFonts w:hint="eastAsia" w:ascii="仿宋" w:eastAsia="仿宋" w:cs="仿宋"/>
                <w:b w:val="0"/>
                <w:bCs/>
                <w:szCs w:val="24"/>
                <w:lang w:eastAsia="zh-CN"/>
              </w:rPr>
              <w:t>空气调节电器</w:t>
            </w:r>
          </w:p>
        </w:tc>
        <w:tc>
          <w:tcPr>
            <w:tcW w:w="1398" w:type="dxa"/>
            <w:shd w:val="clear" w:color="auto" w:fill="auto"/>
            <w:vAlign w:val="center"/>
          </w:tcPr>
          <w:p w14:paraId="52E6645B">
            <w:pPr>
              <w:spacing w:line="300" w:lineRule="exact"/>
              <w:jc w:val="left"/>
              <w:rPr>
                <w:rFonts w:hint="eastAsia" w:ascii="仿宋" w:eastAsia="仿宋" w:cs="仿宋"/>
                <w:b w:val="0"/>
                <w:bCs/>
                <w:szCs w:val="24"/>
                <w:lang w:val="en-US" w:eastAsia="zh-CN"/>
              </w:rPr>
            </w:pPr>
            <w:r>
              <w:rPr>
                <w:rFonts w:hint="eastAsia" w:ascii="仿宋" w:eastAsia="仿宋" w:cs="仿宋"/>
                <w:b w:val="0"/>
                <w:bCs/>
                <w:szCs w:val="24"/>
                <w:lang w:val="en-US" w:eastAsia="zh-CN"/>
              </w:rPr>
              <w:t>A02061802</w:t>
            </w:r>
          </w:p>
        </w:tc>
        <w:tc>
          <w:tcPr>
            <w:tcW w:w="879" w:type="dxa"/>
            <w:shd w:val="clear" w:color="auto" w:fill="auto"/>
            <w:vAlign w:val="center"/>
          </w:tcPr>
          <w:p w14:paraId="67FB1E93">
            <w:pPr>
              <w:spacing w:line="300" w:lineRule="exact"/>
              <w:jc w:val="left"/>
              <w:rPr>
                <w:rFonts w:hint="eastAsia" w:ascii="仿宋" w:eastAsia="仿宋" w:cs="仿宋"/>
                <w:b w:val="0"/>
                <w:bCs/>
                <w:szCs w:val="24"/>
              </w:rPr>
            </w:pPr>
            <w:r>
              <w:rPr>
                <w:rFonts w:hint="eastAsia" w:ascii="仿宋" w:eastAsia="仿宋" w:cs="仿宋"/>
                <w:b w:val="0"/>
                <w:bCs/>
                <w:szCs w:val="24"/>
                <w:lang w:eastAsia="zh-CN"/>
              </w:rPr>
              <w:t>台</w:t>
            </w:r>
          </w:p>
        </w:tc>
        <w:tc>
          <w:tcPr>
            <w:tcW w:w="879" w:type="dxa"/>
            <w:shd w:val="clear" w:color="auto" w:fill="auto"/>
            <w:vAlign w:val="center"/>
          </w:tcPr>
          <w:p w14:paraId="32B596FE">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4</w:t>
            </w:r>
          </w:p>
        </w:tc>
        <w:tc>
          <w:tcPr>
            <w:tcW w:w="902" w:type="dxa"/>
            <w:shd w:val="clear" w:color="auto" w:fill="auto"/>
            <w:vAlign w:val="center"/>
          </w:tcPr>
          <w:p w14:paraId="4FB99C47">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0.40</w:t>
            </w:r>
          </w:p>
        </w:tc>
        <w:tc>
          <w:tcPr>
            <w:tcW w:w="899" w:type="dxa"/>
            <w:shd w:val="clear" w:color="auto" w:fill="auto"/>
            <w:vAlign w:val="center"/>
          </w:tcPr>
          <w:p w14:paraId="54DC83AB">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1.60</w:t>
            </w:r>
          </w:p>
        </w:tc>
        <w:tc>
          <w:tcPr>
            <w:tcW w:w="899" w:type="dxa"/>
            <w:shd w:val="clear" w:color="auto" w:fill="auto"/>
            <w:vAlign w:val="center"/>
          </w:tcPr>
          <w:p w14:paraId="518434B9">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1.60</w:t>
            </w:r>
          </w:p>
        </w:tc>
        <w:tc>
          <w:tcPr>
            <w:tcW w:w="899" w:type="dxa"/>
            <w:shd w:val="clear" w:color="auto" w:fill="auto"/>
            <w:vAlign w:val="center"/>
          </w:tcPr>
          <w:p w14:paraId="4B7449F1">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1.60</w:t>
            </w:r>
          </w:p>
        </w:tc>
        <w:tc>
          <w:tcPr>
            <w:tcW w:w="818" w:type="dxa"/>
            <w:shd w:val="clear" w:color="auto" w:fill="auto"/>
            <w:vAlign w:val="center"/>
          </w:tcPr>
          <w:p w14:paraId="384DAA09">
            <w:pPr>
              <w:spacing w:line="300" w:lineRule="exact"/>
              <w:jc w:val="right"/>
              <w:rPr>
                <w:rFonts w:hint="eastAsia" w:ascii="仿宋" w:eastAsia="仿宋" w:cs="仿宋"/>
                <w:b w:val="0"/>
                <w:bCs/>
                <w:szCs w:val="24"/>
              </w:rPr>
            </w:pPr>
          </w:p>
        </w:tc>
        <w:tc>
          <w:tcPr>
            <w:tcW w:w="881" w:type="dxa"/>
            <w:shd w:val="clear" w:color="auto" w:fill="auto"/>
            <w:vAlign w:val="center"/>
          </w:tcPr>
          <w:p w14:paraId="72B46702">
            <w:pPr>
              <w:spacing w:line="300" w:lineRule="exact"/>
              <w:jc w:val="right"/>
              <w:rPr>
                <w:rFonts w:hint="eastAsia" w:ascii="仿宋" w:eastAsia="仿宋" w:cs="仿宋"/>
                <w:b w:val="0"/>
                <w:bCs/>
                <w:szCs w:val="24"/>
              </w:rPr>
            </w:pPr>
          </w:p>
        </w:tc>
        <w:tc>
          <w:tcPr>
            <w:tcW w:w="881" w:type="dxa"/>
            <w:shd w:val="clear" w:color="auto" w:fill="auto"/>
            <w:vAlign w:val="center"/>
          </w:tcPr>
          <w:p w14:paraId="3259FECE">
            <w:pPr>
              <w:spacing w:line="300" w:lineRule="exact"/>
              <w:jc w:val="right"/>
              <w:rPr>
                <w:rFonts w:hint="eastAsia" w:ascii="仿宋" w:eastAsia="仿宋" w:cs="仿宋"/>
                <w:b w:val="0"/>
                <w:bCs/>
                <w:szCs w:val="24"/>
              </w:rPr>
            </w:pPr>
          </w:p>
        </w:tc>
        <w:tc>
          <w:tcPr>
            <w:tcW w:w="826" w:type="dxa"/>
            <w:shd w:val="clear" w:color="auto" w:fill="auto"/>
            <w:vAlign w:val="center"/>
          </w:tcPr>
          <w:p w14:paraId="21D55464">
            <w:pPr>
              <w:spacing w:line="300" w:lineRule="exact"/>
              <w:jc w:val="right"/>
              <w:rPr>
                <w:rFonts w:hint="eastAsia" w:ascii="仿宋" w:eastAsia="仿宋" w:cs="仿宋"/>
                <w:b w:val="0"/>
                <w:bCs/>
                <w:szCs w:val="24"/>
              </w:rPr>
            </w:pPr>
          </w:p>
        </w:tc>
      </w:tr>
      <w:tr w14:paraId="18AD65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14" w:type="dxa"/>
            <w:shd w:val="clear" w:color="auto" w:fill="auto"/>
            <w:vAlign w:val="center"/>
          </w:tcPr>
          <w:p w14:paraId="5E101D5A">
            <w:pPr>
              <w:spacing w:line="300" w:lineRule="exact"/>
              <w:jc w:val="left"/>
              <w:rPr>
                <w:rFonts w:hint="eastAsia" w:ascii="仿宋" w:eastAsia="仿宋" w:cs="仿宋"/>
                <w:b w:val="0"/>
                <w:bCs/>
                <w:szCs w:val="24"/>
                <w:shd w:val="clear" w:color="auto" w:fill="auto"/>
              </w:rPr>
            </w:pPr>
            <w:r>
              <w:rPr>
                <w:rFonts w:hint="eastAsia" w:ascii="仿宋" w:eastAsia="仿宋" w:cs="仿宋"/>
                <w:b w:val="0"/>
                <w:bCs/>
                <w:szCs w:val="24"/>
                <w:shd w:val="clear" w:color="auto" w:fill="auto"/>
                <w:lang w:eastAsia="zh-CN"/>
              </w:rPr>
              <w:t>购买办公设备经费</w:t>
            </w:r>
          </w:p>
        </w:tc>
        <w:tc>
          <w:tcPr>
            <w:tcW w:w="843" w:type="dxa"/>
            <w:shd w:val="clear" w:color="auto" w:fill="auto"/>
            <w:vAlign w:val="center"/>
          </w:tcPr>
          <w:p w14:paraId="0636513B">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5.00</w:t>
            </w:r>
          </w:p>
        </w:tc>
        <w:tc>
          <w:tcPr>
            <w:tcW w:w="879" w:type="dxa"/>
            <w:shd w:val="clear" w:color="auto" w:fill="auto"/>
            <w:vAlign w:val="center"/>
          </w:tcPr>
          <w:p w14:paraId="560D832D">
            <w:pPr>
              <w:spacing w:line="300" w:lineRule="exact"/>
              <w:jc w:val="left"/>
              <w:rPr>
                <w:rFonts w:hint="eastAsia" w:ascii="仿宋" w:eastAsia="仿宋" w:cs="仿宋"/>
                <w:b w:val="0"/>
                <w:bCs/>
                <w:szCs w:val="24"/>
                <w:lang w:eastAsia="zh-CN"/>
              </w:rPr>
            </w:pPr>
            <w:r>
              <w:rPr>
                <w:rFonts w:hint="eastAsia" w:ascii="仿宋" w:eastAsia="仿宋" w:cs="仿宋"/>
                <w:b w:val="0"/>
                <w:bCs/>
                <w:szCs w:val="24"/>
                <w:lang w:eastAsia="zh-CN"/>
              </w:rPr>
              <w:t>计算机设备</w:t>
            </w:r>
          </w:p>
        </w:tc>
        <w:tc>
          <w:tcPr>
            <w:tcW w:w="1398" w:type="dxa"/>
            <w:shd w:val="clear" w:color="auto" w:fill="auto"/>
            <w:vAlign w:val="center"/>
          </w:tcPr>
          <w:p w14:paraId="0E63E438">
            <w:pPr>
              <w:spacing w:line="300" w:lineRule="exact"/>
              <w:jc w:val="left"/>
              <w:rPr>
                <w:rFonts w:hint="eastAsia" w:ascii="仿宋" w:eastAsia="仿宋" w:cs="仿宋"/>
                <w:b w:val="0"/>
                <w:bCs/>
                <w:szCs w:val="24"/>
                <w:lang w:val="en-US" w:eastAsia="zh-CN"/>
              </w:rPr>
            </w:pPr>
            <w:r>
              <w:rPr>
                <w:rFonts w:hint="eastAsia" w:ascii="仿宋" w:eastAsia="仿宋" w:cs="仿宋"/>
                <w:b w:val="0"/>
                <w:bCs/>
                <w:szCs w:val="24"/>
                <w:lang w:val="en-US" w:eastAsia="zh-CN"/>
              </w:rPr>
              <w:t>A020101</w:t>
            </w:r>
          </w:p>
        </w:tc>
        <w:tc>
          <w:tcPr>
            <w:tcW w:w="879" w:type="dxa"/>
            <w:shd w:val="clear" w:color="auto" w:fill="auto"/>
            <w:vAlign w:val="center"/>
          </w:tcPr>
          <w:p w14:paraId="28286CB1">
            <w:pPr>
              <w:spacing w:line="300" w:lineRule="exact"/>
              <w:jc w:val="left"/>
              <w:rPr>
                <w:rFonts w:hint="eastAsia" w:ascii="仿宋" w:eastAsia="仿宋" w:cs="仿宋"/>
                <w:b w:val="0"/>
                <w:bCs/>
                <w:szCs w:val="24"/>
              </w:rPr>
            </w:pPr>
            <w:r>
              <w:rPr>
                <w:rFonts w:hint="eastAsia" w:ascii="仿宋" w:eastAsia="仿宋" w:cs="仿宋"/>
                <w:b w:val="0"/>
                <w:bCs/>
                <w:szCs w:val="24"/>
                <w:lang w:eastAsia="zh-CN"/>
              </w:rPr>
              <w:t>台</w:t>
            </w:r>
          </w:p>
        </w:tc>
        <w:tc>
          <w:tcPr>
            <w:tcW w:w="879" w:type="dxa"/>
            <w:shd w:val="clear" w:color="auto" w:fill="auto"/>
            <w:vAlign w:val="center"/>
          </w:tcPr>
          <w:p w14:paraId="7C2D6498">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4</w:t>
            </w:r>
          </w:p>
        </w:tc>
        <w:tc>
          <w:tcPr>
            <w:tcW w:w="902" w:type="dxa"/>
            <w:shd w:val="clear" w:color="auto" w:fill="auto"/>
            <w:vAlign w:val="center"/>
          </w:tcPr>
          <w:p w14:paraId="2F60ABC2">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0.55</w:t>
            </w:r>
          </w:p>
        </w:tc>
        <w:tc>
          <w:tcPr>
            <w:tcW w:w="899" w:type="dxa"/>
            <w:shd w:val="clear" w:color="auto" w:fill="auto"/>
            <w:vAlign w:val="center"/>
          </w:tcPr>
          <w:p w14:paraId="63B7F01D">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2.20</w:t>
            </w:r>
          </w:p>
        </w:tc>
        <w:tc>
          <w:tcPr>
            <w:tcW w:w="899" w:type="dxa"/>
            <w:shd w:val="clear" w:color="auto" w:fill="auto"/>
            <w:vAlign w:val="center"/>
          </w:tcPr>
          <w:p w14:paraId="6C491095">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2.20</w:t>
            </w:r>
          </w:p>
        </w:tc>
        <w:tc>
          <w:tcPr>
            <w:tcW w:w="899" w:type="dxa"/>
            <w:shd w:val="clear" w:color="auto" w:fill="auto"/>
            <w:vAlign w:val="center"/>
          </w:tcPr>
          <w:p w14:paraId="0EE5C11E">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2.20</w:t>
            </w:r>
          </w:p>
        </w:tc>
        <w:tc>
          <w:tcPr>
            <w:tcW w:w="818" w:type="dxa"/>
            <w:shd w:val="clear" w:color="auto" w:fill="auto"/>
            <w:vAlign w:val="center"/>
          </w:tcPr>
          <w:p w14:paraId="2226733B">
            <w:pPr>
              <w:spacing w:line="300" w:lineRule="exact"/>
              <w:jc w:val="right"/>
              <w:rPr>
                <w:rFonts w:hint="eastAsia" w:ascii="仿宋" w:eastAsia="仿宋" w:cs="仿宋"/>
                <w:b w:val="0"/>
                <w:bCs/>
                <w:szCs w:val="24"/>
              </w:rPr>
            </w:pPr>
          </w:p>
        </w:tc>
        <w:tc>
          <w:tcPr>
            <w:tcW w:w="881" w:type="dxa"/>
            <w:shd w:val="clear" w:color="auto" w:fill="auto"/>
            <w:vAlign w:val="center"/>
          </w:tcPr>
          <w:p w14:paraId="1E677A30">
            <w:pPr>
              <w:spacing w:line="300" w:lineRule="exact"/>
              <w:jc w:val="right"/>
              <w:rPr>
                <w:rFonts w:hint="eastAsia" w:ascii="仿宋" w:eastAsia="仿宋" w:cs="仿宋"/>
                <w:b w:val="0"/>
                <w:bCs/>
                <w:szCs w:val="24"/>
              </w:rPr>
            </w:pPr>
          </w:p>
        </w:tc>
        <w:tc>
          <w:tcPr>
            <w:tcW w:w="881" w:type="dxa"/>
            <w:shd w:val="clear" w:color="auto" w:fill="auto"/>
            <w:vAlign w:val="center"/>
          </w:tcPr>
          <w:p w14:paraId="5493F7A5">
            <w:pPr>
              <w:spacing w:line="300" w:lineRule="exact"/>
              <w:jc w:val="right"/>
              <w:rPr>
                <w:rFonts w:hint="eastAsia" w:ascii="仿宋" w:eastAsia="仿宋" w:cs="仿宋"/>
                <w:b w:val="0"/>
                <w:bCs/>
                <w:szCs w:val="24"/>
              </w:rPr>
            </w:pPr>
          </w:p>
        </w:tc>
        <w:tc>
          <w:tcPr>
            <w:tcW w:w="826" w:type="dxa"/>
            <w:shd w:val="clear" w:color="auto" w:fill="auto"/>
            <w:vAlign w:val="center"/>
          </w:tcPr>
          <w:p w14:paraId="4F3F631A">
            <w:pPr>
              <w:spacing w:line="300" w:lineRule="exact"/>
              <w:jc w:val="right"/>
              <w:rPr>
                <w:rFonts w:hint="eastAsia" w:ascii="仿宋" w:eastAsia="仿宋" w:cs="仿宋"/>
                <w:b w:val="0"/>
                <w:bCs/>
                <w:szCs w:val="24"/>
              </w:rPr>
            </w:pPr>
          </w:p>
        </w:tc>
      </w:tr>
      <w:tr w14:paraId="50796C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14" w:type="dxa"/>
            <w:shd w:val="clear" w:color="auto" w:fill="auto"/>
            <w:vAlign w:val="center"/>
          </w:tcPr>
          <w:p w14:paraId="55B2A17E">
            <w:pPr>
              <w:spacing w:line="300" w:lineRule="exact"/>
              <w:jc w:val="left"/>
              <w:rPr>
                <w:rFonts w:hint="eastAsia" w:ascii="仿宋" w:eastAsia="仿宋" w:cs="仿宋"/>
                <w:szCs w:val="24"/>
                <w:lang w:eastAsia="zh-CN"/>
              </w:rPr>
            </w:pPr>
            <w:r>
              <w:rPr>
                <w:rFonts w:hint="eastAsia" w:ascii="仿宋" w:eastAsia="仿宋" w:cs="仿宋"/>
                <w:szCs w:val="24"/>
                <w:lang w:eastAsia="zh-CN"/>
              </w:rPr>
              <w:t>劳务派遣社会化用工经费</w:t>
            </w:r>
          </w:p>
        </w:tc>
        <w:tc>
          <w:tcPr>
            <w:tcW w:w="843" w:type="dxa"/>
            <w:shd w:val="clear" w:color="auto" w:fill="auto"/>
            <w:vAlign w:val="center"/>
          </w:tcPr>
          <w:p w14:paraId="2CC8396D">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79.00</w:t>
            </w:r>
          </w:p>
        </w:tc>
        <w:tc>
          <w:tcPr>
            <w:tcW w:w="879" w:type="dxa"/>
            <w:shd w:val="clear" w:color="auto" w:fill="auto"/>
            <w:vAlign w:val="center"/>
          </w:tcPr>
          <w:p w14:paraId="08F9841C">
            <w:pPr>
              <w:spacing w:line="300" w:lineRule="exact"/>
              <w:jc w:val="left"/>
              <w:rPr>
                <w:rFonts w:hint="eastAsia" w:ascii="仿宋" w:eastAsia="仿宋" w:cs="仿宋"/>
                <w:b w:val="0"/>
                <w:bCs/>
                <w:szCs w:val="24"/>
                <w:lang w:eastAsia="zh-CN"/>
              </w:rPr>
            </w:pPr>
            <w:r>
              <w:rPr>
                <w:rFonts w:hint="eastAsia" w:ascii="仿宋" w:eastAsia="仿宋" w:cs="仿宋"/>
                <w:b w:val="0"/>
                <w:bCs/>
                <w:szCs w:val="24"/>
                <w:lang w:eastAsia="zh-CN"/>
              </w:rPr>
              <w:t>打印设备</w:t>
            </w:r>
          </w:p>
        </w:tc>
        <w:tc>
          <w:tcPr>
            <w:tcW w:w="1398" w:type="dxa"/>
            <w:shd w:val="clear" w:color="auto" w:fill="auto"/>
            <w:vAlign w:val="center"/>
          </w:tcPr>
          <w:p w14:paraId="5CA62089">
            <w:pPr>
              <w:spacing w:line="300" w:lineRule="exact"/>
              <w:jc w:val="left"/>
              <w:rPr>
                <w:rFonts w:hint="eastAsia" w:ascii="仿宋" w:eastAsia="仿宋" w:cs="仿宋"/>
                <w:b w:val="0"/>
                <w:bCs/>
                <w:szCs w:val="24"/>
                <w:lang w:val="en-US" w:eastAsia="zh-CN"/>
              </w:rPr>
            </w:pPr>
            <w:r>
              <w:rPr>
                <w:rFonts w:hint="eastAsia" w:ascii="仿宋" w:eastAsia="仿宋" w:cs="仿宋"/>
                <w:b w:val="0"/>
                <w:bCs/>
                <w:szCs w:val="24"/>
                <w:lang w:val="en-US" w:eastAsia="zh-CN"/>
              </w:rPr>
              <w:t>A020101</w:t>
            </w:r>
          </w:p>
        </w:tc>
        <w:tc>
          <w:tcPr>
            <w:tcW w:w="879" w:type="dxa"/>
            <w:shd w:val="clear" w:color="auto" w:fill="auto"/>
            <w:vAlign w:val="center"/>
          </w:tcPr>
          <w:p w14:paraId="22A1CAEB">
            <w:pPr>
              <w:spacing w:line="300" w:lineRule="exact"/>
              <w:jc w:val="left"/>
              <w:rPr>
                <w:rFonts w:hint="eastAsia" w:ascii="仿宋" w:eastAsia="仿宋" w:cs="仿宋"/>
                <w:b w:val="0"/>
                <w:bCs/>
                <w:szCs w:val="24"/>
              </w:rPr>
            </w:pPr>
            <w:r>
              <w:rPr>
                <w:rFonts w:hint="eastAsia" w:ascii="仿宋" w:eastAsia="仿宋" w:cs="仿宋"/>
                <w:b w:val="0"/>
                <w:bCs/>
                <w:szCs w:val="24"/>
                <w:lang w:eastAsia="zh-CN"/>
              </w:rPr>
              <w:t>台</w:t>
            </w:r>
          </w:p>
        </w:tc>
        <w:tc>
          <w:tcPr>
            <w:tcW w:w="879" w:type="dxa"/>
            <w:shd w:val="clear" w:color="auto" w:fill="auto"/>
            <w:vAlign w:val="center"/>
          </w:tcPr>
          <w:p w14:paraId="3A439D96">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12</w:t>
            </w:r>
          </w:p>
        </w:tc>
        <w:tc>
          <w:tcPr>
            <w:tcW w:w="902" w:type="dxa"/>
            <w:shd w:val="clear" w:color="auto" w:fill="auto"/>
            <w:vAlign w:val="center"/>
          </w:tcPr>
          <w:p w14:paraId="1BE451EE">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0.60</w:t>
            </w:r>
          </w:p>
        </w:tc>
        <w:tc>
          <w:tcPr>
            <w:tcW w:w="899" w:type="dxa"/>
            <w:shd w:val="clear" w:color="auto" w:fill="auto"/>
            <w:vAlign w:val="center"/>
          </w:tcPr>
          <w:p w14:paraId="2ABCB14A">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7.20</w:t>
            </w:r>
          </w:p>
        </w:tc>
        <w:tc>
          <w:tcPr>
            <w:tcW w:w="899" w:type="dxa"/>
            <w:shd w:val="clear" w:color="auto" w:fill="auto"/>
            <w:vAlign w:val="center"/>
          </w:tcPr>
          <w:p w14:paraId="19775F74">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7.20</w:t>
            </w:r>
          </w:p>
        </w:tc>
        <w:tc>
          <w:tcPr>
            <w:tcW w:w="899" w:type="dxa"/>
            <w:shd w:val="clear" w:color="auto" w:fill="auto"/>
            <w:vAlign w:val="center"/>
          </w:tcPr>
          <w:p w14:paraId="468ACDD9">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7.20</w:t>
            </w:r>
          </w:p>
        </w:tc>
        <w:tc>
          <w:tcPr>
            <w:tcW w:w="818" w:type="dxa"/>
            <w:shd w:val="clear" w:color="auto" w:fill="auto"/>
            <w:vAlign w:val="center"/>
          </w:tcPr>
          <w:p w14:paraId="30334777">
            <w:pPr>
              <w:spacing w:line="300" w:lineRule="exact"/>
              <w:jc w:val="right"/>
              <w:rPr>
                <w:rFonts w:hint="eastAsia" w:ascii="仿宋" w:eastAsia="仿宋" w:cs="仿宋"/>
                <w:b w:val="0"/>
                <w:bCs/>
                <w:szCs w:val="24"/>
              </w:rPr>
            </w:pPr>
          </w:p>
        </w:tc>
        <w:tc>
          <w:tcPr>
            <w:tcW w:w="881" w:type="dxa"/>
            <w:shd w:val="clear" w:color="auto" w:fill="auto"/>
            <w:vAlign w:val="center"/>
          </w:tcPr>
          <w:p w14:paraId="15AC84BB">
            <w:pPr>
              <w:spacing w:line="300" w:lineRule="exact"/>
              <w:jc w:val="right"/>
              <w:rPr>
                <w:rFonts w:hint="eastAsia" w:ascii="仿宋" w:eastAsia="仿宋" w:cs="仿宋"/>
                <w:b w:val="0"/>
                <w:bCs/>
                <w:szCs w:val="24"/>
              </w:rPr>
            </w:pPr>
          </w:p>
        </w:tc>
        <w:tc>
          <w:tcPr>
            <w:tcW w:w="881" w:type="dxa"/>
            <w:shd w:val="clear" w:color="auto" w:fill="auto"/>
            <w:vAlign w:val="center"/>
          </w:tcPr>
          <w:p w14:paraId="0CA74FCF">
            <w:pPr>
              <w:spacing w:line="300" w:lineRule="exact"/>
              <w:jc w:val="right"/>
              <w:rPr>
                <w:rFonts w:hint="eastAsia" w:ascii="仿宋" w:eastAsia="仿宋" w:cs="仿宋"/>
                <w:b w:val="0"/>
                <w:bCs/>
                <w:szCs w:val="24"/>
              </w:rPr>
            </w:pPr>
          </w:p>
        </w:tc>
        <w:tc>
          <w:tcPr>
            <w:tcW w:w="826" w:type="dxa"/>
            <w:shd w:val="clear" w:color="auto" w:fill="auto"/>
            <w:vAlign w:val="center"/>
          </w:tcPr>
          <w:p w14:paraId="7D6D3F06">
            <w:pPr>
              <w:spacing w:line="300" w:lineRule="exact"/>
              <w:jc w:val="right"/>
              <w:rPr>
                <w:rFonts w:hint="eastAsia" w:ascii="仿宋" w:eastAsia="仿宋" w:cs="仿宋"/>
                <w:b w:val="0"/>
                <w:bCs/>
                <w:szCs w:val="24"/>
              </w:rPr>
            </w:pPr>
          </w:p>
        </w:tc>
      </w:tr>
      <w:tr w14:paraId="33DD5F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14" w:type="dxa"/>
            <w:shd w:val="clear" w:color="auto" w:fill="auto"/>
            <w:vAlign w:val="center"/>
          </w:tcPr>
          <w:p w14:paraId="0463CD8F">
            <w:pPr>
              <w:spacing w:line="300" w:lineRule="exact"/>
              <w:jc w:val="left"/>
              <w:rPr>
                <w:rFonts w:hint="eastAsia" w:ascii="仿宋" w:eastAsia="仿宋" w:cs="仿宋"/>
                <w:szCs w:val="24"/>
              </w:rPr>
            </w:pPr>
            <w:r>
              <w:rPr>
                <w:rFonts w:hint="eastAsia" w:ascii="仿宋" w:eastAsia="仿宋" w:cs="仿宋"/>
                <w:szCs w:val="24"/>
                <w:lang w:eastAsia="zh-CN"/>
              </w:rPr>
              <w:t>劳务派遣社会化用工经费</w:t>
            </w:r>
          </w:p>
        </w:tc>
        <w:tc>
          <w:tcPr>
            <w:tcW w:w="843" w:type="dxa"/>
            <w:shd w:val="clear" w:color="auto" w:fill="auto"/>
            <w:vAlign w:val="center"/>
          </w:tcPr>
          <w:p w14:paraId="1CE6AB79">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79.00</w:t>
            </w:r>
          </w:p>
        </w:tc>
        <w:tc>
          <w:tcPr>
            <w:tcW w:w="879" w:type="dxa"/>
            <w:shd w:val="clear" w:color="auto" w:fill="auto"/>
            <w:vAlign w:val="center"/>
          </w:tcPr>
          <w:p w14:paraId="03C7BFDF">
            <w:pPr>
              <w:spacing w:line="300" w:lineRule="exact"/>
              <w:jc w:val="left"/>
              <w:rPr>
                <w:rFonts w:hint="eastAsia" w:ascii="仿宋" w:eastAsia="仿宋" w:cs="仿宋"/>
                <w:b w:val="0"/>
                <w:bCs/>
                <w:szCs w:val="24"/>
                <w:lang w:eastAsia="zh-CN"/>
              </w:rPr>
            </w:pPr>
            <w:r>
              <w:rPr>
                <w:rFonts w:hint="eastAsia" w:ascii="仿宋" w:eastAsia="仿宋" w:cs="仿宋"/>
                <w:b w:val="0"/>
                <w:bCs/>
                <w:szCs w:val="24"/>
                <w:lang w:eastAsia="zh-CN"/>
              </w:rPr>
              <w:t>打印设备</w:t>
            </w:r>
          </w:p>
        </w:tc>
        <w:tc>
          <w:tcPr>
            <w:tcW w:w="1398" w:type="dxa"/>
            <w:shd w:val="clear" w:color="auto" w:fill="auto"/>
            <w:vAlign w:val="center"/>
          </w:tcPr>
          <w:p w14:paraId="34A3A3C8">
            <w:pPr>
              <w:spacing w:line="300" w:lineRule="exact"/>
              <w:jc w:val="left"/>
              <w:rPr>
                <w:rFonts w:hint="eastAsia" w:ascii="仿宋" w:eastAsia="仿宋" w:cs="仿宋"/>
                <w:b w:val="0"/>
                <w:bCs/>
                <w:szCs w:val="24"/>
                <w:lang w:val="en-US" w:eastAsia="zh-CN"/>
              </w:rPr>
            </w:pPr>
            <w:r>
              <w:rPr>
                <w:rFonts w:hint="eastAsia" w:ascii="仿宋" w:eastAsia="仿宋" w:cs="仿宋"/>
                <w:b w:val="0"/>
                <w:bCs/>
                <w:szCs w:val="24"/>
                <w:lang w:val="en-US" w:eastAsia="zh-CN"/>
              </w:rPr>
              <w:t>A02010601</w:t>
            </w:r>
          </w:p>
        </w:tc>
        <w:tc>
          <w:tcPr>
            <w:tcW w:w="879" w:type="dxa"/>
            <w:shd w:val="clear" w:color="auto" w:fill="auto"/>
            <w:vAlign w:val="center"/>
          </w:tcPr>
          <w:p w14:paraId="72A848F3">
            <w:pPr>
              <w:spacing w:line="300" w:lineRule="exact"/>
              <w:jc w:val="left"/>
              <w:rPr>
                <w:rFonts w:hint="eastAsia" w:ascii="仿宋" w:eastAsia="仿宋" w:cs="仿宋"/>
                <w:b w:val="0"/>
                <w:bCs/>
                <w:szCs w:val="24"/>
              </w:rPr>
            </w:pPr>
            <w:r>
              <w:rPr>
                <w:rFonts w:hint="eastAsia" w:ascii="仿宋" w:eastAsia="仿宋" w:cs="仿宋"/>
                <w:b w:val="0"/>
                <w:bCs/>
                <w:szCs w:val="24"/>
                <w:lang w:eastAsia="zh-CN"/>
              </w:rPr>
              <w:t>台</w:t>
            </w:r>
          </w:p>
        </w:tc>
        <w:tc>
          <w:tcPr>
            <w:tcW w:w="879" w:type="dxa"/>
            <w:shd w:val="clear" w:color="auto" w:fill="auto"/>
            <w:vAlign w:val="center"/>
          </w:tcPr>
          <w:p w14:paraId="24885182">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4</w:t>
            </w:r>
          </w:p>
        </w:tc>
        <w:tc>
          <w:tcPr>
            <w:tcW w:w="902" w:type="dxa"/>
            <w:shd w:val="clear" w:color="auto" w:fill="auto"/>
            <w:vAlign w:val="center"/>
          </w:tcPr>
          <w:p w14:paraId="7B0C3EEA">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0.25</w:t>
            </w:r>
          </w:p>
        </w:tc>
        <w:tc>
          <w:tcPr>
            <w:tcW w:w="899" w:type="dxa"/>
            <w:shd w:val="clear" w:color="auto" w:fill="auto"/>
            <w:vAlign w:val="center"/>
          </w:tcPr>
          <w:p w14:paraId="589A23B9">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1.00</w:t>
            </w:r>
          </w:p>
        </w:tc>
        <w:tc>
          <w:tcPr>
            <w:tcW w:w="899" w:type="dxa"/>
            <w:shd w:val="clear" w:color="auto" w:fill="auto"/>
            <w:vAlign w:val="center"/>
          </w:tcPr>
          <w:p w14:paraId="1AD53626">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1.00</w:t>
            </w:r>
          </w:p>
        </w:tc>
        <w:tc>
          <w:tcPr>
            <w:tcW w:w="899" w:type="dxa"/>
            <w:shd w:val="clear" w:color="auto" w:fill="auto"/>
            <w:vAlign w:val="center"/>
          </w:tcPr>
          <w:p w14:paraId="029A121A">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1.00</w:t>
            </w:r>
          </w:p>
        </w:tc>
        <w:tc>
          <w:tcPr>
            <w:tcW w:w="818" w:type="dxa"/>
            <w:shd w:val="clear" w:color="auto" w:fill="auto"/>
            <w:vAlign w:val="center"/>
          </w:tcPr>
          <w:p w14:paraId="334E7703">
            <w:pPr>
              <w:spacing w:line="300" w:lineRule="exact"/>
              <w:jc w:val="right"/>
              <w:rPr>
                <w:rFonts w:hint="eastAsia" w:ascii="仿宋" w:eastAsia="仿宋" w:cs="仿宋"/>
                <w:b w:val="0"/>
                <w:bCs/>
                <w:szCs w:val="24"/>
              </w:rPr>
            </w:pPr>
          </w:p>
        </w:tc>
        <w:tc>
          <w:tcPr>
            <w:tcW w:w="881" w:type="dxa"/>
            <w:shd w:val="clear" w:color="auto" w:fill="auto"/>
            <w:vAlign w:val="center"/>
          </w:tcPr>
          <w:p w14:paraId="1E8055E4">
            <w:pPr>
              <w:spacing w:line="300" w:lineRule="exact"/>
              <w:jc w:val="right"/>
              <w:rPr>
                <w:rFonts w:hint="eastAsia" w:ascii="仿宋" w:eastAsia="仿宋" w:cs="仿宋"/>
                <w:b w:val="0"/>
                <w:bCs/>
                <w:szCs w:val="24"/>
              </w:rPr>
            </w:pPr>
          </w:p>
        </w:tc>
        <w:tc>
          <w:tcPr>
            <w:tcW w:w="881" w:type="dxa"/>
            <w:shd w:val="clear" w:color="auto" w:fill="auto"/>
            <w:vAlign w:val="center"/>
          </w:tcPr>
          <w:p w14:paraId="6774E8B8">
            <w:pPr>
              <w:spacing w:line="300" w:lineRule="exact"/>
              <w:jc w:val="right"/>
              <w:rPr>
                <w:rFonts w:hint="eastAsia" w:ascii="仿宋" w:eastAsia="仿宋" w:cs="仿宋"/>
                <w:b w:val="0"/>
                <w:bCs/>
                <w:szCs w:val="24"/>
              </w:rPr>
            </w:pPr>
          </w:p>
        </w:tc>
        <w:tc>
          <w:tcPr>
            <w:tcW w:w="826" w:type="dxa"/>
            <w:shd w:val="clear" w:color="auto" w:fill="auto"/>
            <w:vAlign w:val="center"/>
          </w:tcPr>
          <w:p w14:paraId="6FAA513D">
            <w:pPr>
              <w:spacing w:line="300" w:lineRule="exact"/>
              <w:jc w:val="right"/>
              <w:rPr>
                <w:rFonts w:hint="eastAsia" w:ascii="仿宋" w:eastAsia="仿宋" w:cs="仿宋"/>
                <w:b w:val="0"/>
                <w:bCs/>
                <w:szCs w:val="24"/>
              </w:rPr>
            </w:pPr>
          </w:p>
        </w:tc>
      </w:tr>
      <w:tr w14:paraId="149DA7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14" w:type="dxa"/>
            <w:shd w:val="clear" w:color="auto" w:fill="auto"/>
            <w:vAlign w:val="center"/>
          </w:tcPr>
          <w:p w14:paraId="1DCA5134">
            <w:pPr>
              <w:spacing w:line="300" w:lineRule="exact"/>
              <w:jc w:val="left"/>
              <w:rPr>
                <w:rFonts w:hint="eastAsia" w:ascii="仿宋" w:eastAsia="仿宋" w:cs="仿宋"/>
                <w:szCs w:val="24"/>
              </w:rPr>
            </w:pPr>
            <w:r>
              <w:rPr>
                <w:rFonts w:hint="eastAsia" w:ascii="仿宋" w:eastAsia="仿宋" w:cs="仿宋"/>
                <w:szCs w:val="24"/>
                <w:lang w:eastAsia="zh-CN"/>
              </w:rPr>
              <w:t>劳务派遣社会化用工经费</w:t>
            </w:r>
          </w:p>
        </w:tc>
        <w:tc>
          <w:tcPr>
            <w:tcW w:w="843" w:type="dxa"/>
            <w:shd w:val="clear" w:color="auto" w:fill="auto"/>
            <w:vAlign w:val="center"/>
          </w:tcPr>
          <w:p w14:paraId="6D4651A9">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79.00</w:t>
            </w:r>
          </w:p>
        </w:tc>
        <w:tc>
          <w:tcPr>
            <w:tcW w:w="879" w:type="dxa"/>
            <w:shd w:val="clear" w:color="auto" w:fill="auto"/>
            <w:vAlign w:val="center"/>
          </w:tcPr>
          <w:p w14:paraId="3AA323BC">
            <w:pPr>
              <w:spacing w:line="300" w:lineRule="exact"/>
              <w:jc w:val="left"/>
              <w:rPr>
                <w:rFonts w:hint="eastAsia" w:ascii="仿宋" w:eastAsia="仿宋" w:cs="仿宋"/>
                <w:b w:val="0"/>
                <w:bCs/>
                <w:szCs w:val="24"/>
                <w:lang w:eastAsia="zh-CN"/>
              </w:rPr>
            </w:pPr>
            <w:r>
              <w:rPr>
                <w:rFonts w:hint="eastAsia" w:ascii="仿宋" w:eastAsia="仿宋" w:cs="仿宋"/>
                <w:b w:val="0"/>
                <w:bCs/>
                <w:szCs w:val="24"/>
                <w:lang w:eastAsia="zh-CN"/>
              </w:rPr>
              <w:t>职业中介服务</w:t>
            </w:r>
          </w:p>
        </w:tc>
        <w:tc>
          <w:tcPr>
            <w:tcW w:w="1398" w:type="dxa"/>
            <w:shd w:val="clear" w:color="auto" w:fill="auto"/>
            <w:vAlign w:val="center"/>
          </w:tcPr>
          <w:p w14:paraId="1682145F">
            <w:pPr>
              <w:spacing w:line="300" w:lineRule="exact"/>
              <w:jc w:val="left"/>
              <w:rPr>
                <w:rFonts w:hint="eastAsia" w:ascii="仿宋" w:eastAsia="仿宋" w:cs="仿宋"/>
                <w:b w:val="0"/>
                <w:bCs/>
                <w:szCs w:val="24"/>
                <w:lang w:val="en-US" w:eastAsia="zh-CN"/>
              </w:rPr>
            </w:pPr>
            <w:r>
              <w:rPr>
                <w:rFonts w:hint="eastAsia" w:ascii="仿宋" w:eastAsia="仿宋" w:cs="仿宋"/>
                <w:b w:val="0"/>
                <w:bCs/>
                <w:szCs w:val="24"/>
                <w:lang w:val="en-US" w:eastAsia="zh-CN"/>
              </w:rPr>
              <w:t>C0809</w:t>
            </w:r>
          </w:p>
        </w:tc>
        <w:tc>
          <w:tcPr>
            <w:tcW w:w="879" w:type="dxa"/>
            <w:shd w:val="clear" w:color="auto" w:fill="auto"/>
            <w:vAlign w:val="center"/>
          </w:tcPr>
          <w:p w14:paraId="37C269EC">
            <w:pPr>
              <w:spacing w:line="300" w:lineRule="exact"/>
              <w:jc w:val="left"/>
              <w:rPr>
                <w:rFonts w:hint="eastAsia" w:ascii="仿宋" w:eastAsia="仿宋" w:cs="仿宋"/>
                <w:b w:val="0"/>
                <w:bCs/>
                <w:szCs w:val="24"/>
                <w:lang w:eastAsia="zh-CN"/>
              </w:rPr>
            </w:pPr>
            <w:r>
              <w:rPr>
                <w:rFonts w:hint="eastAsia" w:ascii="仿宋" w:eastAsia="仿宋" w:cs="仿宋"/>
                <w:b w:val="0"/>
                <w:bCs/>
                <w:szCs w:val="24"/>
                <w:lang w:eastAsia="zh-CN"/>
              </w:rPr>
              <w:t>年</w:t>
            </w:r>
          </w:p>
        </w:tc>
        <w:tc>
          <w:tcPr>
            <w:tcW w:w="879" w:type="dxa"/>
            <w:shd w:val="clear" w:color="auto" w:fill="auto"/>
            <w:vAlign w:val="center"/>
          </w:tcPr>
          <w:p w14:paraId="7C771D1A">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1</w:t>
            </w:r>
          </w:p>
        </w:tc>
        <w:tc>
          <w:tcPr>
            <w:tcW w:w="902" w:type="dxa"/>
            <w:shd w:val="clear" w:color="auto" w:fill="auto"/>
            <w:vAlign w:val="center"/>
          </w:tcPr>
          <w:p w14:paraId="1536B532">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65.65</w:t>
            </w:r>
          </w:p>
        </w:tc>
        <w:tc>
          <w:tcPr>
            <w:tcW w:w="899" w:type="dxa"/>
            <w:shd w:val="clear" w:color="auto" w:fill="auto"/>
            <w:vAlign w:val="center"/>
          </w:tcPr>
          <w:p w14:paraId="28355FF9">
            <w:pPr>
              <w:spacing w:line="300" w:lineRule="exact"/>
              <w:jc w:val="right"/>
              <w:rPr>
                <w:rFonts w:hint="eastAsia" w:ascii="仿宋" w:eastAsia="仿宋" w:cs="仿宋"/>
                <w:b w:val="0"/>
                <w:bCs/>
                <w:szCs w:val="24"/>
                <w:lang w:val="en-US" w:eastAsia="zh-CN"/>
              </w:rPr>
            </w:pPr>
            <w:r>
              <w:rPr>
                <w:rFonts w:hint="eastAsia" w:ascii="仿宋" w:eastAsia="仿宋" w:cs="仿宋"/>
                <w:b w:val="0"/>
                <w:bCs/>
                <w:szCs w:val="24"/>
                <w:lang w:val="en-US" w:eastAsia="zh-CN"/>
              </w:rPr>
              <w:t>65.65</w:t>
            </w:r>
          </w:p>
        </w:tc>
        <w:tc>
          <w:tcPr>
            <w:tcW w:w="899" w:type="dxa"/>
            <w:shd w:val="clear" w:color="auto" w:fill="auto"/>
            <w:vAlign w:val="center"/>
          </w:tcPr>
          <w:p w14:paraId="72E11954">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65.65</w:t>
            </w:r>
          </w:p>
        </w:tc>
        <w:tc>
          <w:tcPr>
            <w:tcW w:w="899" w:type="dxa"/>
            <w:shd w:val="clear" w:color="auto" w:fill="auto"/>
            <w:vAlign w:val="center"/>
          </w:tcPr>
          <w:p w14:paraId="2FEFF724">
            <w:pPr>
              <w:spacing w:line="300" w:lineRule="exact"/>
              <w:jc w:val="right"/>
              <w:rPr>
                <w:rFonts w:hint="eastAsia" w:ascii="仿宋" w:eastAsia="仿宋" w:cs="仿宋"/>
                <w:b w:val="0"/>
                <w:bCs/>
                <w:szCs w:val="24"/>
              </w:rPr>
            </w:pPr>
            <w:r>
              <w:rPr>
                <w:rFonts w:hint="eastAsia" w:ascii="仿宋" w:eastAsia="仿宋" w:cs="仿宋"/>
                <w:b w:val="0"/>
                <w:bCs/>
                <w:szCs w:val="24"/>
                <w:lang w:val="en-US" w:eastAsia="zh-CN"/>
              </w:rPr>
              <w:t>65.65</w:t>
            </w:r>
          </w:p>
        </w:tc>
        <w:tc>
          <w:tcPr>
            <w:tcW w:w="818" w:type="dxa"/>
            <w:shd w:val="clear" w:color="auto" w:fill="auto"/>
            <w:vAlign w:val="center"/>
          </w:tcPr>
          <w:p w14:paraId="2710DEC9">
            <w:pPr>
              <w:spacing w:line="300" w:lineRule="exact"/>
              <w:jc w:val="right"/>
              <w:rPr>
                <w:rFonts w:hint="eastAsia" w:ascii="仿宋" w:eastAsia="仿宋" w:cs="仿宋"/>
                <w:b w:val="0"/>
                <w:bCs/>
                <w:szCs w:val="24"/>
              </w:rPr>
            </w:pPr>
          </w:p>
        </w:tc>
        <w:tc>
          <w:tcPr>
            <w:tcW w:w="881" w:type="dxa"/>
            <w:shd w:val="clear" w:color="auto" w:fill="auto"/>
            <w:vAlign w:val="center"/>
          </w:tcPr>
          <w:p w14:paraId="20244D6B">
            <w:pPr>
              <w:spacing w:line="300" w:lineRule="exact"/>
              <w:jc w:val="right"/>
              <w:rPr>
                <w:rFonts w:hint="eastAsia" w:ascii="仿宋" w:eastAsia="仿宋" w:cs="仿宋"/>
                <w:b w:val="0"/>
                <w:bCs/>
                <w:szCs w:val="24"/>
              </w:rPr>
            </w:pPr>
          </w:p>
        </w:tc>
        <w:tc>
          <w:tcPr>
            <w:tcW w:w="881" w:type="dxa"/>
            <w:shd w:val="clear" w:color="auto" w:fill="auto"/>
            <w:vAlign w:val="center"/>
          </w:tcPr>
          <w:p w14:paraId="76002B96">
            <w:pPr>
              <w:spacing w:line="300" w:lineRule="exact"/>
              <w:jc w:val="right"/>
              <w:rPr>
                <w:rFonts w:hint="eastAsia" w:ascii="仿宋" w:eastAsia="仿宋" w:cs="仿宋"/>
                <w:b w:val="0"/>
                <w:bCs/>
                <w:szCs w:val="24"/>
              </w:rPr>
            </w:pPr>
          </w:p>
        </w:tc>
        <w:tc>
          <w:tcPr>
            <w:tcW w:w="826" w:type="dxa"/>
            <w:shd w:val="clear" w:color="auto" w:fill="auto"/>
            <w:vAlign w:val="center"/>
          </w:tcPr>
          <w:p w14:paraId="65ADF98B">
            <w:pPr>
              <w:spacing w:line="300" w:lineRule="exact"/>
              <w:jc w:val="right"/>
              <w:rPr>
                <w:rFonts w:hint="eastAsia" w:ascii="仿宋" w:eastAsia="仿宋" w:cs="仿宋"/>
                <w:b w:val="0"/>
                <w:bCs/>
                <w:szCs w:val="24"/>
              </w:rPr>
            </w:pPr>
          </w:p>
        </w:tc>
      </w:tr>
    </w:tbl>
    <w:p w14:paraId="3E21A806">
      <w:pPr>
        <w:autoSpaceDE w:val="0"/>
        <w:autoSpaceDN w:val="0"/>
        <w:adjustRightInd w:val="0"/>
        <w:ind w:left="198" w:firstLine="640" w:firstLineChars="200"/>
        <w:jc w:val="left"/>
        <w:rPr>
          <w:rFonts w:ascii="黑体" w:eastAsia="黑体" w:cs="Times New Roman"/>
          <w:sz w:val="32"/>
          <w:szCs w:val="32"/>
        </w:rPr>
      </w:pPr>
    </w:p>
    <w:p w14:paraId="044D7A30">
      <w:pPr>
        <w:autoSpaceDE w:val="0"/>
        <w:autoSpaceDN w:val="0"/>
        <w:adjustRightInd w:val="0"/>
        <w:ind w:left="198" w:firstLine="640" w:firstLineChars="200"/>
        <w:jc w:val="left"/>
        <w:rPr>
          <w:rFonts w:ascii="黑体" w:eastAsia="黑体" w:cs="Times New Roman"/>
          <w:sz w:val="32"/>
          <w:szCs w:val="32"/>
        </w:rPr>
      </w:pPr>
      <w:r>
        <w:rPr>
          <w:rFonts w:hint="eastAsia" w:ascii="黑体" w:eastAsia="黑体" w:cs="Times New Roman"/>
          <w:sz w:val="32"/>
          <w:szCs w:val="32"/>
        </w:rPr>
        <w:t>七、国有资产信息</w:t>
      </w:r>
    </w:p>
    <w:p w14:paraId="29F36D77">
      <w:pPr>
        <w:ind w:firstLine="640" w:firstLineChars="200"/>
        <w:rPr>
          <w:rFonts w:hint="eastAsia" w:ascii="仿宋" w:eastAsia="仿宋" w:cs="仿宋"/>
          <w:sz w:val="32"/>
          <w:szCs w:val="32"/>
        </w:rPr>
      </w:pPr>
      <w:r>
        <w:rPr>
          <w:rFonts w:hint="eastAsia" w:ascii="仿宋" w:eastAsia="仿宋" w:cs="仿宋"/>
          <w:sz w:val="32"/>
          <w:szCs w:val="32"/>
          <w:lang w:eastAsia="zh-CN"/>
        </w:rPr>
        <w:t>中国国际贸易促进委员会廊坊市委员会</w:t>
      </w:r>
      <w:r>
        <w:rPr>
          <w:rFonts w:hint="eastAsia" w:ascii="仿宋" w:eastAsia="仿宋" w:cs="仿宋"/>
          <w:sz w:val="32"/>
          <w:szCs w:val="32"/>
        </w:rPr>
        <w:t>上年末固定资产金额为</w:t>
      </w:r>
      <w:r>
        <w:rPr>
          <w:rFonts w:hint="eastAsia" w:ascii="仿宋" w:eastAsia="仿宋" w:cs="仿宋"/>
          <w:sz w:val="32"/>
          <w:szCs w:val="32"/>
          <w:lang w:val="en-US" w:eastAsia="zh-CN"/>
        </w:rPr>
        <w:t>40.09</w:t>
      </w:r>
      <w:r>
        <w:rPr>
          <w:rFonts w:hint="eastAsia" w:ascii="仿宋" w:eastAsia="仿宋" w:cs="仿宋"/>
          <w:sz w:val="32"/>
          <w:szCs w:val="32"/>
        </w:rPr>
        <w:t>万元，本年度各单位（处室）拟购置固定资产主要为计算机设备、打印设备、空调、办公家具等，已列入政府采购预算。详见下表。</w:t>
      </w:r>
    </w:p>
    <w:tbl>
      <w:tblPr>
        <w:tblStyle w:val="6"/>
        <w:tblW w:w="1348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224"/>
        <w:gridCol w:w="3155"/>
        <w:gridCol w:w="5103"/>
      </w:tblGrid>
      <w:tr w14:paraId="04F8D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vAlign w:val="center"/>
          </w:tcPr>
          <w:p w14:paraId="67FA003C">
            <w:pPr>
              <w:widowControl/>
              <w:jc w:val="center"/>
              <w:rPr>
                <w:rFonts w:ascii="宋体" w:eastAsia="宋体" w:cs="宋体"/>
                <w:b/>
                <w:bCs/>
                <w:kern w:val="0"/>
                <w:sz w:val="32"/>
                <w:szCs w:val="32"/>
              </w:rPr>
            </w:pPr>
          </w:p>
          <w:p w14:paraId="514CCC1B">
            <w:pPr>
              <w:widowControl/>
              <w:jc w:val="center"/>
              <w:rPr>
                <w:rFonts w:ascii="宋体" w:eastAsia="宋体" w:cs="宋体"/>
                <w:b/>
                <w:bCs/>
                <w:kern w:val="0"/>
                <w:sz w:val="32"/>
                <w:szCs w:val="32"/>
              </w:rPr>
            </w:pPr>
          </w:p>
          <w:p w14:paraId="3D7C97BD">
            <w:pPr>
              <w:widowControl/>
              <w:jc w:val="center"/>
              <w:rPr>
                <w:rFonts w:ascii="宋体" w:eastAsia="宋体" w:cs="宋体"/>
                <w:b/>
                <w:bCs/>
                <w:kern w:val="0"/>
                <w:sz w:val="32"/>
                <w:szCs w:val="32"/>
              </w:rPr>
            </w:pPr>
          </w:p>
          <w:p w14:paraId="1123297A">
            <w:pPr>
              <w:widowControl/>
              <w:jc w:val="center"/>
              <w:rPr>
                <w:rFonts w:ascii="宋体" w:eastAsia="宋体" w:cs="宋体"/>
                <w:b/>
                <w:bCs/>
                <w:kern w:val="0"/>
                <w:sz w:val="32"/>
                <w:szCs w:val="32"/>
              </w:rPr>
            </w:pPr>
            <w:r>
              <w:rPr>
                <w:rFonts w:hint="eastAsia" w:ascii="宋体" w:eastAsia="宋体" w:cs="宋体"/>
                <w:b/>
                <w:bCs/>
                <w:kern w:val="0"/>
                <w:sz w:val="32"/>
                <w:szCs w:val="32"/>
              </w:rPr>
              <w:t>河北省省直部门固定资产占用情况表</w:t>
            </w:r>
          </w:p>
        </w:tc>
      </w:tr>
      <w:tr w14:paraId="07320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vAlign w:val="center"/>
          </w:tcPr>
          <w:p w14:paraId="3744A756">
            <w:pPr>
              <w:widowControl/>
              <w:jc w:val="left"/>
              <w:rPr>
                <w:rFonts w:ascii="宋体" w:eastAsia="宋体" w:cs="宋体"/>
                <w:kern w:val="0"/>
                <w:sz w:val="22"/>
              </w:rPr>
            </w:pPr>
            <w:r>
              <w:rPr>
                <w:rFonts w:hint="eastAsia" w:ascii="宋体" w:eastAsia="宋体" w:cs="宋体"/>
                <w:kern w:val="0"/>
                <w:sz w:val="22"/>
              </w:rPr>
              <w:t>编制部门：</w:t>
            </w:r>
            <w:r>
              <w:rPr>
                <w:rFonts w:hint="eastAsia" w:ascii="宋体" w:eastAsia="宋体" w:cs="宋体"/>
                <w:kern w:val="0"/>
                <w:sz w:val="22"/>
                <w:lang w:val="en-US" w:eastAsia="zh-CN"/>
              </w:rPr>
              <w:t>708</w:t>
            </w:r>
            <w:r>
              <w:rPr>
                <w:rFonts w:hint="eastAsia" w:ascii="宋体" w:eastAsia="宋体" w:cs="宋体"/>
                <w:kern w:val="0"/>
                <w:sz w:val="22"/>
                <w:lang w:eastAsia="zh-CN"/>
              </w:rPr>
              <w:t>中国国际贸易促进委员会廊坊市委员会</w:t>
            </w:r>
          </w:p>
        </w:tc>
        <w:tc>
          <w:tcPr>
            <w:tcW w:w="5103" w:type="dxa"/>
            <w:tcBorders>
              <w:top w:val="nil"/>
              <w:left w:val="nil"/>
              <w:bottom w:val="nil"/>
              <w:right w:val="nil"/>
            </w:tcBorders>
            <w:shd w:val="clear" w:color="auto" w:fill="auto"/>
            <w:vAlign w:val="center"/>
          </w:tcPr>
          <w:p w14:paraId="7B98D078">
            <w:pPr>
              <w:widowControl/>
              <w:jc w:val="left"/>
              <w:rPr>
                <w:rFonts w:ascii="宋体" w:eastAsia="宋体" w:cs="宋体"/>
                <w:kern w:val="0"/>
                <w:sz w:val="22"/>
              </w:rPr>
            </w:pPr>
            <w:r>
              <w:rPr>
                <w:rFonts w:hint="eastAsia" w:ascii="宋体" w:eastAsia="宋体" w:cs="宋体"/>
                <w:kern w:val="0"/>
                <w:sz w:val="22"/>
              </w:rPr>
              <w:t xml:space="preserve">截止时间：2016年12月31日  </w:t>
            </w:r>
          </w:p>
        </w:tc>
      </w:tr>
      <w:tr w14:paraId="336D3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224" w:type="dxa"/>
            <w:tcBorders>
              <w:top w:val="single" w:color="auto" w:sz="4" w:space="0"/>
              <w:left w:val="single" w:color="auto" w:sz="4" w:space="0"/>
              <w:bottom w:val="single" w:color="auto" w:sz="4" w:space="0"/>
              <w:right w:val="single" w:color="auto" w:sz="4" w:space="0"/>
            </w:tcBorders>
            <w:shd w:val="clear" w:color="auto" w:fill="auto"/>
            <w:vAlign w:val="center"/>
          </w:tcPr>
          <w:p w14:paraId="6EF79493">
            <w:pPr>
              <w:widowControl/>
              <w:jc w:val="center"/>
              <w:rPr>
                <w:rFonts w:ascii="宋体" w:eastAsia="宋体" w:cs="宋体"/>
                <w:b/>
                <w:bCs/>
                <w:kern w:val="0"/>
                <w:sz w:val="22"/>
              </w:rPr>
            </w:pPr>
            <w:r>
              <w:rPr>
                <w:rFonts w:hint="eastAsia" w:ascii="宋体" w:eastAsia="宋体" w:cs="宋体"/>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vAlign w:val="center"/>
          </w:tcPr>
          <w:p w14:paraId="75EBF09E">
            <w:pPr>
              <w:widowControl/>
              <w:jc w:val="center"/>
              <w:rPr>
                <w:rFonts w:ascii="宋体" w:eastAsia="宋体" w:cs="宋体"/>
                <w:b/>
                <w:bCs/>
                <w:kern w:val="0"/>
                <w:sz w:val="22"/>
              </w:rPr>
            </w:pPr>
            <w:r>
              <w:rPr>
                <w:rFonts w:hint="eastAsia" w:ascii="宋体" w:eastAsia="宋体" w:cs="宋体"/>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vAlign w:val="center"/>
          </w:tcPr>
          <w:p w14:paraId="3D6DB9D1">
            <w:pPr>
              <w:widowControl/>
              <w:jc w:val="center"/>
              <w:rPr>
                <w:rFonts w:ascii="宋体" w:eastAsia="宋体" w:cs="宋体"/>
                <w:b/>
                <w:bCs/>
                <w:kern w:val="0"/>
                <w:sz w:val="22"/>
              </w:rPr>
            </w:pPr>
            <w:r>
              <w:rPr>
                <w:rFonts w:hint="eastAsia" w:ascii="宋体" w:eastAsia="宋体" w:cs="宋体"/>
                <w:b/>
                <w:bCs/>
                <w:kern w:val="0"/>
                <w:sz w:val="22"/>
              </w:rPr>
              <w:t>价值（金额单位：万元）</w:t>
            </w:r>
          </w:p>
        </w:tc>
      </w:tr>
      <w:tr w14:paraId="0BDFE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14:paraId="49986490">
            <w:pPr>
              <w:widowControl/>
              <w:jc w:val="center"/>
              <w:rPr>
                <w:rFonts w:ascii="宋体" w:eastAsia="宋体" w:cs="宋体"/>
                <w:kern w:val="0"/>
                <w:sz w:val="22"/>
              </w:rPr>
            </w:pPr>
            <w:r>
              <w:rPr>
                <w:rFonts w:hint="eastAsia" w:ascii="宋体" w:eastAsia="宋体" w:cs="宋体"/>
                <w:kern w:val="0"/>
                <w:sz w:val="22"/>
              </w:rPr>
              <w:t>资产总额</w:t>
            </w:r>
          </w:p>
        </w:tc>
        <w:tc>
          <w:tcPr>
            <w:tcW w:w="3155" w:type="dxa"/>
            <w:tcBorders>
              <w:top w:val="nil"/>
              <w:left w:val="nil"/>
              <w:bottom w:val="single" w:color="auto" w:sz="4" w:space="0"/>
              <w:right w:val="single" w:color="auto" w:sz="4" w:space="0"/>
            </w:tcBorders>
            <w:shd w:val="clear" w:color="auto" w:fill="auto"/>
            <w:vAlign w:val="center"/>
          </w:tcPr>
          <w:p w14:paraId="1968438D">
            <w:pPr>
              <w:widowControl/>
              <w:jc w:val="center"/>
              <w:rPr>
                <w:rFonts w:ascii="宋体" w:eastAsia="宋体" w:cs="宋体"/>
                <w:kern w:val="0"/>
                <w:sz w:val="22"/>
              </w:rPr>
            </w:pPr>
            <w:r>
              <w:rPr>
                <w:rFonts w:hint="eastAsia" w:ascii="宋体" w:eastAsia="宋体" w:cs="宋体"/>
                <w:kern w:val="0"/>
                <w:sz w:val="22"/>
              </w:rPr>
              <w:t>——</w:t>
            </w:r>
          </w:p>
        </w:tc>
        <w:tc>
          <w:tcPr>
            <w:tcW w:w="5103" w:type="dxa"/>
            <w:tcBorders>
              <w:top w:val="nil"/>
              <w:left w:val="nil"/>
              <w:bottom w:val="single" w:color="auto" w:sz="4" w:space="0"/>
              <w:right w:val="single" w:color="auto" w:sz="4" w:space="0"/>
            </w:tcBorders>
            <w:shd w:val="clear" w:color="auto" w:fill="auto"/>
            <w:vAlign w:val="center"/>
          </w:tcPr>
          <w:p w14:paraId="7151069A">
            <w:pPr>
              <w:widowControl/>
              <w:jc w:val="center"/>
              <w:rPr>
                <w:rFonts w:hint="eastAsia" w:ascii="宋体" w:eastAsia="宋体" w:cs="宋体"/>
                <w:kern w:val="0"/>
                <w:sz w:val="22"/>
                <w:lang w:val="en-US" w:eastAsia="zh-CN"/>
              </w:rPr>
            </w:pPr>
            <w:r>
              <w:rPr>
                <w:rFonts w:hint="eastAsia" w:ascii="宋体" w:eastAsia="宋体" w:cs="宋体"/>
                <w:kern w:val="0"/>
                <w:sz w:val="22"/>
                <w:lang w:val="en-US" w:eastAsia="zh-CN"/>
              </w:rPr>
              <w:t>40.09</w:t>
            </w:r>
          </w:p>
        </w:tc>
      </w:tr>
      <w:tr w14:paraId="4EF84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14:paraId="3F389269">
            <w:pPr>
              <w:widowControl/>
              <w:jc w:val="left"/>
              <w:rPr>
                <w:rFonts w:ascii="宋体" w:eastAsia="宋体" w:cs="宋体"/>
                <w:kern w:val="0"/>
                <w:sz w:val="22"/>
              </w:rPr>
            </w:pPr>
            <w:r>
              <w:rPr>
                <w:rFonts w:hint="eastAsia" w:ascii="宋体" w:eastAsia="宋体" w:cs="宋体"/>
                <w:kern w:val="0"/>
                <w:sz w:val="22"/>
              </w:rPr>
              <w:t>1、房屋（平方米）</w:t>
            </w:r>
          </w:p>
        </w:tc>
        <w:tc>
          <w:tcPr>
            <w:tcW w:w="3155" w:type="dxa"/>
            <w:tcBorders>
              <w:top w:val="nil"/>
              <w:left w:val="nil"/>
              <w:bottom w:val="single" w:color="auto" w:sz="4" w:space="0"/>
              <w:right w:val="single" w:color="auto" w:sz="4" w:space="0"/>
            </w:tcBorders>
            <w:shd w:val="clear" w:color="auto" w:fill="auto"/>
            <w:vAlign w:val="center"/>
          </w:tcPr>
          <w:p w14:paraId="6DD4E431">
            <w:pPr>
              <w:widowControl/>
              <w:jc w:val="center"/>
              <w:rPr>
                <w:rFonts w:hint="eastAsia" w:ascii="宋体" w:eastAsia="宋体" w:cs="宋体"/>
                <w:kern w:val="0"/>
                <w:sz w:val="22"/>
                <w:lang w:val="en-US" w:eastAsia="zh-CN"/>
              </w:rPr>
            </w:pPr>
            <w:r>
              <w:rPr>
                <w:rFonts w:hint="eastAsia" w:ascii="宋体" w:eastAsia="宋体" w:cs="宋体"/>
                <w:kern w:val="0"/>
                <w:sz w:val="22"/>
                <w:lang w:val="en-US" w:eastAsia="zh-CN"/>
              </w:rPr>
              <w:t>0</w:t>
            </w:r>
          </w:p>
        </w:tc>
        <w:tc>
          <w:tcPr>
            <w:tcW w:w="5103" w:type="dxa"/>
            <w:tcBorders>
              <w:top w:val="nil"/>
              <w:left w:val="nil"/>
              <w:bottom w:val="single" w:color="auto" w:sz="4" w:space="0"/>
              <w:right w:val="single" w:color="auto" w:sz="4" w:space="0"/>
            </w:tcBorders>
            <w:shd w:val="clear" w:color="auto" w:fill="auto"/>
            <w:vAlign w:val="center"/>
          </w:tcPr>
          <w:p w14:paraId="1624FE97">
            <w:pPr>
              <w:widowControl/>
              <w:jc w:val="center"/>
              <w:rPr>
                <w:rFonts w:hint="eastAsia" w:ascii="宋体" w:eastAsia="宋体" w:cs="宋体"/>
                <w:kern w:val="0"/>
                <w:sz w:val="22"/>
                <w:lang w:val="en-US" w:eastAsia="zh-CN"/>
              </w:rPr>
            </w:pPr>
            <w:r>
              <w:rPr>
                <w:rFonts w:hint="eastAsia" w:ascii="宋体" w:eastAsia="宋体" w:cs="宋体"/>
                <w:kern w:val="0"/>
                <w:sz w:val="22"/>
                <w:lang w:val="en-US" w:eastAsia="zh-CN"/>
              </w:rPr>
              <w:t>0</w:t>
            </w:r>
          </w:p>
        </w:tc>
      </w:tr>
      <w:tr w14:paraId="45075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14:paraId="0037DEFA">
            <w:pPr>
              <w:widowControl/>
              <w:jc w:val="left"/>
              <w:rPr>
                <w:rFonts w:ascii="宋体" w:eastAsia="宋体" w:cs="宋体"/>
                <w:kern w:val="0"/>
                <w:sz w:val="22"/>
              </w:rPr>
            </w:pPr>
            <w:r>
              <w:rPr>
                <w:rFonts w:hint="eastAsia" w:ascii="宋体" w:eastAsia="宋体" w:cs="宋体"/>
                <w:kern w:val="0"/>
                <w:sz w:val="22"/>
              </w:rPr>
              <w:t xml:space="preserve">   其中：办公用房（平方米）</w:t>
            </w:r>
          </w:p>
        </w:tc>
        <w:tc>
          <w:tcPr>
            <w:tcW w:w="3155" w:type="dxa"/>
            <w:tcBorders>
              <w:top w:val="nil"/>
              <w:left w:val="nil"/>
              <w:bottom w:val="single" w:color="auto" w:sz="4" w:space="0"/>
              <w:right w:val="single" w:color="auto" w:sz="4" w:space="0"/>
            </w:tcBorders>
            <w:shd w:val="clear" w:color="auto" w:fill="auto"/>
            <w:vAlign w:val="center"/>
          </w:tcPr>
          <w:p w14:paraId="0A267947">
            <w:pPr>
              <w:widowControl/>
              <w:jc w:val="center"/>
              <w:rPr>
                <w:rFonts w:hint="eastAsia" w:ascii="宋体" w:eastAsia="宋体" w:cs="宋体"/>
                <w:kern w:val="0"/>
                <w:sz w:val="22"/>
                <w:lang w:val="en-US" w:eastAsia="zh-CN"/>
              </w:rPr>
            </w:pPr>
            <w:r>
              <w:rPr>
                <w:rFonts w:hint="eastAsia" w:ascii="宋体" w:eastAsia="宋体" w:cs="宋体"/>
                <w:kern w:val="0"/>
                <w:sz w:val="22"/>
                <w:lang w:val="en-US" w:eastAsia="zh-CN"/>
              </w:rPr>
              <w:t>0</w:t>
            </w:r>
          </w:p>
        </w:tc>
        <w:tc>
          <w:tcPr>
            <w:tcW w:w="5103" w:type="dxa"/>
            <w:tcBorders>
              <w:top w:val="nil"/>
              <w:left w:val="nil"/>
              <w:bottom w:val="single" w:color="auto" w:sz="4" w:space="0"/>
              <w:right w:val="single" w:color="auto" w:sz="4" w:space="0"/>
            </w:tcBorders>
            <w:shd w:val="clear" w:color="auto" w:fill="auto"/>
            <w:vAlign w:val="center"/>
          </w:tcPr>
          <w:p w14:paraId="21ED1136">
            <w:pPr>
              <w:widowControl/>
              <w:jc w:val="center"/>
              <w:rPr>
                <w:rFonts w:hint="eastAsia" w:ascii="宋体" w:eastAsia="宋体" w:cs="宋体"/>
                <w:kern w:val="0"/>
                <w:sz w:val="22"/>
                <w:lang w:val="en-US" w:eastAsia="zh-CN"/>
              </w:rPr>
            </w:pPr>
            <w:r>
              <w:rPr>
                <w:rFonts w:hint="eastAsia" w:ascii="宋体" w:eastAsia="宋体" w:cs="宋体"/>
                <w:kern w:val="0"/>
                <w:sz w:val="22"/>
                <w:lang w:val="en-US" w:eastAsia="zh-CN"/>
              </w:rPr>
              <w:t>0</w:t>
            </w:r>
          </w:p>
        </w:tc>
      </w:tr>
      <w:tr w14:paraId="37FCE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14:paraId="5ECACB63">
            <w:pPr>
              <w:widowControl/>
              <w:jc w:val="left"/>
              <w:rPr>
                <w:rFonts w:ascii="宋体" w:eastAsia="宋体" w:cs="宋体"/>
                <w:kern w:val="0"/>
                <w:sz w:val="22"/>
              </w:rPr>
            </w:pPr>
            <w:r>
              <w:rPr>
                <w:rFonts w:hint="eastAsia" w:ascii="宋体" w:eastAsia="宋体" w:cs="宋体"/>
                <w:kern w:val="0"/>
                <w:sz w:val="22"/>
              </w:rPr>
              <w:t>2、车辆（台、辆）</w:t>
            </w:r>
          </w:p>
        </w:tc>
        <w:tc>
          <w:tcPr>
            <w:tcW w:w="3155" w:type="dxa"/>
            <w:tcBorders>
              <w:top w:val="nil"/>
              <w:left w:val="nil"/>
              <w:bottom w:val="single" w:color="auto" w:sz="4" w:space="0"/>
              <w:right w:val="single" w:color="auto" w:sz="4" w:space="0"/>
            </w:tcBorders>
            <w:shd w:val="clear" w:color="auto" w:fill="auto"/>
            <w:vAlign w:val="center"/>
          </w:tcPr>
          <w:p w14:paraId="3149BB2A">
            <w:pPr>
              <w:widowControl/>
              <w:jc w:val="center"/>
              <w:rPr>
                <w:rFonts w:hint="eastAsia" w:ascii="宋体" w:eastAsia="宋体" w:cs="宋体"/>
                <w:kern w:val="0"/>
                <w:sz w:val="22"/>
                <w:lang w:val="en-US" w:eastAsia="zh-CN"/>
              </w:rPr>
            </w:pPr>
            <w:r>
              <w:rPr>
                <w:rFonts w:hint="eastAsia" w:ascii="宋体" w:eastAsia="宋体" w:cs="宋体"/>
                <w:kern w:val="0"/>
                <w:sz w:val="22"/>
                <w:lang w:val="en-US" w:eastAsia="zh-CN"/>
              </w:rPr>
              <w:t>1</w:t>
            </w:r>
          </w:p>
        </w:tc>
        <w:tc>
          <w:tcPr>
            <w:tcW w:w="5103" w:type="dxa"/>
            <w:tcBorders>
              <w:top w:val="nil"/>
              <w:left w:val="nil"/>
              <w:bottom w:val="single" w:color="auto" w:sz="4" w:space="0"/>
              <w:right w:val="single" w:color="auto" w:sz="4" w:space="0"/>
            </w:tcBorders>
            <w:shd w:val="clear" w:color="auto" w:fill="auto"/>
            <w:vAlign w:val="center"/>
          </w:tcPr>
          <w:p w14:paraId="221B5137">
            <w:pPr>
              <w:widowControl/>
              <w:jc w:val="center"/>
              <w:rPr>
                <w:rFonts w:hint="eastAsia" w:ascii="宋体" w:eastAsia="宋体" w:cs="宋体"/>
                <w:kern w:val="0"/>
                <w:sz w:val="22"/>
                <w:lang w:val="en-US" w:eastAsia="zh-CN"/>
              </w:rPr>
            </w:pPr>
            <w:r>
              <w:rPr>
                <w:rFonts w:hint="eastAsia" w:ascii="宋体" w:eastAsia="宋体" w:cs="宋体"/>
                <w:kern w:val="0"/>
                <w:sz w:val="22"/>
                <w:lang w:val="en-US" w:eastAsia="zh-CN"/>
              </w:rPr>
              <w:t>17.98</w:t>
            </w:r>
          </w:p>
        </w:tc>
      </w:tr>
      <w:tr w14:paraId="7C90E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14:paraId="6E70D2FF">
            <w:pPr>
              <w:widowControl/>
              <w:jc w:val="left"/>
              <w:rPr>
                <w:rFonts w:ascii="宋体" w:eastAsia="宋体" w:cs="宋体"/>
                <w:kern w:val="0"/>
                <w:sz w:val="22"/>
              </w:rPr>
            </w:pPr>
            <w:r>
              <w:rPr>
                <w:rFonts w:hint="eastAsia" w:ascii="宋体" w:eastAsia="宋体" w:cs="宋体"/>
                <w:kern w:val="0"/>
                <w:sz w:val="22"/>
              </w:rPr>
              <w:t>3、单价在</w:t>
            </w:r>
            <w:r>
              <w:rPr>
                <w:rFonts w:hint="eastAsia" w:ascii="宋体" w:eastAsia="宋体" w:cs="宋体"/>
                <w:kern w:val="0"/>
                <w:sz w:val="22"/>
                <w:lang w:val="en-US" w:eastAsia="zh-CN"/>
              </w:rPr>
              <w:t>5</w:t>
            </w:r>
            <w:r>
              <w:rPr>
                <w:rFonts w:hint="eastAsia" w:ascii="宋体" w:eastAsia="宋体" w:cs="宋体"/>
                <w:kern w:val="0"/>
                <w:sz w:val="22"/>
              </w:rPr>
              <w:t>0万元以上的设备</w:t>
            </w:r>
          </w:p>
        </w:tc>
        <w:tc>
          <w:tcPr>
            <w:tcW w:w="3155" w:type="dxa"/>
            <w:tcBorders>
              <w:top w:val="nil"/>
              <w:left w:val="nil"/>
              <w:bottom w:val="single" w:color="auto" w:sz="4" w:space="0"/>
              <w:right w:val="single" w:color="auto" w:sz="4" w:space="0"/>
            </w:tcBorders>
            <w:shd w:val="clear" w:color="auto" w:fill="auto"/>
            <w:vAlign w:val="center"/>
          </w:tcPr>
          <w:p w14:paraId="628E8440">
            <w:pPr>
              <w:widowControl/>
              <w:jc w:val="center"/>
              <w:rPr>
                <w:rFonts w:hint="eastAsia" w:ascii="宋体" w:eastAsia="宋体" w:cs="宋体"/>
                <w:kern w:val="0"/>
                <w:sz w:val="22"/>
                <w:lang w:val="en-US" w:eastAsia="zh-CN"/>
              </w:rPr>
            </w:pPr>
            <w:r>
              <w:rPr>
                <w:rFonts w:hint="eastAsia" w:ascii="宋体" w:eastAsia="宋体" w:cs="宋体"/>
                <w:kern w:val="0"/>
                <w:sz w:val="22"/>
                <w:lang w:val="en-US" w:eastAsia="zh-CN"/>
              </w:rPr>
              <w:t>0</w:t>
            </w:r>
          </w:p>
        </w:tc>
        <w:tc>
          <w:tcPr>
            <w:tcW w:w="5103" w:type="dxa"/>
            <w:tcBorders>
              <w:top w:val="nil"/>
              <w:left w:val="nil"/>
              <w:bottom w:val="single" w:color="auto" w:sz="4" w:space="0"/>
              <w:right w:val="single" w:color="auto" w:sz="4" w:space="0"/>
            </w:tcBorders>
            <w:shd w:val="clear" w:color="auto" w:fill="auto"/>
            <w:vAlign w:val="center"/>
          </w:tcPr>
          <w:p w14:paraId="4910BC03">
            <w:pPr>
              <w:widowControl/>
              <w:jc w:val="center"/>
              <w:rPr>
                <w:rFonts w:hint="eastAsia" w:ascii="宋体" w:eastAsia="宋体" w:cs="宋体"/>
                <w:kern w:val="0"/>
                <w:sz w:val="22"/>
                <w:lang w:val="en-US" w:eastAsia="zh-CN"/>
              </w:rPr>
            </w:pPr>
            <w:r>
              <w:rPr>
                <w:rFonts w:hint="eastAsia" w:ascii="宋体" w:eastAsia="宋体" w:cs="宋体"/>
                <w:kern w:val="0"/>
                <w:sz w:val="22"/>
                <w:lang w:val="en-US" w:eastAsia="zh-CN"/>
              </w:rPr>
              <w:t>0</w:t>
            </w:r>
          </w:p>
        </w:tc>
      </w:tr>
      <w:tr w14:paraId="79899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14:paraId="7CA5588C">
            <w:pPr>
              <w:widowControl/>
              <w:jc w:val="left"/>
              <w:rPr>
                <w:rFonts w:ascii="宋体" w:eastAsia="宋体" w:cs="宋体"/>
                <w:kern w:val="0"/>
                <w:sz w:val="22"/>
              </w:rPr>
            </w:pPr>
            <w:r>
              <w:rPr>
                <w:rFonts w:hint="eastAsia" w:ascii="宋体" w:eastAsia="宋体" w:cs="宋体"/>
                <w:kern w:val="0"/>
                <w:sz w:val="22"/>
              </w:rPr>
              <w:t>4、其他固定资产</w:t>
            </w:r>
          </w:p>
        </w:tc>
        <w:tc>
          <w:tcPr>
            <w:tcW w:w="3155" w:type="dxa"/>
            <w:tcBorders>
              <w:top w:val="nil"/>
              <w:left w:val="nil"/>
              <w:bottom w:val="single" w:color="auto" w:sz="4" w:space="0"/>
              <w:right w:val="single" w:color="auto" w:sz="4" w:space="0"/>
            </w:tcBorders>
            <w:shd w:val="clear" w:color="auto" w:fill="auto"/>
            <w:vAlign w:val="center"/>
          </w:tcPr>
          <w:p w14:paraId="0D4C2F2E">
            <w:pPr>
              <w:widowControl/>
              <w:jc w:val="center"/>
              <w:rPr>
                <w:rFonts w:ascii="宋体" w:eastAsia="宋体" w:cs="宋体"/>
                <w:kern w:val="0"/>
                <w:sz w:val="22"/>
              </w:rPr>
            </w:pPr>
          </w:p>
        </w:tc>
        <w:tc>
          <w:tcPr>
            <w:tcW w:w="5103" w:type="dxa"/>
            <w:tcBorders>
              <w:top w:val="nil"/>
              <w:left w:val="nil"/>
              <w:bottom w:val="single" w:color="auto" w:sz="4" w:space="0"/>
              <w:right w:val="single" w:color="auto" w:sz="4" w:space="0"/>
            </w:tcBorders>
            <w:shd w:val="clear" w:color="auto" w:fill="auto"/>
            <w:vAlign w:val="center"/>
          </w:tcPr>
          <w:p w14:paraId="718C1ADC">
            <w:pPr>
              <w:widowControl/>
              <w:jc w:val="center"/>
              <w:rPr>
                <w:rFonts w:hint="eastAsia" w:ascii="宋体" w:eastAsia="宋体" w:cs="宋体"/>
                <w:kern w:val="0"/>
                <w:sz w:val="22"/>
                <w:lang w:val="en-US" w:eastAsia="zh-CN"/>
              </w:rPr>
            </w:pPr>
            <w:r>
              <w:rPr>
                <w:rFonts w:hint="eastAsia" w:ascii="宋体" w:eastAsia="宋体" w:cs="宋体"/>
                <w:kern w:val="0"/>
                <w:sz w:val="22"/>
                <w:lang w:val="en-US" w:eastAsia="zh-CN"/>
              </w:rPr>
              <w:t>22.11</w:t>
            </w:r>
          </w:p>
        </w:tc>
      </w:tr>
    </w:tbl>
    <w:p w14:paraId="729B0963">
      <w:pPr>
        <w:autoSpaceDE w:val="0"/>
        <w:autoSpaceDN w:val="0"/>
        <w:adjustRightInd w:val="0"/>
        <w:ind w:left="198" w:firstLine="640" w:firstLineChars="200"/>
        <w:jc w:val="left"/>
        <w:rPr>
          <w:rFonts w:ascii="黑体" w:eastAsia="黑体" w:cs="Times New Roman"/>
          <w:sz w:val="32"/>
          <w:szCs w:val="32"/>
        </w:rPr>
      </w:pPr>
      <w:r>
        <w:rPr>
          <w:rFonts w:hint="eastAsia" w:ascii="黑体" w:eastAsia="黑体" w:cs="Times New Roman"/>
          <w:sz w:val="32"/>
          <w:szCs w:val="32"/>
        </w:rPr>
        <w:t>八、名词解释</w:t>
      </w:r>
    </w:p>
    <w:p w14:paraId="3782B3DD">
      <w:pPr>
        <w:pStyle w:val="8"/>
        <w:ind w:firstLine="643" w:firstLineChars="200"/>
        <w:rPr>
          <w:rFonts w:hint="eastAsia" w:ascii="仿宋_GB2312" w:eastAsia="仿宋_GB2312"/>
          <w:b/>
          <w:bCs/>
          <w:sz w:val="32"/>
          <w:szCs w:val="32"/>
        </w:rPr>
      </w:pPr>
      <w:r>
        <w:rPr>
          <w:rFonts w:hint="eastAsia" w:ascii="仿宋_GB2312" w:eastAsia="仿宋_GB2312"/>
          <w:b/>
          <w:bCs/>
          <w:sz w:val="32"/>
          <w:szCs w:val="32"/>
        </w:rPr>
        <w:t>1</w:t>
      </w:r>
      <w:r>
        <w:rPr>
          <w:rFonts w:hint="eastAsia" w:ascii="仿宋_GB2312" w:eastAsia="仿宋_GB2312" w:cs="FZFangSong-Z02"/>
          <w:sz w:val="32"/>
          <w:szCs w:val="32"/>
        </w:rPr>
        <w:t>、一般公共预算拨款收入：指市级财政当年拨付的资金。</w:t>
      </w:r>
    </w:p>
    <w:p w14:paraId="3542C211">
      <w:pPr>
        <w:pStyle w:val="8"/>
        <w:rPr>
          <w:rFonts w:hint="eastAsia" w:ascii="仿宋_GB2312" w:eastAsia="仿宋_GB2312" w:cs="FZFangSong-Z02"/>
          <w:sz w:val="32"/>
          <w:szCs w:val="32"/>
        </w:rPr>
      </w:pPr>
      <w:r>
        <w:rPr>
          <w:rFonts w:hint="eastAsia" w:ascii="仿宋_GB2312" w:eastAsia="仿宋_GB2312"/>
          <w:b/>
          <w:bCs/>
          <w:sz w:val="32"/>
          <w:szCs w:val="32"/>
        </w:rPr>
        <w:t xml:space="preserve">    2</w:t>
      </w:r>
      <w:r>
        <w:rPr>
          <w:rFonts w:hint="eastAsia" w:ascii="仿宋_GB2312" w:eastAsia="仿宋_GB2312" w:cs="FZFangSong-Z02"/>
          <w:sz w:val="32"/>
          <w:szCs w:val="32"/>
        </w:rPr>
        <w:t>、事业收入：指事业单位开展专业业务活动及辅助活动所取得的收入。</w:t>
      </w:r>
    </w:p>
    <w:p w14:paraId="4618FBA6">
      <w:pPr>
        <w:pStyle w:val="8"/>
        <w:rPr>
          <w:rFonts w:hint="eastAsia" w:ascii="仿宋_GB2312" w:eastAsia="仿宋_GB2312" w:cs="FZFangSong-Z02"/>
          <w:sz w:val="32"/>
          <w:szCs w:val="32"/>
        </w:rPr>
      </w:pPr>
      <w:r>
        <w:rPr>
          <w:rFonts w:hint="eastAsia" w:ascii="仿宋_GB2312" w:eastAsia="仿宋_GB2312"/>
          <w:b/>
          <w:bCs/>
          <w:sz w:val="32"/>
          <w:szCs w:val="32"/>
        </w:rPr>
        <w:t xml:space="preserve">    3</w:t>
      </w:r>
      <w:r>
        <w:rPr>
          <w:rFonts w:hint="eastAsia" w:ascii="仿宋_GB2312" w:eastAsia="仿宋_GB2312" w:cs="FZFangSong-Z02"/>
          <w:sz w:val="32"/>
          <w:szCs w:val="32"/>
        </w:rPr>
        <w:t>、其他收入：指除上述</w:t>
      </w:r>
      <w:r>
        <w:rPr>
          <w:rFonts w:hint="eastAsia" w:ascii="仿宋_GB2312" w:eastAsia="仿宋_GB2312"/>
          <w:sz w:val="32"/>
          <w:szCs w:val="32"/>
        </w:rPr>
        <w:t>“</w:t>
      </w:r>
      <w:r>
        <w:rPr>
          <w:rFonts w:hint="eastAsia" w:ascii="仿宋_GB2312" w:eastAsia="仿宋_GB2312" w:cs="FZFangSong-Z02"/>
          <w:sz w:val="32"/>
          <w:szCs w:val="32"/>
        </w:rPr>
        <w:t>财政拨款收入</w:t>
      </w:r>
      <w:r>
        <w:rPr>
          <w:rFonts w:hint="eastAsia" w:ascii="仿宋_GB2312" w:eastAsia="仿宋_GB2312"/>
          <w:sz w:val="32"/>
          <w:szCs w:val="32"/>
        </w:rPr>
        <w:t>”</w:t>
      </w:r>
      <w:r>
        <w:rPr>
          <w:rFonts w:hint="eastAsia" w:ascii="仿宋_GB2312" w:eastAsia="仿宋_GB2312" w:cs="FZFangSong-Z02"/>
          <w:sz w:val="32"/>
          <w:szCs w:val="32"/>
        </w:rPr>
        <w:t>、</w:t>
      </w:r>
      <w:r>
        <w:rPr>
          <w:rFonts w:hint="eastAsia" w:ascii="仿宋_GB2312" w:eastAsia="仿宋_GB2312"/>
          <w:sz w:val="32"/>
          <w:szCs w:val="32"/>
        </w:rPr>
        <w:t>“</w:t>
      </w:r>
      <w:r>
        <w:rPr>
          <w:rFonts w:hint="eastAsia" w:ascii="仿宋_GB2312" w:eastAsia="仿宋_GB2312" w:cs="FZFangSong-Z02"/>
          <w:sz w:val="32"/>
          <w:szCs w:val="32"/>
        </w:rPr>
        <w:t>事业收入</w:t>
      </w:r>
      <w:r>
        <w:rPr>
          <w:rFonts w:hint="eastAsia" w:ascii="仿宋_GB2312" w:eastAsia="仿宋_GB2312"/>
          <w:sz w:val="32"/>
          <w:szCs w:val="32"/>
        </w:rPr>
        <w:t>”</w:t>
      </w:r>
      <w:r>
        <w:rPr>
          <w:rFonts w:hint="eastAsia" w:ascii="仿宋_GB2312" w:eastAsia="仿宋_GB2312" w:cs="FZFangSong-Z02"/>
          <w:sz w:val="32"/>
          <w:szCs w:val="32"/>
        </w:rPr>
        <w:t>等以外的收入。主要是按规定动用的租房收入、存款利息收入等。</w:t>
      </w:r>
    </w:p>
    <w:p w14:paraId="705E32B4">
      <w:pPr>
        <w:pStyle w:val="8"/>
        <w:rPr>
          <w:rFonts w:hint="eastAsia" w:ascii="仿宋_GB2312" w:eastAsia="仿宋_GB2312" w:cs="FZFangSong-Z02"/>
          <w:sz w:val="32"/>
          <w:szCs w:val="32"/>
        </w:rPr>
      </w:pPr>
      <w:r>
        <w:rPr>
          <w:rFonts w:hint="eastAsia" w:ascii="仿宋_GB2312" w:eastAsia="仿宋_GB2312"/>
          <w:b/>
          <w:bCs/>
          <w:sz w:val="32"/>
          <w:szCs w:val="32"/>
        </w:rPr>
        <w:t xml:space="preserve">    4</w:t>
      </w:r>
      <w:r>
        <w:rPr>
          <w:rFonts w:hint="eastAsia" w:ascii="仿宋_GB2312" w:eastAsia="仿宋_GB2312" w:cs="FZFangSong-Z02"/>
          <w:sz w:val="32"/>
          <w:szCs w:val="32"/>
        </w:rPr>
        <w:t>、基本支出：</w:t>
      </w:r>
      <w:r>
        <w:rPr>
          <w:rFonts w:hint="eastAsia" w:ascii="仿宋_GB2312" w:eastAsia="仿宋_GB2312"/>
          <w:sz w:val="32"/>
          <w:szCs w:val="32"/>
        </w:rPr>
        <w:t>指为保障机构正常运转、完成日常工作任务而发生的人员支出和公用支出。</w:t>
      </w:r>
    </w:p>
    <w:p w14:paraId="15A9D165">
      <w:pPr>
        <w:rPr>
          <w:rFonts w:hint="eastAsia" w:ascii="仿宋_GB2312" w:eastAsia="仿宋_GB2312"/>
          <w:sz w:val="32"/>
          <w:szCs w:val="32"/>
        </w:rPr>
      </w:pPr>
      <w:r>
        <w:rPr>
          <w:rFonts w:hint="eastAsia" w:ascii="仿宋_GB2312" w:eastAsia="仿宋_GB2312"/>
          <w:b/>
          <w:bCs/>
          <w:sz w:val="32"/>
          <w:szCs w:val="32"/>
        </w:rPr>
        <w:t xml:space="preserve">    5</w:t>
      </w:r>
      <w:r>
        <w:rPr>
          <w:rFonts w:hint="eastAsia" w:ascii="仿宋_GB2312" w:eastAsia="仿宋_GB2312" w:cs="FZFangSong-Z02"/>
          <w:sz w:val="32"/>
          <w:szCs w:val="32"/>
        </w:rPr>
        <w:t>、项目支出：</w:t>
      </w:r>
      <w:r>
        <w:rPr>
          <w:rFonts w:hint="eastAsia" w:ascii="仿宋_GB2312" w:eastAsia="仿宋_GB2312"/>
          <w:sz w:val="32"/>
          <w:szCs w:val="32"/>
        </w:rPr>
        <w:t>指在基本支出之外为完成特定行政任务和事业发展目标所发生的支出。</w:t>
      </w:r>
    </w:p>
    <w:p w14:paraId="56A726C9">
      <w:pPr>
        <w:pStyle w:val="8"/>
        <w:rPr>
          <w:rFonts w:hint="eastAsia" w:ascii="仿宋_GB2312" w:eastAsia="仿宋_GB2312"/>
          <w:sz w:val="32"/>
          <w:szCs w:val="32"/>
        </w:rPr>
      </w:pPr>
      <w:r>
        <w:rPr>
          <w:rFonts w:hint="eastAsia" w:ascii="仿宋_GB2312" w:eastAsia="仿宋_GB2312"/>
          <w:b/>
          <w:bCs/>
          <w:sz w:val="32"/>
          <w:szCs w:val="32"/>
        </w:rPr>
        <w:t xml:space="preserve">    6</w:t>
      </w:r>
      <w:r>
        <w:rPr>
          <w:rFonts w:hint="eastAsia" w:ascii="仿宋_GB2312" w:eastAsia="仿宋_GB2312" w:cs="FZFangSong-Z02"/>
          <w:sz w:val="32"/>
          <w:szCs w:val="32"/>
        </w:rPr>
        <w:t>、上缴上级支出：</w:t>
      </w:r>
      <w:r>
        <w:rPr>
          <w:rFonts w:hint="eastAsia" w:ascii="仿宋_GB2312" w:eastAsia="仿宋_GB2312"/>
          <w:sz w:val="32"/>
          <w:szCs w:val="32"/>
        </w:rPr>
        <w:t>指下级单位上缴上级的支出。</w:t>
      </w:r>
    </w:p>
    <w:p w14:paraId="2FC417EF">
      <w:pPr>
        <w:pStyle w:val="8"/>
        <w:rPr>
          <w:rFonts w:hint="eastAsia" w:ascii="仿宋_GB2312" w:eastAsia="仿宋_GB2312" w:cs="FZFangSong-Z02"/>
          <w:sz w:val="32"/>
          <w:szCs w:val="32"/>
        </w:rPr>
      </w:pPr>
      <w:r>
        <w:rPr>
          <w:rFonts w:hint="eastAsia" w:ascii="仿宋_GB2312" w:eastAsia="仿宋_GB2312"/>
          <w:b/>
          <w:bCs/>
          <w:sz w:val="32"/>
          <w:szCs w:val="32"/>
        </w:rPr>
        <w:t xml:space="preserve">    7</w:t>
      </w:r>
      <w:r>
        <w:rPr>
          <w:rFonts w:hint="eastAsia" w:ascii="仿宋_GB2312" w:eastAsia="仿宋_GB2312" w:cs="FZFangSong-Z02"/>
          <w:sz w:val="32"/>
          <w:szCs w:val="32"/>
        </w:rPr>
        <w:t>、</w:t>
      </w:r>
      <w:r>
        <w:rPr>
          <w:rFonts w:hint="eastAsia" w:ascii="仿宋_GB2312" w:eastAsia="仿宋_GB2312"/>
          <w:b/>
          <w:bCs/>
          <w:sz w:val="32"/>
          <w:szCs w:val="32"/>
        </w:rPr>
        <w:t>“</w:t>
      </w:r>
      <w:r>
        <w:rPr>
          <w:rFonts w:hint="eastAsia" w:ascii="仿宋_GB2312" w:eastAsia="仿宋_GB2312" w:cs="FZFangSong-Z02"/>
          <w:sz w:val="32"/>
          <w:szCs w:val="32"/>
        </w:rPr>
        <w:t>三公</w:t>
      </w:r>
      <w:r>
        <w:rPr>
          <w:rFonts w:hint="eastAsia" w:ascii="仿宋_GB2312" w:eastAsia="仿宋_GB2312"/>
          <w:b/>
          <w:bCs/>
          <w:sz w:val="32"/>
          <w:szCs w:val="32"/>
        </w:rPr>
        <w:t>”</w:t>
      </w:r>
      <w:r>
        <w:rPr>
          <w:rFonts w:hint="eastAsia" w:ascii="仿宋_GB2312" w:eastAsia="仿宋_GB2312" w:cs="FZFangSong-Z02"/>
          <w:sz w:val="32"/>
          <w:szCs w:val="32"/>
        </w:rPr>
        <w:t>经费：纳入市级财政预算管理的</w:t>
      </w:r>
      <w:r>
        <w:rPr>
          <w:rFonts w:hint="eastAsia" w:ascii="仿宋_GB2312" w:eastAsia="仿宋_GB2312"/>
          <w:sz w:val="32"/>
          <w:szCs w:val="32"/>
        </w:rPr>
        <w:t>“</w:t>
      </w:r>
      <w:r>
        <w:rPr>
          <w:rFonts w:hint="eastAsia" w:ascii="仿宋_GB2312" w:eastAsia="仿宋_GB2312" w:cs="FZFangSong-Z02"/>
          <w:sz w:val="32"/>
          <w:szCs w:val="32"/>
        </w:rPr>
        <w:t>三公</w:t>
      </w:r>
      <w:r>
        <w:rPr>
          <w:rFonts w:hint="eastAsia" w:ascii="仿宋_GB2312" w:eastAsia="仿宋_GB2312"/>
          <w:sz w:val="32"/>
          <w:szCs w:val="32"/>
        </w:rPr>
        <w:t>”</w:t>
      </w:r>
      <w:r>
        <w:rPr>
          <w:rFonts w:hint="eastAsia" w:ascii="仿宋_GB2312" w:eastAsia="仿宋_GB2312" w:cs="FZFangSong-Z02"/>
          <w:sz w:val="32"/>
          <w:szCs w:val="32"/>
        </w:rPr>
        <w:t>经费，是指市级部门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7AC53FD">
      <w:pPr>
        <w:rPr>
          <w:rFonts w:hint="eastAsia" w:ascii="仿宋_GB2312" w:eastAsia="仿宋_GB2312" w:cs="FZFangSong-Z02"/>
          <w:sz w:val="32"/>
          <w:szCs w:val="32"/>
        </w:rPr>
      </w:pPr>
      <w:r>
        <w:rPr>
          <w:rFonts w:hint="eastAsia" w:ascii="仿宋_GB2312" w:eastAsia="仿宋_GB2312"/>
          <w:b/>
          <w:bCs/>
          <w:sz w:val="32"/>
          <w:szCs w:val="32"/>
        </w:rPr>
        <w:t xml:space="preserve">    8</w:t>
      </w:r>
      <w:r>
        <w:rPr>
          <w:rFonts w:hint="eastAsia" w:ascii="仿宋_GB2312" w:eastAsia="仿宋_GB2312" w:cs="FZFangSong-Z02"/>
          <w:sz w:val="32"/>
          <w:szCs w:val="32"/>
        </w:rPr>
        <w:t>、机关运行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w:t>
      </w:r>
      <w:r>
        <w:rPr>
          <w:rFonts w:hint="eastAsia" w:ascii="仿宋_GB2312" w:eastAsia="仿宋_GB2312"/>
          <w:sz w:val="32"/>
          <w:szCs w:val="32"/>
        </w:rPr>
        <w:t>其他费用。</w:t>
      </w:r>
    </w:p>
    <w:p w14:paraId="2D77ED20">
      <w:pPr>
        <w:tabs>
          <w:tab w:val="left" w:pos="11490"/>
        </w:tabs>
        <w:ind w:firstLine="640" w:firstLineChars="200"/>
        <w:rPr>
          <w:rFonts w:hint="eastAsia" w:ascii="黑体" w:eastAsia="黑体" w:cs="黑体"/>
          <w:b w:val="0"/>
          <w:bCs/>
          <w:sz w:val="32"/>
          <w:szCs w:val="32"/>
        </w:rPr>
      </w:pPr>
      <w:r>
        <w:rPr>
          <w:rFonts w:hint="eastAsia" w:ascii="黑体" w:eastAsia="黑体" w:cs="黑体"/>
          <w:b w:val="0"/>
          <w:bCs/>
          <w:sz w:val="32"/>
          <w:szCs w:val="32"/>
        </w:rPr>
        <w:t>九、其它需要说明的事项</w:t>
      </w:r>
    </w:p>
    <w:p w14:paraId="17464994">
      <w:pPr>
        <w:tabs>
          <w:tab w:val="left" w:pos="11490"/>
        </w:tabs>
        <w:ind w:firstLine="640" w:firstLineChars="200"/>
        <w:rPr>
          <w:rFonts w:hint="eastAsia" w:ascii="仿宋" w:eastAsia="仿宋" w:cs="仿宋"/>
          <w:b w:val="0"/>
          <w:bCs/>
          <w:sz w:val="32"/>
          <w:szCs w:val="32"/>
        </w:rPr>
      </w:pPr>
      <w:r>
        <w:rPr>
          <w:rFonts w:hint="eastAsia" w:ascii="仿宋" w:eastAsia="仿宋" w:cs="仿宋"/>
          <w:b w:val="0"/>
          <w:bCs/>
          <w:sz w:val="32"/>
          <w:szCs w:val="32"/>
        </w:rPr>
        <w:t>无其它需要说明的事项。</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书宋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FZFangSong-Z0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SOF8080F95D">
    <w:panose1 w:val="020B0503020204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59EE7">
    <w:pPr>
      <w:pStyle w:val="2"/>
      <w:jc w:val="center"/>
      <w:rPr>
        <w:sz w:val="24"/>
      </w:rPr>
    </w:pPr>
    <w:r>
      <w:rPr>
        <w:sz w:val="24"/>
      </w:rPr>
      <w:fldChar w:fldCharType="begin"/>
    </w:r>
    <w:r>
      <w:rPr>
        <w:sz w:val="24"/>
      </w:rPr>
      <w:instrText xml:space="preserve">PAGE   \* MERGEFORMAT</w:instrText>
    </w:r>
    <w:r>
      <w:rPr>
        <w:sz w:val="24"/>
      </w:rPr>
      <w:fldChar w:fldCharType="separate"/>
    </w:r>
    <w:r>
      <w:rPr>
        <w:sz w:val="24"/>
        <w:lang w:val="zh-CN"/>
      </w:rPr>
      <w:t>18</w:t>
    </w:r>
    <w:r>
      <w:rPr>
        <w:sz w:val="24"/>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000000"/>
    <w:rsid w:val="00B35724"/>
    <w:rsid w:val="14FB7DEF"/>
    <w:rsid w:val="2AB21A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7">
    <w:name w:val="Default Paragraph Fon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4">
    <w:name w:val="toc 1"/>
    <w:basedOn w:val="1"/>
    <w:next w:val="1"/>
    <w:uiPriority w:val="0"/>
    <w:rPr>
      <w:rFonts w:ascii="Times New Roman" w:hAnsi="Times New Roman" w:eastAsia="宋体" w:cs="Times New Roman"/>
      <w:szCs w:val="24"/>
    </w:rPr>
  </w:style>
  <w:style w:type="paragraph" w:styleId="5">
    <w:name w:val="toc 2"/>
    <w:basedOn w:val="1"/>
    <w:next w:val="1"/>
    <w:qFormat/>
    <w:uiPriority w:val="0"/>
    <w:pPr>
      <w:ind w:left="200" w:leftChars="200"/>
    </w:pPr>
    <w:rPr>
      <w:rFonts w:ascii="Times New Roman" w:hAnsi="Times New Roman" w:eastAsia="宋体" w:cs="Times New Roman"/>
      <w:szCs w:val="24"/>
    </w:rPr>
  </w:style>
  <w:style w:type="paragraph" w:customStyle="1" w:styleId="8">
    <w:name w:val="Default"/>
    <w:next w:val="2"/>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16</Pages>
  <Words>6886</Words>
  <Characters>7332</Characters>
  <Lines>556</Lines>
  <Paragraphs>305</Paragraphs>
  <TotalTime>0</TotalTime>
  <ScaleCrop>false</ScaleCrop>
  <LinksUpToDate>false</LinksUpToDate>
  <CharactersWithSpaces>7391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2017-01-13T03:22:00Z</dcterms:created>
  <dc:creator>guest</dc:creator>
  <cp:lastModifiedBy>BianL</cp:lastModifiedBy>
  <dcterms:modified xsi:type="dcterms:W3CDTF">2017-05-11T09:31:33Z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eyJoZGlkIjoiOTY1NDE1NDI3YWU5MWQ5YTlkN2Q3ZjQyZmM0N2I3ZDEifQ==</vt:lpwstr>
  </property>
  <property fmtid="{D5CDD505-2E9C-101B-9397-08002B2CF9AE}" pid="4" name="ICV">
    <vt:lpwstr>95A23A7AA0DE41DDAC04ED4882BF7A7A_12</vt:lpwstr>
  </property>
</Properties>
</file>