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0DA8D1">
      <w:pPr>
        <w:jc w:val="both"/>
      </w:pPr>
    </w:p>
    <w:p w14:paraId="3433D182">
      <w:pPr>
        <w:spacing w:line="584" w:lineRule="exact"/>
        <w:jc w:val="center"/>
        <w:rPr>
          <w:rFonts w:hint="eastAsia" w:ascii="Times New Roman" w:hAnsi="Times New Roman" w:eastAsia="方正小标宋简体" w:cs="Times New Roman"/>
          <w:sz w:val="44"/>
          <w:szCs w:val="44"/>
          <w:lang w:eastAsia="zh-CN"/>
        </w:rPr>
      </w:pPr>
      <w:r>
        <w:rPr>
          <w:rFonts w:hint="eastAsia" w:ascii="Times New Roman" w:hAnsi="Times New Roman" w:eastAsia="方正小标宋简体" w:cs="Times New Roman"/>
          <w:sz w:val="44"/>
          <w:szCs w:val="44"/>
          <w:lang w:eastAsia="zh-CN"/>
        </w:rPr>
        <w:t>中共</w:t>
      </w:r>
      <w:r>
        <w:rPr>
          <w:rFonts w:ascii="Times New Roman" w:hAnsi="Times New Roman" w:eastAsia="方正小标宋简体" w:cs="Times New Roman"/>
          <w:sz w:val="44"/>
          <w:szCs w:val="44"/>
        </w:rPr>
        <w:t>廊坊</w:t>
      </w:r>
      <w:r>
        <w:rPr>
          <w:rFonts w:hint="eastAsia" w:ascii="Times New Roman" w:hAnsi="Times New Roman" w:eastAsia="方正小标宋简体" w:cs="Times New Roman"/>
          <w:sz w:val="44"/>
          <w:szCs w:val="44"/>
          <w:lang w:eastAsia="zh-CN"/>
        </w:rPr>
        <w:t>市委统一战线工作部</w:t>
      </w:r>
    </w:p>
    <w:p w14:paraId="334271C4">
      <w:pPr>
        <w:spacing w:line="584" w:lineRule="exact"/>
        <w:ind w:firstLine="3520" w:firstLineChars="800"/>
        <w:jc w:val="both"/>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20</w:t>
      </w:r>
      <w:r>
        <w:rPr>
          <w:rFonts w:hint="eastAsia" w:ascii="Times New Roman" w:hAnsi="Times New Roman" w:eastAsia="方正小标宋简体" w:cs="Times New Roman"/>
          <w:sz w:val="44"/>
          <w:szCs w:val="44"/>
        </w:rPr>
        <w:t>2</w:t>
      </w:r>
      <w:r>
        <w:rPr>
          <w:rFonts w:ascii="Times New Roman" w:hAnsi="Times New Roman" w:eastAsia="方正小标宋简体" w:cs="Times New Roman"/>
          <w:sz w:val="44"/>
          <w:szCs w:val="44"/>
        </w:rPr>
        <w:t>2年部门预算信息公开</w:t>
      </w:r>
      <w:r>
        <w:rPr>
          <w:rFonts w:hint="eastAsia" w:ascii="Times New Roman" w:hAnsi="Times New Roman" w:eastAsia="方正小标宋简体" w:cs="Times New Roman"/>
          <w:sz w:val="44"/>
          <w:szCs w:val="44"/>
        </w:rPr>
        <w:t>情况说明</w:t>
      </w:r>
    </w:p>
    <w:p w14:paraId="52AC24F0">
      <w:pPr>
        <w:spacing w:line="584" w:lineRule="exact"/>
        <w:ind w:firstLine="880" w:firstLineChars="200"/>
        <w:jc w:val="center"/>
        <w:rPr>
          <w:rFonts w:ascii="Times New Roman" w:hAnsi="Times New Roman" w:eastAsia="仿宋_GB2312" w:cs="Times New Roman"/>
          <w:sz w:val="44"/>
          <w:szCs w:val="44"/>
        </w:rPr>
      </w:pPr>
    </w:p>
    <w:p w14:paraId="45593747">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按照《中华人民共和国预算法》、《中华人民共和国预算法实施条例》、《地方预决算公开操作规程》和《河北省省级预算公开办法》规定，现将</w:t>
      </w:r>
      <w:r>
        <w:rPr>
          <w:rFonts w:hint="eastAsia" w:ascii="Times New Roman" w:hAnsi="Times New Roman" w:eastAsia="仿宋_GB2312" w:cs="Times New Roman"/>
          <w:sz w:val="32"/>
          <w:szCs w:val="32"/>
          <w:lang w:eastAsia="zh-CN"/>
        </w:rPr>
        <w:t>中共</w:t>
      </w:r>
      <w:r>
        <w:rPr>
          <w:rFonts w:ascii="Times New Roman" w:hAnsi="Times New Roman" w:eastAsia="仿宋_GB2312" w:cs="Times New Roman"/>
          <w:sz w:val="32"/>
          <w:szCs w:val="32"/>
        </w:rPr>
        <w:t>廊坊</w:t>
      </w:r>
      <w:r>
        <w:rPr>
          <w:rFonts w:hint="eastAsia" w:ascii="Times New Roman" w:hAnsi="Times New Roman" w:eastAsia="仿宋_GB2312" w:cs="Times New Roman"/>
          <w:sz w:val="32"/>
          <w:szCs w:val="32"/>
          <w:lang w:eastAsia="zh-CN"/>
        </w:rPr>
        <w:t>市委统一战线工作部</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2年部门预算公开如下：</w:t>
      </w:r>
    </w:p>
    <w:p w14:paraId="36DCCCF3">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一、部门职责及机构设置情况</w:t>
      </w:r>
    </w:p>
    <w:p w14:paraId="2C39682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640"/>
        <w:rPr>
          <w:rFonts w:ascii="Times New Roman" w:hAnsi="Times New Roman" w:eastAsia="楷体_GB2312" w:cs="Times New Roman"/>
          <w:b/>
          <w:sz w:val="32"/>
          <w:szCs w:val="32"/>
        </w:rPr>
      </w:pPr>
      <w:r>
        <w:rPr>
          <w:rFonts w:ascii="Times New Roman" w:hAnsi="Times New Roman" w:eastAsia="楷体_GB2312" w:cs="Times New Roman"/>
          <w:b/>
          <w:sz w:val="32"/>
          <w:szCs w:val="32"/>
        </w:rPr>
        <w:t>部门职责：</w:t>
      </w:r>
    </w:p>
    <w:p w14:paraId="2295BAD2">
      <w:pPr>
        <w:keepNext w:val="0"/>
        <w:keepLines w:val="0"/>
        <w:pageBreakBefore w:val="0"/>
        <w:widowControl w:val="0"/>
        <w:kinsoku/>
        <w:wordWrap/>
        <w:overflowPunct/>
        <w:topLinePunct w:val="0"/>
        <w:autoSpaceDE/>
        <w:autoSpaceDN/>
        <w:bidi w:val="0"/>
        <w:adjustRightInd/>
        <w:snapToGrid/>
        <w:spacing w:before="0" w:after="0" w:line="584" w:lineRule="exact"/>
        <w:ind w:firstLine="561"/>
        <w:jc w:val="left"/>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贯彻落实加强党对统一战线工作集中统一领导的要求，发挥市委在统战工作方面的参谋机构、组织协调机构、具体执行机构、督促检查机构作用；开展统一战线理论研究，研究拟订统一战线工作政策并推动落实；贯彻落实党的宣传工作方针，统筹推进全市统一战线宣传工作；负责联系各民主党派，贯彻落实中国共产党领导的多党合作和政治协商制度以及对民主党派的方针政策；贯彻落实党的民族工作方针，协调落实民族工作政策和重大措施；贯彻落实党的宗教工作基本方针和政策；负责联系、培养无党派代表人士，支持、帮助无党派人士加强自身建设、发挥作用；参与制定、推动落实鼓励支持引导非公有制经济发展的政策措施；统一领导全市海外统战工作，牵头开展港澳统战工作；贯彻执行党中央、国务院对台工作的方针政策；统一管理全市侨务工作，贯彻落实党的侨务工作方针政策并组织协调、督促检查落实；协助管理各县（市、区）党委统战部部长。受市委委托，领导市工商联党组，指导工商联工作。代管市黄埔军校同学会。指导市社会主义学院工作。做好统一战线有关单位和团体的管理工作；完成市委交办的其他任务。</w:t>
      </w:r>
    </w:p>
    <w:p w14:paraId="63B6BE7E">
      <w:pPr>
        <w:autoSpaceDE w:val="0"/>
        <w:autoSpaceDN w:val="0"/>
        <w:adjustRightInd w:val="0"/>
        <w:spacing w:line="584" w:lineRule="exact"/>
        <w:ind w:firstLine="643" w:firstLineChars="200"/>
        <w:jc w:val="left"/>
        <w:rPr>
          <w:rFonts w:ascii="Times New Roman" w:hAnsi="Times New Roman" w:eastAsia="楷体_GB2312" w:cs="Times New Roman"/>
          <w:b/>
          <w:sz w:val="32"/>
          <w:szCs w:val="32"/>
        </w:rPr>
      </w:pPr>
      <w:r>
        <w:rPr>
          <w:rFonts w:ascii="Times New Roman" w:hAnsi="Times New Roman" w:eastAsia="楷体_GB2312" w:cs="Times New Roman"/>
          <w:b/>
          <w:sz w:val="32"/>
          <w:szCs w:val="32"/>
        </w:rPr>
        <w:t>机构设置：</w:t>
      </w:r>
    </w:p>
    <w:p w14:paraId="3B099110">
      <w:pPr>
        <w:spacing w:line="584" w:lineRule="exact"/>
        <w:jc w:val="center"/>
        <w:outlineLvl w:val="0"/>
        <w:rPr>
          <w:rFonts w:ascii="Times New Roman" w:hAnsi="Times New Roman" w:eastAsia="仿宋_GB2312" w:cs="Times New Roman"/>
          <w:b/>
          <w:sz w:val="32"/>
          <w:szCs w:val="24"/>
        </w:rPr>
      </w:pPr>
      <w:r>
        <w:rPr>
          <w:rFonts w:ascii="Times New Roman" w:hAnsi="Times New Roman" w:eastAsia="仿宋_GB2312" w:cs="Times New Roman"/>
          <w:b/>
          <w:sz w:val="32"/>
          <w:szCs w:val="24"/>
        </w:rPr>
        <w:t>部门机构设置情况</w:t>
      </w:r>
    </w:p>
    <w:tbl>
      <w:tblPr>
        <w:tblStyle w:val="9"/>
        <w:tblW w:w="1076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822"/>
        <w:gridCol w:w="1571"/>
        <w:gridCol w:w="1425"/>
        <w:gridCol w:w="2942"/>
      </w:tblGrid>
      <w:tr w14:paraId="255354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822" w:type="dxa"/>
            <w:vMerge w:val="restart"/>
            <w:shd w:val="clear" w:color="auto" w:fill="auto"/>
            <w:vAlign w:val="center"/>
          </w:tcPr>
          <w:p w14:paraId="2688EAD6">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单位名称</w:t>
            </w:r>
          </w:p>
        </w:tc>
        <w:tc>
          <w:tcPr>
            <w:tcW w:w="1571" w:type="dxa"/>
            <w:vMerge w:val="restart"/>
            <w:shd w:val="clear" w:color="auto" w:fill="auto"/>
            <w:vAlign w:val="center"/>
          </w:tcPr>
          <w:p w14:paraId="745B746D">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单位性质</w:t>
            </w:r>
          </w:p>
        </w:tc>
        <w:tc>
          <w:tcPr>
            <w:tcW w:w="1425" w:type="dxa"/>
            <w:vMerge w:val="restart"/>
            <w:shd w:val="clear" w:color="auto" w:fill="auto"/>
            <w:vAlign w:val="center"/>
          </w:tcPr>
          <w:p w14:paraId="771F7D03">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单位规格</w:t>
            </w:r>
          </w:p>
        </w:tc>
        <w:tc>
          <w:tcPr>
            <w:tcW w:w="2942" w:type="dxa"/>
            <w:vMerge w:val="restart"/>
            <w:shd w:val="clear" w:color="auto" w:fill="auto"/>
            <w:vAlign w:val="center"/>
          </w:tcPr>
          <w:p w14:paraId="27DF53B7">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经费保障形式</w:t>
            </w:r>
          </w:p>
        </w:tc>
      </w:tr>
      <w:tr w14:paraId="6F9CA6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822" w:type="dxa"/>
            <w:vMerge w:val="continue"/>
            <w:shd w:val="clear" w:color="auto" w:fill="auto"/>
            <w:vAlign w:val="center"/>
          </w:tcPr>
          <w:p w14:paraId="1F10A6B3"/>
        </w:tc>
        <w:tc>
          <w:tcPr>
            <w:tcW w:w="1571" w:type="dxa"/>
            <w:vMerge w:val="continue"/>
            <w:shd w:val="clear" w:color="auto" w:fill="auto"/>
            <w:vAlign w:val="center"/>
          </w:tcPr>
          <w:p w14:paraId="4B49FE89"/>
        </w:tc>
        <w:tc>
          <w:tcPr>
            <w:tcW w:w="1425" w:type="dxa"/>
            <w:vMerge w:val="continue"/>
            <w:shd w:val="clear" w:color="auto" w:fill="auto"/>
            <w:vAlign w:val="center"/>
          </w:tcPr>
          <w:p w14:paraId="6DDE8866"/>
        </w:tc>
        <w:tc>
          <w:tcPr>
            <w:tcW w:w="2942" w:type="dxa"/>
            <w:vMerge w:val="continue"/>
            <w:shd w:val="clear" w:color="auto" w:fill="auto"/>
            <w:vAlign w:val="center"/>
          </w:tcPr>
          <w:p w14:paraId="5EAA9C1B"/>
        </w:tc>
      </w:tr>
      <w:tr w14:paraId="7B0D38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822" w:type="dxa"/>
            <w:shd w:val="clear" w:color="auto" w:fill="auto"/>
            <w:vAlign w:val="center"/>
          </w:tcPr>
          <w:p w14:paraId="2C7B99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rPr>
                <w:rFonts w:hint="eastAsia" w:ascii="仿宋_GB2312" w:hAnsi="宋体" w:eastAsia="仿宋_GB2312" w:cs="Arial"/>
                <w:sz w:val="32"/>
              </w:rPr>
            </w:pPr>
            <w:r>
              <w:rPr>
                <w:rFonts w:hint="eastAsia" w:ascii="仿宋_GB2312" w:hAnsi="宋体" w:eastAsia="仿宋_GB2312" w:cs="Arial"/>
                <w:sz w:val="32"/>
                <w:lang w:eastAsia="zh-CN"/>
              </w:rPr>
              <w:t>中共</w:t>
            </w:r>
            <w:r>
              <w:rPr>
                <w:rFonts w:hint="eastAsia" w:ascii="仿宋_GB2312" w:hAnsi="宋体" w:eastAsia="仿宋_GB2312" w:cs="Arial"/>
                <w:sz w:val="32"/>
              </w:rPr>
              <w:t>廊坊</w:t>
            </w:r>
            <w:r>
              <w:rPr>
                <w:rFonts w:hint="eastAsia" w:ascii="仿宋_GB2312" w:hAnsi="宋体" w:eastAsia="仿宋_GB2312" w:cs="Arial"/>
                <w:sz w:val="32"/>
                <w:lang w:eastAsia="zh-CN"/>
              </w:rPr>
              <w:t>市委统一战线工作部</w:t>
            </w:r>
          </w:p>
        </w:tc>
        <w:tc>
          <w:tcPr>
            <w:tcW w:w="1571" w:type="dxa"/>
            <w:shd w:val="clear" w:color="auto" w:fill="auto"/>
            <w:vAlign w:val="center"/>
          </w:tcPr>
          <w:p w14:paraId="3FF05F7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rPr>
                <w:rFonts w:hint="eastAsia" w:ascii="仿宋_GB2312" w:hAnsi="宋体" w:eastAsia="仿宋_GB2312" w:cs="Arial"/>
                <w:sz w:val="32"/>
                <w:lang w:eastAsia="zh-CN"/>
              </w:rPr>
            </w:pPr>
            <w:r>
              <w:rPr>
                <w:rFonts w:hint="eastAsia" w:ascii="仿宋_GB2312" w:hAnsi="宋体" w:eastAsia="仿宋_GB2312" w:cs="Arial"/>
                <w:sz w:val="32"/>
                <w:lang w:eastAsia="zh-CN"/>
              </w:rPr>
              <w:t>行政机关</w:t>
            </w:r>
          </w:p>
        </w:tc>
        <w:tc>
          <w:tcPr>
            <w:tcW w:w="1425" w:type="dxa"/>
            <w:shd w:val="clear" w:color="auto" w:fill="auto"/>
            <w:vAlign w:val="center"/>
          </w:tcPr>
          <w:p w14:paraId="0516B28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rPr>
                <w:rFonts w:hint="eastAsia" w:ascii="仿宋_GB2312" w:hAnsi="宋体" w:eastAsia="仿宋_GB2312" w:cs="Arial"/>
                <w:sz w:val="32"/>
                <w:lang w:eastAsia="zh-CN"/>
              </w:rPr>
            </w:pPr>
            <w:r>
              <w:rPr>
                <w:rFonts w:hint="eastAsia" w:ascii="仿宋_GB2312" w:hAnsi="宋体" w:eastAsia="仿宋_GB2312" w:cs="Arial"/>
                <w:sz w:val="32"/>
                <w:lang w:eastAsia="zh-CN"/>
              </w:rPr>
              <w:t>正处级</w:t>
            </w:r>
          </w:p>
        </w:tc>
        <w:tc>
          <w:tcPr>
            <w:tcW w:w="2942" w:type="dxa"/>
            <w:shd w:val="clear" w:color="auto" w:fill="auto"/>
            <w:vAlign w:val="center"/>
          </w:tcPr>
          <w:p w14:paraId="12E96E4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640"/>
              <w:rPr>
                <w:rFonts w:hint="eastAsia" w:ascii="仿宋_GB2312" w:hAnsi="宋体" w:eastAsia="仿宋_GB2312" w:cs="Arial"/>
                <w:sz w:val="32"/>
                <w:lang w:eastAsia="zh-CN"/>
              </w:rPr>
            </w:pPr>
            <w:r>
              <w:rPr>
                <w:rFonts w:hint="eastAsia" w:ascii="仿宋_GB2312" w:hAnsi="宋体" w:eastAsia="仿宋_GB2312" w:cs="Arial"/>
                <w:sz w:val="32"/>
                <w:lang w:eastAsia="zh-CN"/>
              </w:rPr>
              <w:t>财政拨款</w:t>
            </w:r>
          </w:p>
        </w:tc>
      </w:tr>
    </w:tbl>
    <w:p w14:paraId="240AABA3">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二、部门预算安排的总体情况</w:t>
      </w:r>
    </w:p>
    <w:p w14:paraId="4169C67C">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1、收入说明</w:t>
      </w:r>
    </w:p>
    <w:p w14:paraId="48344E1A">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反映本部门当年全部收入。20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2年预算收入</w:t>
      </w:r>
      <w:r>
        <w:rPr>
          <w:rFonts w:hint="eastAsia" w:ascii="Times New Roman" w:hAnsi="Times New Roman" w:eastAsia="仿宋_GB2312" w:cs="Times New Roman"/>
          <w:sz w:val="32"/>
          <w:szCs w:val="32"/>
          <w:lang w:val="en-US" w:eastAsia="zh-CN"/>
        </w:rPr>
        <w:t>960.98</w:t>
      </w:r>
      <w:r>
        <w:rPr>
          <w:rFonts w:ascii="Times New Roman" w:hAnsi="Times New Roman" w:eastAsia="仿宋_GB2312" w:cs="Times New Roman"/>
          <w:sz w:val="32"/>
          <w:szCs w:val="32"/>
        </w:rPr>
        <w:t>万元，其中：一般公共预算收入</w:t>
      </w:r>
      <w:r>
        <w:rPr>
          <w:rFonts w:hint="eastAsia" w:ascii="Times New Roman" w:hAnsi="Times New Roman" w:eastAsia="仿宋_GB2312" w:cs="Times New Roman"/>
          <w:sz w:val="32"/>
          <w:szCs w:val="32"/>
          <w:lang w:val="en-US" w:eastAsia="zh-CN"/>
        </w:rPr>
        <w:t>953.20</w:t>
      </w:r>
      <w:r>
        <w:rPr>
          <w:rFonts w:ascii="Times New Roman" w:hAnsi="Times New Roman" w:eastAsia="仿宋_GB2312" w:cs="Times New Roman"/>
          <w:sz w:val="32"/>
          <w:szCs w:val="32"/>
        </w:rPr>
        <w:t>万元，基金预算收入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万元，财政专户核拨收入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万元，其他来源收入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上年结转</w:t>
      </w:r>
      <w:r>
        <w:rPr>
          <w:rFonts w:hint="eastAsia" w:ascii="Times New Roman" w:hAnsi="Times New Roman" w:eastAsia="仿宋_GB2312" w:cs="Times New Roman"/>
          <w:sz w:val="32"/>
          <w:szCs w:val="32"/>
          <w:lang w:val="en-US" w:eastAsia="zh-CN"/>
        </w:rPr>
        <w:t>7.78</w:t>
      </w:r>
      <w:r>
        <w:rPr>
          <w:rFonts w:hint="eastAsia" w:ascii="Times New Roman" w:hAnsi="Times New Roman" w:eastAsia="仿宋_GB2312" w:cs="Times New Roman"/>
          <w:sz w:val="32"/>
          <w:szCs w:val="32"/>
        </w:rPr>
        <w:t>万元</w:t>
      </w:r>
      <w:r>
        <w:rPr>
          <w:rFonts w:ascii="Times New Roman" w:hAnsi="Times New Roman" w:eastAsia="仿宋_GB2312" w:cs="Times New Roman"/>
          <w:sz w:val="32"/>
          <w:szCs w:val="32"/>
        </w:rPr>
        <w:t>。</w:t>
      </w:r>
    </w:p>
    <w:p w14:paraId="27A33CB2">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2、支出说明</w:t>
      </w:r>
    </w:p>
    <w:p w14:paraId="550DB905">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2年支出预算</w:t>
      </w:r>
      <w:r>
        <w:rPr>
          <w:rFonts w:hint="eastAsia" w:ascii="Times New Roman" w:hAnsi="Times New Roman" w:eastAsia="仿宋_GB2312" w:cs="Times New Roman"/>
          <w:sz w:val="32"/>
          <w:szCs w:val="32"/>
          <w:lang w:val="en-US" w:eastAsia="zh-CN"/>
        </w:rPr>
        <w:t>960.98</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val="en-US" w:eastAsia="zh-CN"/>
        </w:rPr>
        <w:t>723.50</w:t>
      </w:r>
      <w:r>
        <w:rPr>
          <w:rFonts w:ascii="Times New Roman" w:hAnsi="Times New Roman" w:eastAsia="仿宋_GB2312" w:cs="Times New Roman"/>
          <w:sz w:val="32"/>
          <w:szCs w:val="32"/>
        </w:rPr>
        <w:t>万元，包括人员类项目经费</w:t>
      </w:r>
      <w:r>
        <w:rPr>
          <w:rFonts w:hint="eastAsia" w:ascii="Times New Roman" w:hAnsi="Times New Roman" w:eastAsia="仿宋_GB2312" w:cs="Times New Roman"/>
          <w:sz w:val="32"/>
          <w:szCs w:val="32"/>
          <w:lang w:val="en-US" w:eastAsia="zh-CN"/>
        </w:rPr>
        <w:t>643.67</w:t>
      </w:r>
      <w:r>
        <w:rPr>
          <w:rFonts w:ascii="Times New Roman" w:hAnsi="Times New Roman" w:eastAsia="仿宋_GB2312" w:cs="Times New Roman"/>
          <w:sz w:val="32"/>
          <w:szCs w:val="32"/>
        </w:rPr>
        <w:t>万元和</w:t>
      </w:r>
      <w:r>
        <w:rPr>
          <w:rFonts w:hint="eastAsia" w:ascii="Times New Roman" w:hAnsi="Times New Roman" w:eastAsia="仿宋_GB2312" w:cs="Times New Roman"/>
          <w:sz w:val="32"/>
          <w:szCs w:val="32"/>
        </w:rPr>
        <w:t>运转类</w:t>
      </w:r>
      <w:r>
        <w:rPr>
          <w:rFonts w:ascii="Times New Roman" w:hAnsi="Times New Roman" w:eastAsia="仿宋_GB2312" w:cs="Times New Roman"/>
          <w:sz w:val="32"/>
          <w:szCs w:val="32"/>
        </w:rPr>
        <w:t>公用项目经费</w:t>
      </w:r>
      <w:r>
        <w:rPr>
          <w:rFonts w:hint="eastAsia" w:ascii="Times New Roman" w:hAnsi="Times New Roman" w:eastAsia="仿宋_GB2312" w:cs="Times New Roman"/>
          <w:sz w:val="32"/>
          <w:szCs w:val="32"/>
          <w:lang w:val="en-US" w:eastAsia="zh-CN"/>
        </w:rPr>
        <w:t>79.83</w:t>
      </w:r>
      <w:r>
        <w:rPr>
          <w:rFonts w:ascii="Times New Roman" w:hAnsi="Times New Roman" w:eastAsia="仿宋_GB2312" w:cs="Times New Roman"/>
          <w:sz w:val="32"/>
          <w:szCs w:val="32"/>
        </w:rPr>
        <w:t>万元；运转类其他及特定目标类项目支出</w:t>
      </w:r>
      <w:r>
        <w:rPr>
          <w:rFonts w:hint="eastAsia" w:ascii="Times New Roman" w:hAnsi="Times New Roman" w:eastAsia="仿宋_GB2312" w:cs="Times New Roman"/>
          <w:sz w:val="32"/>
          <w:szCs w:val="32"/>
          <w:lang w:val="en-US" w:eastAsia="zh-CN"/>
        </w:rPr>
        <w:t>237.48</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为</w:t>
      </w:r>
      <w:r>
        <w:rPr>
          <w:rFonts w:ascii="Times New Roman" w:hAnsi="Times New Roman" w:eastAsia="仿宋_GB2312" w:cs="Times New Roman"/>
          <w:sz w:val="32"/>
          <w:szCs w:val="32"/>
        </w:rPr>
        <w:t>本级支出，主要为</w:t>
      </w:r>
      <w:r>
        <w:rPr>
          <w:rFonts w:hint="eastAsia" w:ascii="Times New Roman" w:hAnsi="Times New Roman" w:eastAsia="仿宋_GB2312" w:cs="Times New Roman"/>
          <w:sz w:val="32"/>
          <w:szCs w:val="32"/>
          <w:lang w:eastAsia="zh-CN"/>
        </w:rPr>
        <w:t>培训、会议、调研</w:t>
      </w:r>
      <w:r>
        <w:rPr>
          <w:rFonts w:ascii="Times New Roman" w:hAnsi="Times New Roman" w:eastAsia="仿宋_GB2312" w:cs="Times New Roman"/>
          <w:sz w:val="32"/>
          <w:szCs w:val="32"/>
        </w:rPr>
        <w:t>等</w:t>
      </w:r>
      <w:r>
        <w:rPr>
          <w:rFonts w:hint="eastAsia" w:ascii="Times New Roman" w:hAnsi="Times New Roman" w:eastAsia="仿宋_GB2312" w:cs="Times New Roman"/>
          <w:sz w:val="32"/>
          <w:szCs w:val="32"/>
          <w:lang w:eastAsia="zh-CN"/>
        </w:rPr>
        <w:t>支出</w:t>
      </w:r>
      <w:r>
        <w:rPr>
          <w:rFonts w:ascii="Times New Roman" w:hAnsi="Times New Roman" w:eastAsia="仿宋_GB2312" w:cs="Times New Roman"/>
          <w:sz w:val="32"/>
          <w:szCs w:val="32"/>
        </w:rPr>
        <w:t>；</w:t>
      </w:r>
    </w:p>
    <w:p w14:paraId="1E1C100D">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3、比上年增减情况</w:t>
      </w:r>
    </w:p>
    <w:p w14:paraId="065A582D">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2年预算收支安排</w:t>
      </w:r>
      <w:r>
        <w:rPr>
          <w:rFonts w:hint="eastAsia" w:ascii="Times New Roman" w:hAnsi="Times New Roman" w:eastAsia="仿宋_GB2312" w:cs="Times New Roman"/>
          <w:sz w:val="32"/>
          <w:szCs w:val="32"/>
          <w:lang w:val="en-US" w:eastAsia="zh-CN"/>
        </w:rPr>
        <w:t>960.98</w:t>
      </w:r>
      <w:r>
        <w:rPr>
          <w:rFonts w:ascii="Times New Roman" w:hAnsi="Times New Roman" w:eastAsia="仿宋_GB2312" w:cs="Times New Roman"/>
          <w:sz w:val="32"/>
          <w:szCs w:val="32"/>
        </w:rPr>
        <w:t>万元，较20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1年预算</w:t>
      </w:r>
      <w:r>
        <w:rPr>
          <w:rFonts w:hint="eastAsia" w:ascii="Times New Roman" w:hAnsi="Times New Roman" w:eastAsia="仿宋_GB2312" w:cs="Times New Roman"/>
          <w:sz w:val="32"/>
          <w:szCs w:val="32"/>
          <w:lang w:eastAsia="zh-CN"/>
        </w:rPr>
        <w:t>减少</w:t>
      </w:r>
      <w:r>
        <w:rPr>
          <w:rFonts w:hint="eastAsia" w:ascii="Times New Roman" w:hAnsi="Times New Roman" w:eastAsia="仿宋_GB2312" w:cs="Times New Roman"/>
          <w:sz w:val="32"/>
          <w:szCs w:val="32"/>
          <w:lang w:val="en-US" w:eastAsia="zh-CN"/>
        </w:rPr>
        <w:t>453.96</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eastAsia="zh-CN"/>
        </w:rPr>
        <w:t>增加</w:t>
      </w:r>
      <w:r>
        <w:rPr>
          <w:rFonts w:hint="eastAsia" w:ascii="Times New Roman" w:hAnsi="Times New Roman" w:eastAsia="仿宋_GB2312" w:cs="Times New Roman"/>
          <w:sz w:val="32"/>
          <w:szCs w:val="32"/>
          <w:lang w:val="en-US" w:eastAsia="zh-CN"/>
        </w:rPr>
        <w:t>176.81</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lang w:eastAsia="zh-CN"/>
        </w:rPr>
        <w:t>人员经费、日常公用经费</w:t>
      </w:r>
      <w:r>
        <w:rPr>
          <w:rFonts w:ascii="Times New Roman" w:hAnsi="Times New Roman" w:eastAsia="仿宋_GB2312" w:cs="Times New Roman"/>
          <w:sz w:val="32"/>
          <w:szCs w:val="32"/>
        </w:rPr>
        <w:t>支出；项目支出</w:t>
      </w:r>
      <w:r>
        <w:rPr>
          <w:rFonts w:hint="eastAsia" w:ascii="Times New Roman" w:hAnsi="Times New Roman" w:eastAsia="仿宋_GB2312" w:cs="Times New Roman"/>
          <w:sz w:val="32"/>
          <w:szCs w:val="32"/>
          <w:lang w:eastAsia="zh-CN"/>
        </w:rPr>
        <w:t>减少</w:t>
      </w:r>
      <w:r>
        <w:rPr>
          <w:rFonts w:hint="eastAsia" w:ascii="Times New Roman" w:hAnsi="Times New Roman" w:eastAsia="仿宋_GB2312" w:cs="Times New Roman"/>
          <w:sz w:val="32"/>
          <w:szCs w:val="32"/>
          <w:lang w:val="en-US" w:eastAsia="zh-CN"/>
        </w:rPr>
        <w:t>630.77</w:t>
      </w:r>
      <w:r>
        <w:rPr>
          <w:rFonts w:ascii="Times New Roman" w:hAnsi="Times New Roman" w:eastAsia="仿宋_GB2312" w:cs="Times New Roman"/>
          <w:sz w:val="32"/>
          <w:szCs w:val="32"/>
        </w:rPr>
        <w:t>万元，主要</w:t>
      </w:r>
      <w:r>
        <w:rPr>
          <w:rFonts w:hint="eastAsia" w:ascii="Times New Roman" w:hAnsi="Times New Roman" w:eastAsia="仿宋_GB2312" w:cs="Times New Roman"/>
          <w:sz w:val="32"/>
          <w:szCs w:val="32"/>
          <w:lang w:eastAsia="zh-CN"/>
        </w:rPr>
        <w:t>为一次性项目支出减少</w:t>
      </w:r>
      <w:r>
        <w:rPr>
          <w:rFonts w:ascii="Times New Roman" w:hAnsi="Times New Roman" w:eastAsia="仿宋_GB2312" w:cs="Times New Roman"/>
          <w:sz w:val="32"/>
          <w:szCs w:val="32"/>
        </w:rPr>
        <w:t>。</w:t>
      </w:r>
    </w:p>
    <w:p w14:paraId="040533C6">
      <w:pPr>
        <w:autoSpaceDE w:val="0"/>
        <w:autoSpaceDN w:val="0"/>
        <w:adjustRightInd w:val="0"/>
        <w:spacing w:line="584" w:lineRule="exact"/>
        <w:ind w:left="198"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三、机关运行经费安排情况</w:t>
      </w:r>
    </w:p>
    <w:p w14:paraId="3EAD8C76">
      <w:pPr>
        <w:autoSpaceDE w:val="0"/>
        <w:autoSpaceDN w:val="0"/>
        <w:adjustRightInd w:val="0"/>
        <w:spacing w:line="584" w:lineRule="exact"/>
        <w:ind w:left="198"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2年，我</w:t>
      </w:r>
      <w:r>
        <w:rPr>
          <w:rFonts w:hint="eastAsia" w:ascii="Times New Roman" w:hAnsi="Times New Roman" w:eastAsia="仿宋_GB2312" w:cs="Times New Roman"/>
          <w:sz w:val="32"/>
          <w:szCs w:val="32"/>
          <w:lang w:eastAsia="zh-CN"/>
        </w:rPr>
        <w:t>部</w:t>
      </w:r>
      <w:r>
        <w:rPr>
          <w:rFonts w:ascii="Times New Roman" w:hAnsi="Times New Roman" w:eastAsia="仿宋_GB2312" w:cs="Times New Roman"/>
          <w:sz w:val="32"/>
          <w:szCs w:val="32"/>
        </w:rPr>
        <w:t>机关运行经费共计安排</w:t>
      </w:r>
      <w:r>
        <w:rPr>
          <w:rFonts w:hint="eastAsia" w:ascii="Times New Roman" w:hAnsi="Times New Roman" w:eastAsia="仿宋_GB2312" w:cs="Times New Roman"/>
          <w:sz w:val="32"/>
          <w:szCs w:val="32"/>
          <w:lang w:val="en-US" w:eastAsia="zh-CN"/>
        </w:rPr>
        <w:t>79.83</w:t>
      </w:r>
      <w:r>
        <w:rPr>
          <w:rFonts w:ascii="Times New Roman" w:hAnsi="Times New Roman" w:eastAsia="仿宋_GB2312" w:cs="Times New Roman"/>
          <w:sz w:val="32"/>
          <w:szCs w:val="32"/>
        </w:rPr>
        <w:t>万元，主要用于</w:t>
      </w:r>
      <w:r>
        <w:rPr>
          <w:rFonts w:hint="eastAsia" w:ascii="Times New Roman" w:hAnsi="Times New Roman" w:eastAsia="仿宋_GB2312" w:cs="Times New Roman"/>
          <w:sz w:val="32"/>
          <w:szCs w:val="32"/>
          <w:lang w:eastAsia="zh-CN"/>
        </w:rPr>
        <w:t>日常办公用品费、书报费、印刷费、邮电费、维修（护）费</w:t>
      </w:r>
      <w:r>
        <w:rPr>
          <w:rFonts w:ascii="Times New Roman" w:hAnsi="Times New Roman" w:eastAsia="仿宋_GB2312" w:cs="Times New Roman"/>
          <w:sz w:val="32"/>
          <w:szCs w:val="32"/>
        </w:rPr>
        <w:t>等日常运行支出。</w:t>
      </w:r>
    </w:p>
    <w:p w14:paraId="0F449CB8">
      <w:pPr>
        <w:autoSpaceDE w:val="0"/>
        <w:autoSpaceDN w:val="0"/>
        <w:adjustRightInd w:val="0"/>
        <w:spacing w:line="584" w:lineRule="exact"/>
        <w:ind w:firstLine="951" w:firstLineChars="296"/>
        <w:jc w:val="left"/>
        <w:rPr>
          <w:rFonts w:ascii="Times New Roman" w:hAnsi="Times New Roman" w:eastAsia="仿宋_GB2312" w:cs="Times New Roman"/>
          <w:b/>
          <w:sz w:val="32"/>
          <w:szCs w:val="32"/>
        </w:rPr>
      </w:pPr>
      <w:r>
        <w:rPr>
          <w:rFonts w:ascii="Times New Roman" w:hAnsi="Times New Roman" w:eastAsia="仿宋_GB2312" w:cs="Times New Roman"/>
          <w:b/>
          <w:sz w:val="32"/>
          <w:szCs w:val="32"/>
        </w:rPr>
        <w:t>四、财政拨款“三公”经费预算情况及增减变化原因</w:t>
      </w:r>
    </w:p>
    <w:p w14:paraId="1848C023">
      <w:pPr>
        <w:autoSpaceDE w:val="0"/>
        <w:autoSpaceDN w:val="0"/>
        <w:adjustRightInd w:val="0"/>
        <w:spacing w:line="584" w:lineRule="exact"/>
        <w:ind w:left="197" w:leftChars="94" w:firstLine="640" w:firstLineChars="200"/>
        <w:jc w:val="left"/>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2年，我</w:t>
      </w:r>
      <w:r>
        <w:rPr>
          <w:rFonts w:hint="eastAsia" w:ascii="Times New Roman" w:hAnsi="Times New Roman" w:eastAsia="仿宋_GB2312" w:cs="Times New Roman"/>
          <w:sz w:val="32"/>
          <w:szCs w:val="32"/>
          <w:lang w:eastAsia="zh-CN"/>
        </w:rPr>
        <w:t>部</w:t>
      </w:r>
      <w:r>
        <w:rPr>
          <w:rFonts w:ascii="Times New Roman" w:hAnsi="Times New Roman" w:eastAsia="仿宋_GB2312" w:cs="Times New Roman"/>
          <w:sz w:val="32"/>
          <w:szCs w:val="32"/>
        </w:rPr>
        <w:t>财政拨款“三公”经费预算安排</w:t>
      </w:r>
      <w:r>
        <w:rPr>
          <w:rFonts w:hint="eastAsia" w:ascii="Times New Roman" w:hAnsi="Times New Roman" w:eastAsia="仿宋_GB2312" w:cs="Times New Roman"/>
          <w:sz w:val="32"/>
          <w:szCs w:val="32"/>
          <w:lang w:val="en-US" w:eastAsia="zh-CN"/>
        </w:rPr>
        <w:t>5.20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其中</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因公出国（境）费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万元；公务用车购置及运维费</w:t>
      </w:r>
      <w:r>
        <w:rPr>
          <w:rFonts w:hint="eastAsia" w:ascii="Times New Roman" w:hAnsi="Times New Roman" w:eastAsia="仿宋_GB2312" w:cs="Times New Roman"/>
          <w:sz w:val="32"/>
          <w:szCs w:val="32"/>
          <w:lang w:val="en-US" w:eastAsia="zh-CN"/>
        </w:rPr>
        <w:t>4.81</w:t>
      </w:r>
      <w:r>
        <w:rPr>
          <w:rFonts w:ascii="Times New Roman" w:hAnsi="Times New Roman" w:eastAsia="仿宋_GB2312" w:cs="Times New Roman"/>
          <w:sz w:val="32"/>
          <w:szCs w:val="32"/>
        </w:rPr>
        <w:t>万元（其中：公务用车购置费为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万元，公务用车运维费</w:t>
      </w:r>
      <w:r>
        <w:rPr>
          <w:rFonts w:hint="eastAsia" w:ascii="Times New Roman" w:hAnsi="Times New Roman" w:eastAsia="仿宋_GB2312" w:cs="Times New Roman"/>
          <w:sz w:val="32"/>
          <w:szCs w:val="32"/>
          <w:lang w:val="en-US" w:eastAsia="zh-CN"/>
        </w:rPr>
        <w:t>4.81</w:t>
      </w:r>
      <w:r>
        <w:rPr>
          <w:rFonts w:ascii="Times New Roman" w:hAnsi="Times New Roman" w:eastAsia="仿宋_GB2312" w:cs="Times New Roman"/>
          <w:sz w:val="32"/>
          <w:szCs w:val="32"/>
        </w:rPr>
        <w:t>万元)；公务接待费</w:t>
      </w:r>
      <w:r>
        <w:rPr>
          <w:rFonts w:hint="eastAsia" w:ascii="Times New Roman" w:hAnsi="Times New Roman" w:eastAsia="仿宋_GB2312" w:cs="Times New Roman"/>
          <w:sz w:val="32"/>
          <w:szCs w:val="32"/>
          <w:lang w:val="en-US" w:eastAsia="zh-CN"/>
        </w:rPr>
        <w:t>0.39</w:t>
      </w:r>
      <w:r>
        <w:rPr>
          <w:rFonts w:ascii="Times New Roman" w:hAnsi="Times New Roman" w:eastAsia="仿宋_GB2312" w:cs="Times New Roman"/>
          <w:sz w:val="32"/>
          <w:szCs w:val="32"/>
        </w:rPr>
        <w:t>万元。与20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1年</w:t>
      </w:r>
      <w:r>
        <w:rPr>
          <w:rFonts w:hint="eastAsia" w:ascii="Times New Roman" w:hAnsi="Times New Roman" w:eastAsia="仿宋_GB2312" w:cs="Times New Roman"/>
          <w:sz w:val="32"/>
          <w:szCs w:val="32"/>
        </w:rPr>
        <w:t>相比</w:t>
      </w:r>
      <w:r>
        <w:rPr>
          <w:rFonts w:hint="eastAsia" w:ascii="Times New Roman" w:hAnsi="Times New Roman" w:eastAsia="仿宋_GB2312" w:cs="Times New Roman"/>
          <w:sz w:val="32"/>
          <w:szCs w:val="32"/>
          <w:lang w:eastAsia="zh-CN"/>
        </w:rPr>
        <w:t>持平</w:t>
      </w:r>
      <w:r>
        <w:rPr>
          <w:rFonts w:hint="eastAsia" w:ascii="Times New Roman" w:hAnsi="Times New Roman" w:eastAsia="仿宋_GB2312" w:cs="Times New Roman"/>
          <w:sz w:val="32"/>
          <w:szCs w:val="32"/>
        </w:rPr>
        <w:t>其中，</w:t>
      </w:r>
      <w:r>
        <w:rPr>
          <w:rFonts w:ascii="Times New Roman" w:hAnsi="Times New Roman" w:eastAsia="仿宋_GB2312" w:cs="Times New Roman"/>
          <w:sz w:val="32"/>
          <w:szCs w:val="32"/>
        </w:rPr>
        <w:t>公务用车购置及运维费</w:t>
      </w:r>
      <w:r>
        <w:rPr>
          <w:rFonts w:hint="eastAsia" w:ascii="Times New Roman" w:hAnsi="Times New Roman" w:eastAsia="仿宋_GB2312" w:cs="Times New Roman"/>
          <w:sz w:val="32"/>
          <w:szCs w:val="32"/>
          <w:lang w:eastAsia="zh-CN"/>
        </w:rPr>
        <w:t>增加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万元（其中：公务用车购置费</w:t>
      </w:r>
      <w:r>
        <w:rPr>
          <w:rFonts w:hint="eastAsia" w:ascii="Times New Roman" w:hAnsi="Times New Roman" w:eastAsia="仿宋_GB2312" w:cs="Times New Roman"/>
          <w:sz w:val="32"/>
          <w:szCs w:val="32"/>
          <w:lang w:eastAsia="zh-CN"/>
        </w:rPr>
        <w:t>增加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万元，公务用车运维费</w:t>
      </w:r>
      <w:r>
        <w:rPr>
          <w:rFonts w:hint="eastAsia" w:ascii="Times New Roman" w:hAnsi="Times New Roman" w:eastAsia="仿宋_GB2312" w:cs="Times New Roman"/>
          <w:sz w:val="32"/>
          <w:szCs w:val="32"/>
          <w:lang w:eastAsia="zh-CN"/>
        </w:rPr>
        <w:t>增加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主要原因是</w:t>
      </w:r>
      <w:r>
        <w:rPr>
          <w:rFonts w:hint="eastAsia" w:ascii="Times New Roman" w:hAnsi="Times New Roman" w:eastAsia="仿宋_GB2312" w:cs="Times New Roman"/>
          <w:sz w:val="32"/>
          <w:szCs w:val="32"/>
        </w:rPr>
        <w:t>我部门切实落实勤俭节约各项规定，</w:t>
      </w:r>
      <w:r>
        <w:rPr>
          <w:rFonts w:hint="eastAsia" w:ascii="Times New Roman" w:hAnsi="Times New Roman" w:eastAsia="仿宋_GB2312" w:cs="Times New Roman"/>
          <w:sz w:val="32"/>
          <w:szCs w:val="32"/>
          <w:lang w:eastAsia="zh-CN"/>
        </w:rPr>
        <w:t>保持</w:t>
      </w:r>
      <w:r>
        <w:rPr>
          <w:rFonts w:hint="eastAsia" w:ascii="Times New Roman" w:hAnsi="Times New Roman" w:eastAsia="仿宋_GB2312" w:cs="Times New Roman"/>
          <w:sz w:val="32"/>
          <w:szCs w:val="32"/>
        </w:rPr>
        <w:t>公车运行经费支出</w:t>
      </w:r>
      <w:r>
        <w:rPr>
          <w:rFonts w:hint="eastAsia" w:ascii="Times New Roman" w:hAnsi="Times New Roman" w:eastAsia="仿宋_GB2312" w:cs="Times New Roman"/>
          <w:sz w:val="32"/>
          <w:szCs w:val="32"/>
          <w:lang w:eastAsia="zh-CN"/>
        </w:rPr>
        <w:t>与上年持平</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；公务接待费增</w:t>
      </w:r>
      <w:r>
        <w:rPr>
          <w:rFonts w:hint="eastAsia" w:ascii="Times New Roman" w:hAnsi="Times New Roman" w:eastAsia="仿宋_GB2312" w:cs="Times New Roman"/>
          <w:sz w:val="32"/>
          <w:szCs w:val="32"/>
        </w:rPr>
        <w:t>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主要原因是</w:t>
      </w:r>
      <w:r>
        <w:rPr>
          <w:rFonts w:hint="eastAsia" w:ascii="Times New Roman" w:hAnsi="Times New Roman" w:eastAsia="仿宋_GB2312" w:cs="Times New Roman"/>
          <w:sz w:val="32"/>
          <w:szCs w:val="32"/>
        </w:rPr>
        <w:t>我部门切实落实勤俭节约各项规定，严格控制公务接待费支出</w:t>
      </w:r>
      <w:r>
        <w:rPr>
          <w:rFonts w:hint="eastAsia" w:ascii="Times New Roman" w:hAnsi="Times New Roman" w:eastAsia="仿宋_GB2312" w:cs="Times New Roman"/>
          <w:sz w:val="32"/>
          <w:szCs w:val="32"/>
          <w:lang w:eastAsia="zh-CN"/>
        </w:rPr>
        <w:t>。</w:t>
      </w:r>
    </w:p>
    <w:p w14:paraId="1A1DB2FE">
      <w:pPr>
        <w:numPr>
          <w:ilvl w:val="0"/>
          <w:numId w:val="0"/>
        </w:numPr>
        <w:spacing w:line="584" w:lineRule="exact"/>
        <w:ind w:firstLine="960" w:firstLineChars="300"/>
        <w:rPr>
          <w:rFonts w:ascii="Times New Roman" w:hAnsi="Times New Roman" w:eastAsia="黑体" w:cs="Times New Roman"/>
          <w:sz w:val="32"/>
          <w:szCs w:val="32"/>
        </w:rPr>
      </w:pPr>
      <w:r>
        <w:rPr>
          <w:rFonts w:hint="eastAsia" w:ascii="Times New Roman" w:hAnsi="Times New Roman" w:eastAsia="黑体" w:cs="Times New Roman"/>
          <w:sz w:val="32"/>
          <w:szCs w:val="32"/>
          <w:lang w:eastAsia="zh-CN"/>
        </w:rPr>
        <w:t>五、</w:t>
      </w:r>
      <w:r>
        <w:rPr>
          <w:rFonts w:ascii="Times New Roman" w:hAnsi="Times New Roman" w:eastAsia="黑体" w:cs="Times New Roman"/>
          <w:sz w:val="32"/>
          <w:szCs w:val="32"/>
        </w:rPr>
        <w:t>绩效预算信息</w:t>
      </w:r>
    </w:p>
    <w:p w14:paraId="3D266D40">
      <w:pPr>
        <w:numPr>
          <w:ilvl w:val="0"/>
          <w:numId w:val="0"/>
        </w:numPr>
        <w:spacing w:line="584" w:lineRule="exact"/>
        <w:ind w:firstLine="960" w:firstLineChars="300"/>
        <w:rPr>
          <w:rFonts w:ascii="Times New Roman" w:hAnsi="Times New Roman" w:eastAsia="黑体" w:cs="Times New Roman"/>
          <w:sz w:val="32"/>
          <w:szCs w:val="32"/>
        </w:rPr>
      </w:pPr>
      <w:r>
        <w:rPr>
          <w:rFonts w:hint="eastAsia" w:ascii="Times New Roman" w:hAnsi="Times New Roman" w:eastAsia="黑体" w:cs="Times New Roman"/>
          <w:sz w:val="32"/>
          <w:szCs w:val="32"/>
        </w:rPr>
        <w:t>第一部分 部门整体绩效目标</w:t>
      </w:r>
    </w:p>
    <w:p w14:paraId="0086B7FD">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（一）总体绩效目标</w:t>
      </w:r>
    </w:p>
    <w:p w14:paraId="0C17016B">
      <w:pPr>
        <w:ind w:firstLine="640" w:firstLineChars="200"/>
        <w:rPr>
          <w:rFonts w:ascii="仿宋_GB2312" w:eastAsia="仿宋_GB2312" w:cs="Times New Roman"/>
          <w:sz w:val="32"/>
          <w:szCs w:val="32"/>
        </w:rPr>
      </w:pPr>
      <w:r>
        <w:rPr>
          <w:rFonts w:hint="eastAsia" w:ascii="仿宋_GB2312" w:hAnsi="楷体" w:eastAsia="仿宋_GB2312" w:cs="黑体"/>
          <w:sz w:val="32"/>
          <w:szCs w:val="32"/>
        </w:rPr>
        <w:t>以习近平新时代中国特色社会主义思想为指导，全面贯彻党的十九大和十九届历次全会、省第十次</w:t>
      </w:r>
      <w:bookmarkStart w:id="3" w:name="_GoBack"/>
      <w:bookmarkEnd w:id="3"/>
      <w:r>
        <w:rPr>
          <w:rFonts w:hint="eastAsia" w:ascii="仿宋_GB2312" w:hAnsi="楷体" w:eastAsia="仿宋_GB2312" w:cs="黑体"/>
          <w:sz w:val="32"/>
          <w:szCs w:val="32"/>
        </w:rPr>
        <w:t>党代会、市第七次党代会精神，认真落实中央、省、市统战工作会议、民族工作会议、宗教工作会议精神，以《中国共产党统一战线工作条例》为遵循，紧紧围绕市委中心工作和全市发展大局，立足新阶段、贯彻新理念，构建统战工作新格局，</w:t>
      </w:r>
      <w:r>
        <w:rPr>
          <w:rFonts w:hint="eastAsia" w:ascii="仿宋_GB2312" w:eastAsia="仿宋_GB2312"/>
          <w:sz w:val="32"/>
          <w:szCs w:val="32"/>
        </w:rPr>
        <w:t>确保民族领域和宗教领域不出问题，扛起当好河北首都政治“护城河”排头兵的政治责任。</w:t>
      </w:r>
      <w:r>
        <w:rPr>
          <w:rFonts w:hint="eastAsia" w:ascii="仿宋_GB2312" w:hAnsi="楷体" w:eastAsia="仿宋_GB2312" w:cs="黑体"/>
          <w:sz w:val="32"/>
          <w:szCs w:val="32"/>
        </w:rPr>
        <w:t>组织统战系统主题教育、理想信念教育等活动3次以上，召开</w:t>
      </w:r>
      <w:r>
        <w:rPr>
          <w:rFonts w:hint="eastAsia" w:ascii="仿宋_GB2312" w:hAnsi="仿宋" w:eastAsia="仿宋_GB2312"/>
          <w:sz w:val="32"/>
          <w:shd w:val="clear" w:color="000000" w:fill="FFFFFF"/>
        </w:rPr>
        <w:t>非公经济领域、党外干部、基</w:t>
      </w:r>
      <w:r>
        <w:rPr>
          <w:rFonts w:hint="eastAsia" w:ascii="仿宋_GB2312" w:hAnsi="楷体" w:eastAsia="仿宋_GB2312" w:cs="仿宋_GB2312"/>
          <w:sz w:val="32"/>
          <w:szCs w:val="32"/>
        </w:rPr>
        <w:t>层统战干部等培训5次以上，</w:t>
      </w:r>
      <w:r>
        <w:rPr>
          <w:rFonts w:hint="eastAsia" w:ascii="仿宋_GB2312" w:hAnsi="仿宋" w:eastAsia="仿宋_GB2312"/>
          <w:sz w:val="32"/>
          <w:shd w:val="clear" w:color="000000" w:fill="FFFFFF"/>
        </w:rPr>
        <w:t>着力加强民主党派建设</w:t>
      </w:r>
      <w:r>
        <w:rPr>
          <w:rFonts w:hint="eastAsia" w:ascii="仿宋_GB2312" w:eastAsia="仿宋_GB2312"/>
        </w:rPr>
        <w:t>，</w:t>
      </w:r>
      <w:r>
        <w:rPr>
          <w:rFonts w:hint="eastAsia" w:ascii="仿宋_GB2312" w:hAnsi="仿宋" w:eastAsia="仿宋_GB2312"/>
          <w:sz w:val="32"/>
          <w:shd w:val="clear" w:color="000000" w:fill="FFFFFF"/>
        </w:rPr>
        <w:t>促进民营经济创新高质量发展</w:t>
      </w:r>
      <w:r>
        <w:rPr>
          <w:rFonts w:hint="eastAsia" w:ascii="仿宋_GB2312" w:eastAsia="仿宋_GB2312"/>
        </w:rPr>
        <w:t>，</w:t>
      </w:r>
      <w:r>
        <w:rPr>
          <w:rFonts w:hint="eastAsia" w:ascii="仿宋_GB2312" w:hAnsi="仿宋" w:eastAsia="仿宋_GB2312"/>
          <w:sz w:val="32"/>
          <w:shd w:val="clear" w:color="000000" w:fill="FFFFFF"/>
        </w:rPr>
        <w:t>切实做好港澳台和海外统战工作</w:t>
      </w:r>
      <w:r>
        <w:rPr>
          <w:rFonts w:hint="eastAsia" w:ascii="仿宋_GB2312" w:eastAsia="仿宋_GB2312"/>
        </w:rPr>
        <w:t>，</w:t>
      </w:r>
      <w:r>
        <w:rPr>
          <w:rFonts w:hint="eastAsia" w:ascii="仿宋_GB2312" w:hAnsi="仿宋" w:eastAsia="仿宋_GB2312"/>
          <w:sz w:val="32"/>
          <w:shd w:val="clear" w:color="000000" w:fill="FFFFFF"/>
        </w:rPr>
        <w:t>开创党外知识分子和新的社会阶层人士统战工作新局面。</w:t>
      </w:r>
    </w:p>
    <w:p w14:paraId="21CAC46C">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（二）分项绩效目标</w:t>
      </w:r>
    </w:p>
    <w:p w14:paraId="7F573B9A">
      <w:pPr>
        <w:overflowPunct w:val="0"/>
        <w:spacing w:line="584" w:lineRule="exact"/>
        <w:ind w:firstLine="630"/>
        <w:rPr>
          <w:rFonts w:eastAsia="仿宋_GB2312"/>
          <w:b/>
          <w:bCs/>
          <w:sz w:val="32"/>
          <w:szCs w:val="32"/>
        </w:rPr>
      </w:pPr>
      <w:r>
        <w:rPr>
          <w:rFonts w:hint="eastAsia" w:eastAsia="仿宋_GB2312"/>
          <w:b/>
          <w:bCs/>
          <w:sz w:val="32"/>
          <w:szCs w:val="32"/>
          <w:lang w:eastAsia="zh-CN"/>
        </w:rPr>
        <w:t>１、</w:t>
      </w:r>
      <w:r>
        <w:rPr>
          <w:rFonts w:hint="eastAsia" w:eastAsia="仿宋_GB2312"/>
          <w:b/>
          <w:bCs/>
          <w:sz w:val="32"/>
          <w:szCs w:val="32"/>
        </w:rPr>
        <w:t>民主党派和党外代表人士工作</w:t>
      </w:r>
    </w:p>
    <w:p w14:paraId="43BF2525">
      <w:pPr>
        <w:ind w:firstLine="643" w:firstLineChars="200"/>
        <w:rPr>
          <w:rFonts w:hint="eastAsia" w:eastAsia="仿宋_GB2312"/>
          <w:sz w:val="32"/>
          <w:szCs w:val="32"/>
        </w:rPr>
      </w:pPr>
      <w:r>
        <w:rPr>
          <w:rFonts w:eastAsia="仿宋_GB2312"/>
          <w:b/>
          <w:bCs/>
          <w:sz w:val="32"/>
          <w:szCs w:val="32"/>
        </w:rPr>
        <w:t>绩效目标：</w:t>
      </w:r>
      <w:r>
        <w:rPr>
          <w:rFonts w:hint="eastAsia" w:eastAsia="仿宋_GB2312"/>
          <w:sz w:val="32"/>
          <w:szCs w:val="32"/>
        </w:rPr>
        <w:t>贯彻落实党对民主党派工作的方针政策，协调做好各民主党派市委履行参政议政、民主监督、参加中国共产党领导的政治协商职能的相关工作。协助各民主党派加强自身建设。</w:t>
      </w:r>
    </w:p>
    <w:p w14:paraId="1D0977C2">
      <w:pPr>
        <w:ind w:firstLine="643" w:firstLineChars="200"/>
        <w:rPr>
          <w:rFonts w:eastAsia="仿宋_GB2312"/>
          <w:sz w:val="32"/>
          <w:szCs w:val="32"/>
        </w:rPr>
      </w:pPr>
      <w:r>
        <w:rPr>
          <w:rFonts w:eastAsia="仿宋_GB2312"/>
          <w:b/>
          <w:bCs/>
          <w:sz w:val="32"/>
          <w:szCs w:val="32"/>
        </w:rPr>
        <w:t>绩效指标：</w:t>
      </w:r>
      <w:r>
        <w:rPr>
          <w:rFonts w:hint="eastAsia" w:eastAsia="仿宋_GB2312"/>
          <w:sz w:val="32"/>
          <w:szCs w:val="32"/>
        </w:rPr>
        <w:t>全年组织民主党派领导班子及骨干成员到省内教育学习基地参观学习、组织各民主党派专职干部到其他地市进行交流学习一至两次；全年开展廊坊市各民主党派市委委员培训一次。</w:t>
      </w:r>
    </w:p>
    <w:p w14:paraId="175F2C75">
      <w:pPr>
        <w:overflowPunct w:val="0"/>
        <w:spacing w:line="584" w:lineRule="exact"/>
        <w:ind w:firstLine="630"/>
        <w:rPr>
          <w:rFonts w:ascii="楷体_GB2312" w:eastAsia="楷体_GB2312"/>
          <w:b/>
          <w:bCs/>
          <w:sz w:val="32"/>
          <w:szCs w:val="32"/>
        </w:rPr>
      </w:pPr>
      <w:r>
        <w:rPr>
          <w:rFonts w:hint="eastAsia" w:ascii="楷体_GB2312" w:eastAsia="楷体_GB2312"/>
          <w:b/>
          <w:bCs/>
          <w:sz w:val="32"/>
          <w:szCs w:val="32"/>
          <w:lang w:eastAsia="zh-CN"/>
        </w:rPr>
        <w:t>２、</w:t>
      </w:r>
      <w:r>
        <w:rPr>
          <w:rFonts w:hint="eastAsia" w:ascii="楷体_GB2312" w:eastAsia="楷体_GB2312"/>
          <w:b/>
          <w:bCs/>
          <w:sz w:val="32"/>
          <w:szCs w:val="32"/>
        </w:rPr>
        <w:t>非公经济代表人士工作</w:t>
      </w:r>
    </w:p>
    <w:p w14:paraId="157BA5F5">
      <w:pPr>
        <w:ind w:firstLine="643" w:firstLineChars="200"/>
        <w:rPr>
          <w:rFonts w:eastAsia="仿宋_GB2312"/>
          <w:sz w:val="32"/>
          <w:szCs w:val="32"/>
        </w:rPr>
      </w:pPr>
      <w:r>
        <w:rPr>
          <w:rFonts w:eastAsia="仿宋_GB2312"/>
          <w:b/>
          <w:bCs/>
          <w:sz w:val="32"/>
          <w:szCs w:val="32"/>
        </w:rPr>
        <w:t>绩效目标：</w:t>
      </w:r>
      <w:r>
        <w:rPr>
          <w:rFonts w:hint="eastAsia" w:eastAsia="仿宋_GB2312"/>
          <w:sz w:val="32"/>
          <w:szCs w:val="32"/>
        </w:rPr>
        <w:t>围绕“两个健康”服务、对非公经济人士思想政治引领、支持引导光彩事业等方面开展。提高全市民营企业家政治思想水平，培养战略思维，提高综合素质和工作能力。全面了解和掌握我市民营经济发展现状、民营企业在高质量发展过程中遇到的困难和问题。</w:t>
      </w:r>
    </w:p>
    <w:p w14:paraId="6B0B9F9D">
      <w:pPr>
        <w:ind w:firstLine="643" w:firstLineChars="200"/>
        <w:rPr>
          <w:rFonts w:eastAsia="仿宋_GB2312"/>
          <w:sz w:val="32"/>
          <w:szCs w:val="32"/>
        </w:rPr>
      </w:pPr>
      <w:r>
        <w:rPr>
          <w:rFonts w:eastAsia="仿宋_GB2312"/>
          <w:b/>
          <w:bCs/>
          <w:sz w:val="32"/>
          <w:szCs w:val="32"/>
        </w:rPr>
        <w:t>绩效指标：</w:t>
      </w:r>
      <w:r>
        <w:rPr>
          <w:rFonts w:hint="eastAsia" w:eastAsia="仿宋_GB2312"/>
          <w:sz w:val="32"/>
          <w:szCs w:val="32"/>
        </w:rPr>
        <w:t>2022年召开党外代表人士会议、培训、调研、座谈会不少于5次。</w:t>
      </w:r>
    </w:p>
    <w:p w14:paraId="762ED521">
      <w:pPr>
        <w:ind w:firstLine="643" w:firstLineChars="200"/>
        <w:rPr>
          <w:rFonts w:eastAsia="仿宋_GB2312"/>
          <w:sz w:val="32"/>
          <w:szCs w:val="32"/>
        </w:rPr>
      </w:pPr>
      <w:r>
        <w:rPr>
          <w:rFonts w:hint="eastAsia" w:ascii="楷体_GB2312" w:eastAsia="楷体_GB2312"/>
          <w:b/>
          <w:bCs/>
          <w:sz w:val="32"/>
          <w:szCs w:val="32"/>
          <w:lang w:eastAsia="zh-CN"/>
        </w:rPr>
        <w:t>３、</w:t>
      </w:r>
      <w:r>
        <w:rPr>
          <w:rFonts w:hint="eastAsia" w:ascii="楷体_GB2312" w:eastAsia="楷体_GB2312"/>
          <w:b/>
          <w:bCs/>
          <w:sz w:val="32"/>
          <w:szCs w:val="32"/>
        </w:rPr>
        <w:t>民族宗教工作</w:t>
      </w:r>
    </w:p>
    <w:p w14:paraId="36D1D3D7">
      <w:pPr>
        <w:ind w:firstLine="643" w:firstLineChars="200"/>
        <w:rPr>
          <w:rFonts w:eastAsia="仿宋_GB2312"/>
          <w:sz w:val="32"/>
          <w:szCs w:val="32"/>
        </w:rPr>
      </w:pPr>
      <w:r>
        <w:rPr>
          <w:rFonts w:hint="eastAsia" w:eastAsia="仿宋_GB2312"/>
          <w:b/>
          <w:bCs/>
          <w:sz w:val="32"/>
          <w:szCs w:val="32"/>
        </w:rPr>
        <w:t>绩效目标：</w:t>
      </w:r>
      <w:r>
        <w:rPr>
          <w:rFonts w:hint="eastAsia" w:eastAsia="仿宋_GB2312"/>
          <w:sz w:val="32"/>
          <w:szCs w:val="32"/>
        </w:rPr>
        <w:t>开展宗教领域“双创四进”工作、宣传国家的民族宗教政策、提高统战干部民族宗教依法履职能力，提高宗教界人士法治素养、处理宗教领域突发性事件，进行宗教工作明察暗访；</w:t>
      </w:r>
    </w:p>
    <w:p w14:paraId="601BDD84">
      <w:pPr>
        <w:ind w:firstLine="643" w:firstLineChars="200"/>
        <w:rPr>
          <w:rFonts w:hint="eastAsia" w:eastAsia="仿宋_GB2312"/>
          <w:sz w:val="32"/>
          <w:szCs w:val="32"/>
          <w:lang w:eastAsia="zh-CN"/>
        </w:rPr>
      </w:pPr>
      <w:r>
        <w:rPr>
          <w:rFonts w:hint="eastAsia" w:eastAsia="仿宋_GB2312"/>
          <w:b/>
          <w:bCs/>
          <w:sz w:val="32"/>
          <w:szCs w:val="32"/>
        </w:rPr>
        <w:t>绩效指标：</w:t>
      </w:r>
      <w:r>
        <w:rPr>
          <w:rFonts w:hint="eastAsia" w:eastAsia="仿宋_GB2312"/>
          <w:sz w:val="32"/>
          <w:szCs w:val="32"/>
        </w:rPr>
        <w:t>录制宗教场所解经视频并将优秀视频刻录光瓶发放全市159个宗教场所学习、通过发送短信、制作展板等形式，开展民族宗教政策宣传工作100万人次以上、举办统战工作民族宗教领域培训班1-2次、对宗教领域苗头性、突发性问题进行明察暗访</w:t>
      </w:r>
      <w:r>
        <w:rPr>
          <w:rFonts w:hint="eastAsia" w:eastAsia="仿宋_GB2312"/>
          <w:sz w:val="32"/>
          <w:szCs w:val="32"/>
          <w:lang w:eastAsia="zh-CN"/>
        </w:rPr>
        <w:t>。</w:t>
      </w:r>
    </w:p>
    <w:p w14:paraId="6767562E">
      <w:pPr>
        <w:ind w:firstLine="643" w:firstLineChars="200"/>
        <w:rPr>
          <w:rFonts w:ascii="楷体_GB2312" w:eastAsia="楷体_GB2312"/>
          <w:b/>
          <w:bCs/>
          <w:sz w:val="32"/>
          <w:szCs w:val="32"/>
        </w:rPr>
      </w:pPr>
      <w:r>
        <w:rPr>
          <w:rFonts w:hint="eastAsia" w:ascii="楷体_GB2312" w:eastAsia="楷体_GB2312"/>
          <w:b/>
          <w:bCs/>
          <w:sz w:val="32"/>
          <w:szCs w:val="32"/>
          <w:lang w:eastAsia="zh-CN"/>
        </w:rPr>
        <w:t>４、</w:t>
      </w:r>
      <w:r>
        <w:rPr>
          <w:rFonts w:hint="eastAsia" w:ascii="楷体_GB2312" w:eastAsia="楷体_GB2312"/>
          <w:b/>
          <w:bCs/>
          <w:sz w:val="32"/>
          <w:szCs w:val="32"/>
        </w:rPr>
        <w:t>对台工作</w:t>
      </w:r>
    </w:p>
    <w:p w14:paraId="5FCD71C9">
      <w:pPr>
        <w:overflowPunct w:val="0"/>
        <w:spacing w:line="584" w:lineRule="exact"/>
        <w:rPr>
          <w:rFonts w:ascii="仿宋_GB2312" w:hAnsi="仿宋_GB2312" w:eastAsia="仿宋_GB2312" w:cs="仿宋_GB2312"/>
          <w:sz w:val="32"/>
          <w:szCs w:val="32"/>
        </w:rPr>
      </w:pPr>
      <w:r>
        <w:rPr>
          <w:rFonts w:hint="eastAsia" w:eastAsia="仿宋_GB2312"/>
          <w:sz w:val="32"/>
          <w:szCs w:val="32"/>
        </w:rPr>
        <w:t xml:space="preserve">    </w:t>
      </w:r>
      <w:r>
        <w:rPr>
          <w:rFonts w:eastAsia="仿宋_GB2312"/>
          <w:b/>
          <w:bCs/>
          <w:sz w:val="32"/>
          <w:szCs w:val="32"/>
        </w:rPr>
        <w:t>绩效目标：</w:t>
      </w:r>
      <w:r>
        <w:rPr>
          <w:rFonts w:hint="eastAsia" w:ascii="仿宋_GB2312" w:hAnsi="仿宋_GB2312" w:eastAsia="仿宋_GB2312" w:cs="仿宋_GB2312"/>
          <w:sz w:val="32"/>
          <w:szCs w:val="32"/>
        </w:rPr>
        <w:t>在新时代两岸交流交往的大环境下，对台工作提出来新要求新任务，我市对台工作要保持高标准、高效率，开展“温暖台企”活动；围绕经济文化主题内容，促进廊台两地同胞加深认识、增进共识，提高廊坊的知名度、美誉度；为促进廊台两地经济文化交流交往，加深两地同胞在经济文化上的相互了解、认同，不断促进和加强人员往来，开展系列文化经济文化交流活动。</w:t>
      </w:r>
    </w:p>
    <w:p w14:paraId="105EAFA0">
      <w:pPr>
        <w:ind w:firstLine="604"/>
        <w:rPr>
          <w:rFonts w:ascii="仿宋_GB2312" w:hAnsi="仿宋_GB2312" w:eastAsia="仿宋_GB2312" w:cs="仿宋_GB2312"/>
          <w:sz w:val="32"/>
          <w:szCs w:val="32"/>
        </w:rPr>
      </w:pPr>
      <w:r>
        <w:rPr>
          <w:rFonts w:eastAsia="仿宋_GB2312"/>
          <w:b/>
          <w:bCs/>
          <w:sz w:val="32"/>
          <w:szCs w:val="32"/>
        </w:rPr>
        <w:t>绩效指标：</w:t>
      </w:r>
      <w:r>
        <w:rPr>
          <w:rFonts w:hint="eastAsia" w:ascii="仿宋_GB2312" w:hAnsi="仿宋_GB2312" w:eastAsia="仿宋_GB2312" w:cs="仿宋_GB2312"/>
          <w:sz w:val="32"/>
          <w:szCs w:val="32"/>
        </w:rPr>
        <w:t>以“亲商”、“安商”为目标，为“台企”在廊发展提供优质高效服务，举办培训班1次；走访调研台企2次；编辑对台咨询4期。</w:t>
      </w:r>
    </w:p>
    <w:p w14:paraId="7F8CCFE3">
      <w:pPr>
        <w:numPr>
          <w:ilvl w:val="0"/>
          <w:numId w:val="0"/>
        </w:numPr>
        <w:rPr>
          <w:rFonts w:ascii="楷体_GB2312" w:eastAsia="楷体_GB2312"/>
          <w:b/>
          <w:bCs/>
          <w:sz w:val="32"/>
          <w:szCs w:val="32"/>
        </w:rPr>
      </w:pPr>
      <w:r>
        <w:rPr>
          <w:rFonts w:hint="eastAsia" w:ascii="楷体_GB2312" w:eastAsia="楷体_GB2312"/>
          <w:b/>
          <w:bCs/>
          <w:sz w:val="32"/>
          <w:szCs w:val="32"/>
          <w:lang w:eastAsia="zh-CN"/>
        </w:rPr>
        <w:t>　　５、</w:t>
      </w:r>
      <w:r>
        <w:rPr>
          <w:rFonts w:hint="eastAsia" w:ascii="楷体_GB2312" w:eastAsia="楷体_GB2312"/>
          <w:b/>
          <w:bCs/>
          <w:sz w:val="32"/>
          <w:szCs w:val="32"/>
        </w:rPr>
        <w:t>网络宣传工作</w:t>
      </w:r>
    </w:p>
    <w:p w14:paraId="3ED73593">
      <w:pPr>
        <w:adjustRightInd w:val="0"/>
        <w:snapToGrid w:val="0"/>
        <w:spacing w:line="540" w:lineRule="exact"/>
        <w:ind w:firstLine="710" w:firstLineChars="221"/>
        <w:jc w:val="left"/>
        <w:rPr>
          <w:rFonts w:ascii="仿宋_GB2312" w:hAnsi="仿宋" w:eastAsia="仿宋_GB2312" w:cs="仿宋"/>
          <w:sz w:val="32"/>
          <w:szCs w:val="32"/>
        </w:rPr>
      </w:pPr>
      <w:r>
        <w:rPr>
          <w:rFonts w:hint="eastAsia" w:ascii="楷体_GB2312" w:hAnsi="仿宋" w:eastAsia="楷体_GB2312" w:cs="仿宋"/>
          <w:b/>
          <w:sz w:val="32"/>
          <w:szCs w:val="32"/>
        </w:rPr>
        <w:t>绩效目标:</w:t>
      </w:r>
      <w:r>
        <w:rPr>
          <w:rFonts w:hint="eastAsia" w:ascii="仿宋_GB2312" w:hAnsi="仿宋" w:eastAsia="仿宋_GB2312" w:cs="仿宋"/>
          <w:sz w:val="32"/>
          <w:szCs w:val="32"/>
        </w:rPr>
        <w:t>开展全市统一战线宣传、信息、网络调研及交流，学习先进做法；加强全市统一战线宣传信息员队伍、网络代表人士队伍建设，开展学习培训、座谈交流；围绕全市统一战线宣传工作政策和口径，组织开展统一战线宣传工作，做好舆情分析引导。</w:t>
      </w:r>
    </w:p>
    <w:p w14:paraId="6770354D">
      <w:pPr>
        <w:adjustRightInd w:val="0"/>
        <w:snapToGrid w:val="0"/>
        <w:spacing w:line="540" w:lineRule="exact"/>
        <w:ind w:firstLine="643" w:firstLineChars="200"/>
        <w:jc w:val="left"/>
        <w:rPr>
          <w:rFonts w:ascii="仿宋_GB2312" w:hAnsi="仿宋" w:eastAsia="仿宋_GB2312" w:cs="仿宋"/>
          <w:sz w:val="32"/>
          <w:szCs w:val="32"/>
        </w:rPr>
      </w:pPr>
      <w:r>
        <w:rPr>
          <w:rFonts w:hint="eastAsia" w:ascii="楷体_GB2312" w:hAnsi="仿宋" w:eastAsia="楷体_GB2312" w:cs="仿宋"/>
          <w:b/>
          <w:sz w:val="32"/>
          <w:szCs w:val="32"/>
        </w:rPr>
        <w:t>绩效指标：</w:t>
      </w:r>
      <w:r>
        <w:rPr>
          <w:rFonts w:hint="eastAsia" w:ascii="仿宋_GB2312" w:hAnsi="仿宋" w:eastAsia="仿宋_GB2312" w:cs="仿宋"/>
          <w:sz w:val="32"/>
          <w:szCs w:val="32"/>
        </w:rPr>
        <w:t>开展全市统一战线宣传、信息、网络调研及交流1－2次，政务新媒体</w:t>
      </w:r>
      <w:r>
        <w:rPr>
          <w:rFonts w:hint="eastAsia" w:ascii="仿宋_GB2312" w:hAnsi="仿宋" w:eastAsia="仿宋_GB2312" w:cs="仿宋"/>
          <w:bCs/>
          <w:sz w:val="32"/>
          <w:szCs w:val="32"/>
        </w:rPr>
        <w:t>宣传2次，</w:t>
      </w:r>
      <w:r>
        <w:rPr>
          <w:rFonts w:hint="eastAsia" w:ascii="仿宋_GB2312" w:eastAsia="仿宋_GB2312"/>
          <w:sz w:val="32"/>
          <w:szCs w:val="32"/>
        </w:rPr>
        <w:t>组织全市统一战线开展</w:t>
      </w:r>
      <w:r>
        <w:rPr>
          <w:rFonts w:hint="eastAsia" w:ascii="仿宋_GB2312" w:hAnsi="仿宋" w:eastAsia="仿宋_GB2312" w:cs="仿宋"/>
          <w:sz w:val="32"/>
          <w:szCs w:val="32"/>
        </w:rPr>
        <w:t>宣传活动4次，</w:t>
      </w:r>
      <w:r>
        <w:rPr>
          <w:rFonts w:hint="eastAsia" w:ascii="仿宋_GB2312" w:eastAsia="仿宋_GB2312"/>
          <w:sz w:val="32"/>
          <w:szCs w:val="32"/>
        </w:rPr>
        <w:t>举办全市统一战线宣传信息员队伍培训班1期，</w:t>
      </w:r>
      <w:r>
        <w:rPr>
          <w:rFonts w:hint="eastAsia" w:ascii="仿宋_GB2312" w:hAnsi="仿宋" w:eastAsia="仿宋_GB2312" w:cs="仿宋"/>
          <w:bCs/>
          <w:sz w:val="32"/>
          <w:szCs w:val="32"/>
        </w:rPr>
        <w:t>举办全市网络代表人士队伍建设培训班1期，</w:t>
      </w:r>
      <w:r>
        <w:rPr>
          <w:rFonts w:hint="eastAsia" w:ascii="仿宋_GB2312" w:hAnsi="仿宋" w:eastAsia="仿宋_GB2312" w:cs="仿宋"/>
          <w:sz w:val="32"/>
          <w:szCs w:val="32"/>
        </w:rPr>
        <w:t>举办统战系统宣传信息调度会、宣传信息座谈交流会2次，举办全市网络人士政策解读会1次。</w:t>
      </w:r>
    </w:p>
    <w:p w14:paraId="445C7C46">
      <w:pPr>
        <w:numPr>
          <w:ilvl w:val="0"/>
          <w:numId w:val="0"/>
        </w:numPr>
        <w:ind w:left="576" w:leftChars="0"/>
        <w:rPr>
          <w:rFonts w:ascii="楷体_GB2312" w:eastAsia="楷体_GB2312"/>
          <w:b/>
          <w:bCs/>
          <w:sz w:val="32"/>
          <w:szCs w:val="32"/>
        </w:rPr>
      </w:pPr>
      <w:r>
        <w:rPr>
          <w:rFonts w:hint="eastAsia" w:ascii="楷体_GB2312" w:eastAsia="楷体_GB2312"/>
          <w:b/>
          <w:bCs/>
          <w:sz w:val="32"/>
          <w:szCs w:val="32"/>
          <w:lang w:eastAsia="zh-CN"/>
        </w:rPr>
        <w:t>６、</w:t>
      </w:r>
      <w:r>
        <w:rPr>
          <w:rFonts w:hint="eastAsia" w:ascii="楷体_GB2312" w:eastAsia="楷体_GB2312"/>
          <w:b/>
          <w:bCs/>
          <w:sz w:val="32"/>
          <w:szCs w:val="32"/>
        </w:rPr>
        <w:t>侨务工作</w:t>
      </w:r>
    </w:p>
    <w:p w14:paraId="31DE6A5C">
      <w:pPr>
        <w:overflowPunct w:val="0"/>
        <w:spacing w:line="584" w:lineRule="exact"/>
        <w:ind w:right="210" w:rightChars="100" w:firstLine="643" w:firstLineChars="200"/>
        <w:rPr>
          <w:rFonts w:eastAsia="仿宋_GB2312"/>
          <w:sz w:val="32"/>
        </w:rPr>
      </w:pPr>
      <w:r>
        <w:rPr>
          <w:rFonts w:hint="eastAsia" w:ascii="楷体_GB2312" w:hAnsi="仿宋" w:eastAsia="楷体_GB2312" w:cs="仿宋"/>
          <w:b/>
          <w:sz w:val="32"/>
          <w:szCs w:val="32"/>
        </w:rPr>
        <w:t>绩效目标：</w:t>
      </w:r>
      <w:r>
        <w:rPr>
          <w:rFonts w:hint="eastAsia" w:eastAsia="仿宋_GB2312"/>
          <w:sz w:val="32"/>
        </w:rPr>
        <w:t>侨法普及宣传，以“凝聚侨心、发浑侨力、汇集侨智、维护侨益”为主题，举办“侨法宣传”，为宣传贯街侨法、维护归侨侨眷的合法权益起到积极作用。</w:t>
      </w:r>
    </w:p>
    <w:p w14:paraId="68918F24">
      <w:pPr>
        <w:overflowPunct w:val="0"/>
        <w:spacing w:line="584" w:lineRule="exact"/>
        <w:ind w:right="210" w:rightChars="100" w:firstLine="643" w:firstLineChars="200"/>
        <w:rPr>
          <w:rFonts w:eastAsia="仿宋_GB2312"/>
          <w:sz w:val="32"/>
        </w:rPr>
      </w:pPr>
      <w:r>
        <w:rPr>
          <w:rFonts w:hint="eastAsia" w:ascii="楷体_GB2312" w:hAnsi="仿宋" w:eastAsia="楷体_GB2312" w:cs="仿宋"/>
          <w:b/>
          <w:sz w:val="32"/>
          <w:szCs w:val="32"/>
        </w:rPr>
        <w:t>绩效指标：</w:t>
      </w:r>
      <w:r>
        <w:rPr>
          <w:rFonts w:hint="eastAsia" w:eastAsia="仿宋_GB2312"/>
          <w:sz w:val="32"/>
        </w:rPr>
        <w:t>结合侨法宣传、法律咨询、调研等活动1-2次，举办侨务干部侨界代表人士培训班1期，召开侨务工作交流座谈会1-2次。</w:t>
      </w:r>
    </w:p>
    <w:p w14:paraId="36E41D52">
      <w:pPr>
        <w:ind w:left="576"/>
        <w:rPr>
          <w:rFonts w:ascii="楷体_GB2312" w:eastAsia="楷体_GB2312"/>
          <w:b/>
          <w:bCs/>
          <w:sz w:val="32"/>
          <w:szCs w:val="32"/>
        </w:rPr>
      </w:pPr>
      <w:r>
        <w:rPr>
          <w:rFonts w:hint="eastAsia" w:ascii="楷体_GB2312" w:eastAsia="楷体_GB2312"/>
          <w:b/>
          <w:bCs/>
          <w:sz w:val="32"/>
          <w:szCs w:val="32"/>
          <w:lang w:eastAsia="zh-CN"/>
        </w:rPr>
        <w:t>７、</w:t>
      </w:r>
      <w:r>
        <w:rPr>
          <w:rFonts w:hint="eastAsia" w:ascii="楷体_GB2312" w:eastAsia="楷体_GB2312"/>
          <w:b/>
          <w:bCs/>
          <w:sz w:val="32"/>
          <w:szCs w:val="32"/>
        </w:rPr>
        <w:t>党外干部工作</w:t>
      </w:r>
    </w:p>
    <w:p w14:paraId="3F2A9DEE">
      <w:pPr>
        <w:adjustRightInd w:val="0"/>
        <w:snapToGrid w:val="0"/>
        <w:spacing w:line="540" w:lineRule="exact"/>
        <w:ind w:firstLine="707" w:firstLineChars="221"/>
        <w:jc w:val="left"/>
        <w:rPr>
          <w:rFonts w:ascii="仿宋_GB2312" w:hAnsi="仿宋" w:eastAsia="仿宋_GB2312" w:cs="仿宋"/>
          <w:sz w:val="32"/>
          <w:szCs w:val="32"/>
        </w:rPr>
      </w:pPr>
      <w:r>
        <w:rPr>
          <w:rFonts w:hint="eastAsia" w:ascii="仿宋_GB2312" w:hAnsi="仿宋" w:eastAsia="仿宋_GB2312" w:cs="仿宋"/>
          <w:sz w:val="32"/>
          <w:szCs w:val="32"/>
        </w:rPr>
        <w:t xml:space="preserve"> </w:t>
      </w:r>
      <w:r>
        <w:rPr>
          <w:rFonts w:hint="eastAsia" w:ascii="楷体_GB2312" w:hAnsi="仿宋" w:eastAsia="楷体_GB2312" w:cs="仿宋"/>
          <w:b/>
          <w:sz w:val="32"/>
          <w:szCs w:val="32"/>
        </w:rPr>
        <w:t>绩效目标:</w:t>
      </w:r>
      <w:r>
        <w:rPr>
          <w:rFonts w:hint="eastAsia" w:ascii="仿宋_GB2312" w:hAnsi="仿宋" w:eastAsia="仿宋_GB2312" w:cs="仿宋"/>
          <w:sz w:val="32"/>
          <w:szCs w:val="32"/>
        </w:rPr>
        <w:t>组织党外代表人士、党外优秀年轻干部学习交流、实践锻炼及有关工作调研等活动。组织党外干部座谈会、学习交流座谈会、调研活动及实践锻炼相关活动，提升党外干部素质；建立健全党外代表人士数据库。</w:t>
      </w:r>
    </w:p>
    <w:p w14:paraId="1B63A40B">
      <w:pPr>
        <w:adjustRightInd w:val="0"/>
        <w:snapToGrid w:val="0"/>
        <w:spacing w:line="540" w:lineRule="exact"/>
        <w:ind w:firstLine="643" w:firstLineChars="200"/>
        <w:jc w:val="left"/>
        <w:rPr>
          <w:rFonts w:ascii="仿宋_GB2312" w:hAnsi="仿宋" w:eastAsia="仿宋_GB2312" w:cs="仿宋"/>
          <w:sz w:val="32"/>
          <w:szCs w:val="32"/>
        </w:rPr>
      </w:pPr>
      <w:r>
        <w:rPr>
          <w:rFonts w:hint="eastAsia" w:ascii="楷体_GB2312" w:hAnsi="仿宋" w:eastAsia="楷体_GB2312" w:cs="仿宋"/>
          <w:b/>
          <w:sz w:val="32"/>
          <w:szCs w:val="32"/>
        </w:rPr>
        <w:t>绩效指标：</w:t>
      </w:r>
      <w:r>
        <w:rPr>
          <w:rFonts w:hint="eastAsia" w:ascii="仿宋_GB2312" w:hAnsi="仿宋" w:eastAsia="仿宋_GB2312" w:cs="仿宋"/>
          <w:sz w:val="32"/>
          <w:szCs w:val="32"/>
        </w:rPr>
        <w:t>开展调研活动1次，建立健全党外代表人士数据库。组织党外干部学习交流1次。</w:t>
      </w:r>
    </w:p>
    <w:p w14:paraId="6225EF13">
      <w:pPr>
        <w:ind w:firstLine="643" w:firstLineChars="200"/>
        <w:rPr>
          <w:rFonts w:ascii="楷体_GB2312" w:eastAsia="楷体_GB2312"/>
          <w:b/>
          <w:bCs/>
          <w:sz w:val="32"/>
          <w:szCs w:val="32"/>
        </w:rPr>
      </w:pPr>
      <w:r>
        <w:rPr>
          <w:rFonts w:hint="eastAsia" w:ascii="楷体_GB2312" w:eastAsia="楷体_GB2312"/>
          <w:b/>
          <w:bCs/>
          <w:sz w:val="32"/>
          <w:szCs w:val="32"/>
          <w:lang w:eastAsia="zh-CN"/>
        </w:rPr>
        <w:t>８、</w:t>
      </w:r>
      <w:r>
        <w:rPr>
          <w:rFonts w:hint="eastAsia" w:ascii="楷体_GB2312" w:eastAsia="楷体_GB2312"/>
          <w:b/>
          <w:bCs/>
          <w:sz w:val="32"/>
          <w:szCs w:val="32"/>
        </w:rPr>
        <w:t>新社会阶层人士工作</w:t>
      </w:r>
    </w:p>
    <w:p w14:paraId="10DA5A31">
      <w:pPr>
        <w:adjustRightInd w:val="0"/>
        <w:snapToGrid w:val="0"/>
        <w:spacing w:line="540" w:lineRule="exact"/>
        <w:ind w:firstLine="643" w:firstLineChars="200"/>
        <w:jc w:val="left"/>
        <w:rPr>
          <w:rFonts w:ascii="仿宋_GB2312" w:eastAsia="仿宋_GB2312"/>
          <w:sz w:val="32"/>
          <w:szCs w:val="32"/>
        </w:rPr>
      </w:pPr>
      <w:r>
        <w:rPr>
          <w:rFonts w:hint="eastAsia" w:ascii="楷体_GB2312" w:hAnsi="仿宋" w:eastAsia="楷体_GB2312" w:cs="仿宋"/>
          <w:b/>
          <w:sz w:val="32"/>
          <w:szCs w:val="32"/>
        </w:rPr>
        <w:t>绩效目标：</w:t>
      </w:r>
      <w:r>
        <w:rPr>
          <w:rFonts w:hint="eastAsia" w:ascii="仿宋_GB2312" w:eastAsia="仿宋_GB2312"/>
          <w:sz w:val="32"/>
          <w:szCs w:val="32"/>
        </w:rPr>
        <w:t>通过集中培训，继续开展“展现创业风采 建功美丽廊坊”主题实践活动，开展建言献策活动，开展“普法宣传进社区”公益活动，加强对党外知识分子和新的社会阶层人士进行教育引导，不断强化政治引领，并鼓励他们岗位建功，实现凝心聚力为经济社会发展做出更大贡献的目标。</w:t>
      </w:r>
    </w:p>
    <w:p w14:paraId="722D8147">
      <w:pPr>
        <w:adjustRightInd w:val="0"/>
        <w:snapToGrid w:val="0"/>
        <w:spacing w:line="540" w:lineRule="exact"/>
        <w:ind w:firstLine="643" w:firstLineChars="200"/>
        <w:jc w:val="left"/>
        <w:rPr>
          <w:rFonts w:ascii="仿宋_GB2312" w:eastAsia="仿宋_GB2312"/>
          <w:sz w:val="32"/>
          <w:szCs w:val="32"/>
        </w:rPr>
      </w:pPr>
      <w:r>
        <w:rPr>
          <w:rFonts w:hint="eastAsia" w:ascii="楷体_GB2312" w:hAnsi="仿宋" w:eastAsia="楷体_GB2312" w:cs="仿宋"/>
          <w:b/>
          <w:sz w:val="32"/>
          <w:szCs w:val="32"/>
        </w:rPr>
        <w:t>绩效指标：</w:t>
      </w:r>
      <w:r>
        <w:rPr>
          <w:rFonts w:hint="eastAsia" w:ascii="仿宋_GB2312" w:eastAsia="仿宋_GB2312"/>
          <w:sz w:val="32"/>
          <w:szCs w:val="32"/>
        </w:rPr>
        <w:t>培训1次。开展“普法宣传进社区” 公益活动1次。继续开展主题实践活动1次。进一步坚定他们听党话、跟党走的信念。</w:t>
      </w:r>
    </w:p>
    <w:p w14:paraId="122AE8B6">
      <w:pPr>
        <w:spacing w:line="584" w:lineRule="exact"/>
        <w:ind w:firstLine="643" w:firstLineChars="200"/>
        <w:rPr>
          <w:rFonts w:hint="eastAsia" w:ascii="楷体_GB2312" w:eastAsia="楷体_GB2312" w:cs="Times New Roman"/>
          <w:b/>
          <w:sz w:val="32"/>
          <w:szCs w:val="32"/>
        </w:rPr>
      </w:pPr>
      <w:r>
        <w:rPr>
          <w:rFonts w:hint="eastAsia" w:ascii="楷体_GB2312" w:eastAsia="楷体_GB2312" w:cs="Times New Roman"/>
          <w:b/>
          <w:sz w:val="32"/>
          <w:szCs w:val="32"/>
        </w:rPr>
        <w:t>（三）工作保障措施</w:t>
      </w:r>
    </w:p>
    <w:p w14:paraId="20743E54">
      <w:pPr>
        <w:adjustRightInd w:val="0"/>
        <w:snapToGrid w:val="0"/>
        <w:spacing w:line="540" w:lineRule="exact"/>
        <w:jc w:val="left"/>
        <w:rPr>
          <w:rFonts w:ascii="仿宋_GB2312" w:eastAsia="仿宋_GB2312"/>
          <w:sz w:val="32"/>
          <w:szCs w:val="32"/>
        </w:rPr>
      </w:pPr>
      <w:r>
        <w:rPr>
          <w:rFonts w:hint="eastAsia" w:ascii="仿宋_GB2312" w:eastAsia="仿宋_GB2312"/>
          <w:sz w:val="32"/>
          <w:szCs w:val="32"/>
          <w:lang w:eastAsia="zh-CN"/>
        </w:rPr>
        <w:t>　　</w:t>
      </w:r>
      <w:r>
        <w:rPr>
          <w:rFonts w:hint="eastAsia" w:ascii="仿宋_GB2312" w:eastAsia="仿宋_GB2312"/>
          <w:b/>
          <w:bCs/>
          <w:sz w:val="32"/>
          <w:szCs w:val="32"/>
        </w:rPr>
        <w:t>完善制度建设。</w:t>
      </w:r>
      <w:r>
        <w:rPr>
          <w:rFonts w:hint="eastAsia" w:ascii="仿宋_GB2312" w:eastAsia="仿宋_GB2312"/>
          <w:sz w:val="32"/>
          <w:szCs w:val="32"/>
        </w:rPr>
        <w:t>建立健全部门预算绩效管理工作制度，制定部门事前绩效评估、事中监控和事后绩效自评等一系列相关绩效的管理制度，做好保障工作，为全年预算绩效目标的实现奠定制度基础。</w:t>
      </w:r>
    </w:p>
    <w:p w14:paraId="4A30A6F2">
      <w:pPr>
        <w:adjustRightInd w:val="0"/>
        <w:snapToGrid w:val="0"/>
        <w:spacing w:line="540" w:lineRule="exact"/>
        <w:ind w:firstLine="643" w:firstLineChars="200"/>
        <w:jc w:val="left"/>
        <w:rPr>
          <w:rFonts w:ascii="仿宋_GB2312" w:eastAsia="仿宋_GB2312"/>
          <w:sz w:val="32"/>
          <w:szCs w:val="32"/>
        </w:rPr>
      </w:pPr>
      <w:r>
        <w:rPr>
          <w:rFonts w:hint="eastAsia" w:ascii="仿宋_GB2312" w:eastAsia="仿宋_GB2312"/>
          <w:b/>
          <w:bCs/>
          <w:sz w:val="32"/>
          <w:szCs w:val="32"/>
        </w:rPr>
        <w:t>加强支出管理。</w:t>
      </w:r>
      <w:r>
        <w:rPr>
          <w:rFonts w:hint="eastAsia" w:ascii="仿宋_GB2312" w:eastAsia="仿宋_GB2312"/>
          <w:sz w:val="32"/>
          <w:szCs w:val="32"/>
        </w:rPr>
        <w:t>积极优化和整合相关资金，把年度部门顸算编细、编实、编准，有针对性地提高年初预算到位率，及早将资金预算落实到具体项目，制定保障措施，保证按规定及时下达资佥，确保支出进度达标。</w:t>
      </w:r>
    </w:p>
    <w:p w14:paraId="34512C48">
      <w:pPr>
        <w:adjustRightInd w:val="0"/>
        <w:snapToGrid w:val="0"/>
        <w:spacing w:line="540" w:lineRule="exact"/>
        <w:ind w:firstLine="643" w:firstLineChars="200"/>
        <w:jc w:val="left"/>
        <w:rPr>
          <w:rFonts w:ascii="仿宋_GB2312" w:eastAsia="仿宋_GB2312"/>
          <w:sz w:val="32"/>
          <w:szCs w:val="32"/>
        </w:rPr>
      </w:pPr>
      <w:r>
        <w:rPr>
          <w:rFonts w:hint="eastAsia" w:ascii="仿宋_GB2312" w:eastAsia="仿宋_GB2312"/>
          <w:b/>
          <w:bCs/>
          <w:sz w:val="32"/>
          <w:szCs w:val="32"/>
        </w:rPr>
        <w:t>加强绩效运行监控。</w:t>
      </w:r>
      <w:r>
        <w:rPr>
          <w:rFonts w:hint="eastAsia" w:ascii="仿宋_GB2312" w:eastAsia="仿宋_GB2312"/>
          <w:sz w:val="32"/>
          <w:szCs w:val="32"/>
        </w:rPr>
        <w:t>部门绩效管理小组对绩效运行监控的内容、实施方式等提出要求，内容包括绩效目标预期完成情况、项目实施情况、资金管理情况、项目管理情况等。定期采集绩效运行信息并汇总分析，加强对绩效目标运行情况的跟踪管理和督促</w:t>
      </w:r>
      <w:r>
        <w:rPr>
          <w:rFonts w:hint="eastAsia" w:ascii="仿宋_GB2312" w:hAnsi="仿宋_GB2312" w:eastAsia="仿宋_GB2312" w:cs="仿宋_GB2312"/>
          <w:sz w:val="32"/>
          <w:szCs w:val="32"/>
        </w:rPr>
        <w:t>检査，</w:t>
      </w:r>
      <w:r>
        <w:rPr>
          <w:rFonts w:hint="eastAsia" w:ascii="仿宋_GB2312" w:eastAsia="仿宋_GB2312"/>
          <w:sz w:val="32"/>
          <w:szCs w:val="32"/>
        </w:rPr>
        <w:t>促进绩效目标的顺利实现。跟踪监控中发现绩效运行目标与预期绩效目标发生偏离时，及时采取措施予以纠正，情况严重的暂缓或停止该项目的执行。</w:t>
      </w:r>
    </w:p>
    <w:p w14:paraId="5E567D66">
      <w:pPr>
        <w:adjustRightInd w:val="0"/>
        <w:snapToGrid w:val="0"/>
        <w:spacing w:line="540" w:lineRule="exact"/>
        <w:ind w:firstLine="643" w:firstLineChars="200"/>
        <w:jc w:val="left"/>
        <w:rPr>
          <w:rFonts w:ascii="仿宋_GB2312" w:eastAsia="仿宋_GB2312"/>
          <w:sz w:val="32"/>
          <w:szCs w:val="32"/>
        </w:rPr>
      </w:pPr>
      <w:r>
        <w:rPr>
          <w:rFonts w:hint="eastAsia" w:ascii="仿宋_GB2312" w:eastAsia="仿宋_GB2312"/>
          <w:b/>
          <w:bCs/>
          <w:sz w:val="32"/>
          <w:szCs w:val="32"/>
        </w:rPr>
        <w:t>做好绩效自评。</w:t>
      </w:r>
      <w:r>
        <w:rPr>
          <w:rFonts w:hint="eastAsia" w:ascii="仿宋_GB2312" w:eastAsia="仿宋_GB2312"/>
          <w:sz w:val="32"/>
          <w:szCs w:val="32"/>
        </w:rPr>
        <w:t>预算执行结后，及时对预算资金的产出和结果进</w:t>
      </w:r>
      <w:r>
        <w:rPr>
          <w:rFonts w:ascii="仿宋_GB2312" w:eastAsia="仿宋_GB2312"/>
          <w:sz w:val="32"/>
          <w:szCs w:val="32"/>
        </w:rPr>
        <w:t>行绩效自我评价，编写绩效自评没告。认真分析研究评价结果所反映的</w:t>
      </w:r>
      <w:r>
        <w:rPr>
          <w:rFonts w:hint="eastAsia" w:ascii="仿宋_GB2312" w:eastAsia="仿宋_GB2312"/>
          <w:sz w:val="32"/>
          <w:szCs w:val="32"/>
        </w:rPr>
        <w:t>问题</w:t>
      </w:r>
      <w:r>
        <w:rPr>
          <w:rFonts w:ascii="仿宋_GB2312" w:eastAsia="仿宋_GB2312"/>
          <w:sz w:val="32"/>
          <w:szCs w:val="32"/>
        </w:rPr>
        <w:t>，努力查找资金使用和</w:t>
      </w:r>
      <w:r>
        <w:rPr>
          <w:rFonts w:hint="eastAsia" w:ascii="仿宋_GB2312" w:eastAsia="仿宋_GB2312"/>
          <w:sz w:val="32"/>
          <w:szCs w:val="32"/>
        </w:rPr>
        <w:t>管理</w:t>
      </w:r>
      <w:r>
        <w:rPr>
          <w:rFonts w:ascii="仿宋_GB2312" w:eastAsia="仿宋_GB2312"/>
          <w:sz w:val="32"/>
          <w:szCs w:val="32"/>
        </w:rPr>
        <w:t>中的</w:t>
      </w:r>
      <w:r>
        <w:rPr>
          <w:rFonts w:hint="eastAsia" w:ascii="仿宋_GB2312" w:eastAsia="仿宋_GB2312"/>
          <w:sz w:val="32"/>
          <w:szCs w:val="32"/>
        </w:rPr>
        <w:t>薄</w:t>
      </w:r>
      <w:r>
        <w:rPr>
          <w:rFonts w:ascii="仿宋_GB2312" w:eastAsia="仿宋_GB2312"/>
          <w:sz w:val="32"/>
          <w:szCs w:val="32"/>
        </w:rPr>
        <w:t>弱环节，制定改进和高绩效管理工作的措施。</w:t>
      </w:r>
    </w:p>
    <w:p w14:paraId="0555573A">
      <w:pPr>
        <w:adjustRightInd w:val="0"/>
        <w:snapToGrid w:val="0"/>
        <w:spacing w:line="540" w:lineRule="exact"/>
        <w:ind w:firstLine="643" w:firstLineChars="200"/>
        <w:jc w:val="left"/>
        <w:rPr>
          <w:rFonts w:ascii="仿宋_GB2312" w:eastAsia="仿宋_GB2312"/>
          <w:sz w:val="32"/>
          <w:szCs w:val="32"/>
        </w:rPr>
      </w:pPr>
      <w:r>
        <w:rPr>
          <w:rFonts w:ascii="仿宋_GB2312" w:eastAsia="仿宋_GB2312"/>
          <w:b/>
          <w:bCs/>
          <w:sz w:val="32"/>
          <w:szCs w:val="32"/>
        </w:rPr>
        <w:t>规范财务资产管理。</w:t>
      </w:r>
      <w:r>
        <w:rPr>
          <w:rFonts w:ascii="仿宋_GB2312" w:eastAsia="仿宋_GB2312"/>
          <w:sz w:val="32"/>
          <w:szCs w:val="32"/>
        </w:rPr>
        <w:t>完善财务管理制度</w:t>
      </w:r>
      <w:r>
        <w:rPr>
          <w:rFonts w:hint="eastAsia" w:ascii="仿宋_GB2312" w:eastAsia="仿宋_GB2312"/>
          <w:sz w:val="32"/>
          <w:szCs w:val="32"/>
        </w:rPr>
        <w:t>，</w:t>
      </w:r>
      <w:r>
        <w:rPr>
          <w:rFonts w:ascii="仿宋_GB2312" w:eastAsia="仿宋_GB2312"/>
          <w:sz w:val="32"/>
          <w:szCs w:val="32"/>
        </w:rPr>
        <w:t>严格</w:t>
      </w:r>
      <w:r>
        <w:rPr>
          <w:rFonts w:hint="eastAsia" w:ascii="仿宋_GB2312" w:eastAsia="仿宋_GB2312"/>
          <w:sz w:val="32"/>
          <w:szCs w:val="32"/>
        </w:rPr>
        <w:t>审批</w:t>
      </w:r>
      <w:r>
        <w:rPr>
          <w:rFonts w:ascii="仿宋_GB2312" w:eastAsia="仿宋_GB2312"/>
          <w:sz w:val="32"/>
          <w:szCs w:val="32"/>
        </w:rPr>
        <w:t>程序，加强固定资产登记、使</w:t>
      </w:r>
      <w:r>
        <w:rPr>
          <w:rFonts w:hint="eastAsia" w:ascii="仿宋_GB2312" w:eastAsia="仿宋_GB2312"/>
          <w:sz w:val="32"/>
          <w:szCs w:val="32"/>
        </w:rPr>
        <w:t>用</w:t>
      </w:r>
      <w:r>
        <w:rPr>
          <w:rFonts w:ascii="仿宋_GB2312" w:eastAsia="仿宋_GB2312"/>
          <w:sz w:val="32"/>
          <w:szCs w:val="32"/>
        </w:rPr>
        <w:t>和报废处置，做到支出合理，物尽其</w:t>
      </w:r>
      <w:r>
        <w:rPr>
          <w:rFonts w:hint="eastAsia" w:ascii="仿宋_GB2312" w:eastAsia="仿宋_GB2312"/>
          <w:sz w:val="32"/>
          <w:szCs w:val="32"/>
        </w:rPr>
        <w:t>用</w:t>
      </w:r>
      <w:r>
        <w:rPr>
          <w:rFonts w:ascii="仿宋_GB2312" w:eastAsia="仿宋_GB2312"/>
          <w:sz w:val="32"/>
          <w:szCs w:val="32"/>
        </w:rPr>
        <w:t>。建立科学、合理的内部控制制度，完善的内部</w:t>
      </w:r>
      <w:r>
        <w:rPr>
          <w:rFonts w:hint="eastAsia" w:ascii="仿宋_GB2312" w:eastAsia="仿宋_GB2312"/>
          <w:sz w:val="32"/>
          <w:szCs w:val="32"/>
        </w:rPr>
        <w:t>审</w:t>
      </w:r>
      <w:r>
        <w:rPr>
          <w:rFonts w:ascii="仿宋_GB2312" w:eastAsia="仿宋_GB2312"/>
          <w:sz w:val="32"/>
          <w:szCs w:val="32"/>
        </w:rPr>
        <w:t>批</w:t>
      </w:r>
      <w:r>
        <w:rPr>
          <w:rFonts w:hint="eastAsia" w:ascii="仿宋_GB2312" w:eastAsia="仿宋_GB2312"/>
          <w:sz w:val="32"/>
          <w:szCs w:val="32"/>
        </w:rPr>
        <w:t>制度</w:t>
      </w:r>
      <w:r>
        <w:rPr>
          <w:rFonts w:ascii="仿宋_GB2312" w:eastAsia="仿宋_GB2312"/>
          <w:sz w:val="32"/>
          <w:szCs w:val="32"/>
        </w:rPr>
        <w:t>，加强对各项经济业务开支的事前</w:t>
      </w:r>
      <w:r>
        <w:rPr>
          <w:rFonts w:hint="eastAsia" w:ascii="仿宋_GB2312" w:eastAsia="仿宋_GB2312"/>
          <w:sz w:val="32"/>
          <w:szCs w:val="32"/>
        </w:rPr>
        <w:t>控制</w:t>
      </w:r>
      <w:r>
        <w:rPr>
          <w:rFonts w:ascii="仿宋_GB2312" w:eastAsia="仿宋_GB2312"/>
          <w:sz w:val="32"/>
          <w:szCs w:val="32"/>
        </w:rPr>
        <w:t>，严格执行章制度，从根本上提高财务管理</w:t>
      </w:r>
      <w:r>
        <w:rPr>
          <w:rFonts w:hint="eastAsia" w:ascii="仿宋_GB2312" w:eastAsia="仿宋_GB2312"/>
          <w:sz w:val="32"/>
          <w:szCs w:val="32"/>
        </w:rPr>
        <w:t>水</w:t>
      </w:r>
      <w:r>
        <w:rPr>
          <w:rFonts w:ascii="仿宋_GB2312" w:eastAsia="仿宋_GB2312"/>
          <w:sz w:val="32"/>
          <w:szCs w:val="32"/>
        </w:rPr>
        <w:t>平。</w:t>
      </w:r>
    </w:p>
    <w:p w14:paraId="2923DB6D">
      <w:pPr>
        <w:adjustRightInd w:val="0"/>
        <w:snapToGrid w:val="0"/>
        <w:spacing w:line="540" w:lineRule="exact"/>
        <w:ind w:firstLine="643" w:firstLineChars="200"/>
        <w:jc w:val="left"/>
        <w:rPr>
          <w:rFonts w:ascii="仿宋_GB2312" w:eastAsia="仿宋_GB2312"/>
          <w:sz w:val="32"/>
          <w:szCs w:val="32"/>
        </w:rPr>
      </w:pPr>
      <w:r>
        <w:rPr>
          <w:rFonts w:ascii="仿宋_GB2312" w:eastAsia="仿宋_GB2312"/>
          <w:b/>
          <w:bCs/>
          <w:sz w:val="32"/>
          <w:szCs w:val="32"/>
        </w:rPr>
        <w:t>加强</w:t>
      </w:r>
      <w:r>
        <w:rPr>
          <w:rFonts w:hint="eastAsia" w:ascii="仿宋_GB2312" w:eastAsia="仿宋_GB2312"/>
          <w:b/>
          <w:bCs/>
          <w:sz w:val="32"/>
          <w:szCs w:val="32"/>
        </w:rPr>
        <w:t>内部监督</w:t>
      </w:r>
      <w:r>
        <w:rPr>
          <w:rFonts w:ascii="仿宋_GB2312" w:eastAsia="仿宋_GB2312"/>
          <w:b/>
          <w:bCs/>
          <w:sz w:val="32"/>
          <w:szCs w:val="32"/>
        </w:rPr>
        <w:t>。</w:t>
      </w:r>
      <w:r>
        <w:rPr>
          <w:rFonts w:hint="eastAsia" w:ascii="仿宋_GB2312" w:eastAsia="仿宋_GB2312"/>
          <w:sz w:val="32"/>
          <w:szCs w:val="32"/>
        </w:rPr>
        <w:t>加强内部</w:t>
      </w:r>
      <w:r>
        <w:rPr>
          <w:rFonts w:ascii="仿宋_GB2312" w:eastAsia="仿宋_GB2312"/>
          <w:sz w:val="32"/>
          <w:szCs w:val="32"/>
        </w:rPr>
        <w:t>监督制度建设，对绩效运行情况、重大</w:t>
      </w:r>
      <w:r>
        <w:rPr>
          <w:rFonts w:hint="eastAsia" w:ascii="仿宋_GB2312" w:eastAsia="仿宋_GB2312"/>
          <w:sz w:val="32"/>
          <w:szCs w:val="32"/>
        </w:rPr>
        <w:t>支出</w:t>
      </w:r>
      <w:r>
        <w:rPr>
          <w:rFonts w:ascii="仿宋_GB2312" w:eastAsia="仿宋_GB2312"/>
          <w:sz w:val="32"/>
          <w:szCs w:val="32"/>
        </w:rPr>
        <w:t>决策、资产处置及</w:t>
      </w:r>
      <w:r>
        <w:rPr>
          <w:rFonts w:hint="eastAsia" w:ascii="仿宋_GB2312" w:eastAsia="仿宋_GB2312"/>
          <w:sz w:val="32"/>
          <w:szCs w:val="32"/>
        </w:rPr>
        <w:t>其他</w:t>
      </w:r>
      <w:r>
        <w:rPr>
          <w:rFonts w:ascii="仿宋_GB2312" w:eastAsia="仿宋_GB2312"/>
          <w:sz w:val="32"/>
          <w:szCs w:val="32"/>
        </w:rPr>
        <w:t>重要经济业务事项的决策和执行进行督导，对会计资料</w:t>
      </w:r>
      <w:r>
        <w:rPr>
          <w:rFonts w:hint="eastAsia" w:ascii="仿宋_GB2312" w:eastAsia="仿宋_GB2312"/>
          <w:sz w:val="32"/>
          <w:szCs w:val="32"/>
        </w:rPr>
        <w:t>进行内部审计</w:t>
      </w:r>
      <w:r>
        <w:rPr>
          <w:rFonts w:ascii="仿宋_GB2312" w:eastAsia="仿宋_GB2312"/>
          <w:sz w:val="32"/>
          <w:szCs w:val="32"/>
        </w:rPr>
        <w:t>，并配合好审计、财政监督等外部</w:t>
      </w:r>
      <w:r>
        <w:rPr>
          <w:rFonts w:hint="eastAsia" w:ascii="仿宋_GB2312" w:eastAsia="仿宋_GB2312"/>
          <w:sz w:val="32"/>
          <w:szCs w:val="32"/>
        </w:rPr>
        <w:t>监督</w:t>
      </w:r>
      <w:r>
        <w:rPr>
          <w:rFonts w:ascii="仿宋_GB2312" w:eastAsia="仿宋_GB2312"/>
          <w:sz w:val="32"/>
          <w:szCs w:val="32"/>
        </w:rPr>
        <w:t>工作，</w:t>
      </w:r>
      <w:r>
        <w:rPr>
          <w:rFonts w:hint="eastAsia" w:ascii="仿宋_GB2312" w:eastAsia="仿宋_GB2312"/>
          <w:sz w:val="32"/>
          <w:szCs w:val="32"/>
        </w:rPr>
        <w:t>确保</w:t>
      </w:r>
      <w:r>
        <w:rPr>
          <w:rFonts w:ascii="仿宋_GB2312" w:eastAsia="仿宋_GB2312"/>
          <w:sz w:val="32"/>
          <w:szCs w:val="32"/>
        </w:rPr>
        <w:t>财政资金安全有效</w:t>
      </w:r>
      <w:r>
        <w:rPr>
          <w:rFonts w:hint="eastAsia" w:ascii="仿宋_GB2312" w:eastAsia="仿宋_GB2312"/>
          <w:sz w:val="32"/>
          <w:szCs w:val="32"/>
        </w:rPr>
        <w:t>。</w:t>
      </w:r>
    </w:p>
    <w:p w14:paraId="23AC8C09">
      <w:pPr>
        <w:adjustRightInd w:val="0"/>
        <w:snapToGrid w:val="0"/>
        <w:spacing w:line="540" w:lineRule="exact"/>
        <w:ind w:firstLine="643" w:firstLineChars="200"/>
        <w:jc w:val="left"/>
        <w:rPr>
          <w:rFonts w:hint="default" w:eastAsia="楷体_GB2312"/>
          <w:lang w:val="en-US" w:eastAsia="zh-CN"/>
        </w:rPr>
      </w:pPr>
      <w:r>
        <w:rPr>
          <w:rFonts w:ascii="仿宋_GB2312" w:eastAsia="仿宋_GB2312"/>
          <w:b/>
          <w:bCs/>
          <w:sz w:val="32"/>
          <w:szCs w:val="32"/>
        </w:rPr>
        <w:t>加强宣传培训调研。</w:t>
      </w:r>
      <w:r>
        <w:rPr>
          <w:rFonts w:ascii="仿宋_GB2312" w:eastAsia="仿宋_GB2312"/>
          <w:sz w:val="32"/>
          <w:szCs w:val="32"/>
        </w:rPr>
        <w:t>深入推远人才培养</w:t>
      </w:r>
      <w:r>
        <w:rPr>
          <w:rFonts w:hint="eastAsia" w:ascii="仿宋_GB2312" w:eastAsia="仿宋_GB2312"/>
          <w:sz w:val="32"/>
          <w:szCs w:val="32"/>
        </w:rPr>
        <w:t>战</w:t>
      </w:r>
      <w:r>
        <w:rPr>
          <w:rFonts w:ascii="仿宋_GB2312" w:eastAsia="仿宋_GB2312"/>
          <w:sz w:val="32"/>
          <w:szCs w:val="32"/>
        </w:rPr>
        <w:t>略，提高市委统战业务素质；</w:t>
      </w:r>
      <w:r>
        <w:rPr>
          <w:rFonts w:hint="eastAsia" w:ascii="仿宋_GB2312" w:eastAsia="仿宋_GB2312"/>
          <w:sz w:val="32"/>
          <w:szCs w:val="32"/>
        </w:rPr>
        <w:t>加强调研，</w:t>
      </w:r>
      <w:r>
        <w:rPr>
          <w:rFonts w:ascii="仿宋_GB2312" w:eastAsia="仿宋_GB2312"/>
          <w:sz w:val="32"/>
          <w:szCs w:val="32"/>
        </w:rPr>
        <w:t>提出</w:t>
      </w:r>
      <w:r>
        <w:rPr>
          <w:rFonts w:hint="eastAsia" w:ascii="仿宋_GB2312" w:eastAsia="仿宋_GB2312"/>
          <w:sz w:val="32"/>
          <w:szCs w:val="32"/>
        </w:rPr>
        <w:t>优化</w:t>
      </w:r>
      <w:r>
        <w:rPr>
          <w:rFonts w:ascii="仿宋_GB2312" w:eastAsia="仿宋_GB2312"/>
          <w:sz w:val="32"/>
          <w:szCs w:val="32"/>
        </w:rPr>
        <w:t>财政资金配置、提高</w:t>
      </w:r>
      <w:r>
        <w:rPr>
          <w:rFonts w:hint="eastAsia" w:ascii="仿宋_GB2312" w:eastAsia="仿宋_GB2312"/>
          <w:sz w:val="32"/>
          <w:szCs w:val="32"/>
        </w:rPr>
        <w:t>资金使用</w:t>
      </w:r>
      <w:r>
        <w:rPr>
          <w:rFonts w:ascii="仿宋_GB2312" w:eastAsia="仿宋_GB2312"/>
          <w:sz w:val="32"/>
          <w:szCs w:val="32"/>
        </w:rPr>
        <w:t>效益的意见</w:t>
      </w:r>
      <w:r>
        <w:rPr>
          <w:rFonts w:hint="eastAsia" w:ascii="仿宋_GB2312" w:eastAsia="仿宋_GB2312"/>
          <w:sz w:val="32"/>
          <w:szCs w:val="32"/>
        </w:rPr>
        <w:t>；</w:t>
      </w:r>
      <w:r>
        <w:rPr>
          <w:rFonts w:ascii="仿宋_GB2312" w:eastAsia="仿宋_GB2312"/>
          <w:sz w:val="32"/>
          <w:szCs w:val="32"/>
        </w:rPr>
        <w:t>加大</w:t>
      </w:r>
      <w:r>
        <w:rPr>
          <w:rFonts w:hint="eastAsia" w:ascii="仿宋_GB2312" w:eastAsia="仿宋_GB2312"/>
          <w:sz w:val="32"/>
          <w:szCs w:val="32"/>
        </w:rPr>
        <w:t>宣</w:t>
      </w:r>
      <w:r>
        <w:rPr>
          <w:rFonts w:ascii="仿宋_GB2312" w:eastAsia="仿宋_GB2312"/>
          <w:sz w:val="32"/>
          <w:szCs w:val="32"/>
        </w:rPr>
        <w:t>传力度，</w:t>
      </w:r>
      <w:r>
        <w:rPr>
          <w:rFonts w:hint="eastAsia" w:ascii="仿宋_GB2312" w:eastAsia="仿宋_GB2312"/>
          <w:sz w:val="32"/>
          <w:szCs w:val="32"/>
        </w:rPr>
        <w:t>强</w:t>
      </w:r>
      <w:r>
        <w:rPr>
          <w:rFonts w:ascii="仿宋_GB2312" w:eastAsia="仿宋_GB2312"/>
          <w:sz w:val="32"/>
          <w:szCs w:val="32"/>
        </w:rPr>
        <w:t>化预算</w:t>
      </w:r>
      <w:r>
        <w:rPr>
          <w:rFonts w:hint="eastAsia" w:ascii="仿宋_GB2312" w:eastAsia="仿宋_GB2312"/>
          <w:sz w:val="32"/>
          <w:szCs w:val="32"/>
        </w:rPr>
        <w:t>绩效</w:t>
      </w:r>
      <w:r>
        <w:rPr>
          <w:rFonts w:ascii="仿宋_GB2312" w:eastAsia="仿宋_GB2312"/>
          <w:sz w:val="32"/>
          <w:szCs w:val="32"/>
        </w:rPr>
        <w:t>管理意识，促进预算绩效管理水平进一步提升。</w:t>
      </w:r>
    </w:p>
    <w:p w14:paraId="532586E4">
      <w:pPr>
        <w:overflowPunct w:val="0"/>
        <w:adjustRightInd w:val="0"/>
        <w:snapToGrid w:val="0"/>
        <w:spacing w:after="156" w:afterLines="50" w:line="580" w:lineRule="exact"/>
        <w:ind w:firstLine="630" w:firstLineChars="196"/>
        <w:jc w:val="left"/>
        <w:rPr>
          <w:rFonts w:ascii="楷体_GB2312" w:eastAsia="楷体_GB2312" w:cs="Times New Roman"/>
          <w:b/>
          <w:sz w:val="32"/>
          <w:szCs w:val="32"/>
        </w:rPr>
      </w:pPr>
      <w:r>
        <w:rPr>
          <w:rFonts w:hint="eastAsia" w:ascii="楷体_GB2312" w:eastAsia="楷体_GB2312" w:cs="Times New Roman"/>
          <w:b/>
          <w:sz w:val="32"/>
          <w:szCs w:val="32"/>
        </w:rPr>
        <w:t>（四）部门整体支出绩效指标</w:t>
      </w:r>
    </w:p>
    <w:tbl>
      <w:tblPr>
        <w:tblStyle w:val="9"/>
        <w:tblW w:w="8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558"/>
        <w:gridCol w:w="825"/>
        <w:gridCol w:w="897"/>
        <w:gridCol w:w="2172"/>
        <w:gridCol w:w="1483"/>
        <w:gridCol w:w="543"/>
        <w:gridCol w:w="488"/>
        <w:gridCol w:w="573"/>
        <w:gridCol w:w="1277"/>
      </w:tblGrid>
      <w:tr w14:paraId="52B25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26" w:hRule="atLeast"/>
          <w:tblHeader/>
          <w:jc w:val="center"/>
        </w:trPr>
        <w:tc>
          <w:tcPr>
            <w:tcW w:w="558" w:type="dxa"/>
            <w:vMerge w:val="restart"/>
            <w:tcBorders>
              <w:tl2br w:val="nil"/>
              <w:tr2bl w:val="nil"/>
            </w:tcBorders>
            <w:vAlign w:val="center"/>
          </w:tcPr>
          <w:p w14:paraId="1D695908">
            <w:pPr>
              <w:widowControl/>
              <w:adjustRightInd w:val="0"/>
              <w:snapToGrid w:val="0"/>
              <w:jc w:val="center"/>
              <w:rPr>
                <w:rFonts w:ascii="方正书宋_GBK" w:eastAsia="方正书宋_GBK"/>
                <w:b/>
              </w:rPr>
            </w:pPr>
            <w:r>
              <w:rPr>
                <w:rFonts w:ascii="方正书宋_GBK" w:eastAsia="方正书宋_GBK"/>
                <w:b/>
              </w:rPr>
              <w:t>一级指标</w:t>
            </w:r>
          </w:p>
        </w:tc>
        <w:tc>
          <w:tcPr>
            <w:tcW w:w="825" w:type="dxa"/>
            <w:vMerge w:val="restart"/>
            <w:tcBorders>
              <w:tl2br w:val="nil"/>
              <w:tr2bl w:val="nil"/>
            </w:tcBorders>
            <w:vAlign w:val="center"/>
          </w:tcPr>
          <w:p w14:paraId="5980D097">
            <w:pPr>
              <w:widowControl/>
              <w:adjustRightInd w:val="0"/>
              <w:snapToGrid w:val="0"/>
              <w:jc w:val="center"/>
              <w:rPr>
                <w:rFonts w:ascii="方正书宋_GBK" w:eastAsia="方正书宋_GBK"/>
                <w:b/>
              </w:rPr>
            </w:pPr>
            <w:r>
              <w:rPr>
                <w:rFonts w:ascii="方正书宋_GBK" w:eastAsia="方正书宋_GBK"/>
                <w:b/>
              </w:rPr>
              <w:t>二级</w:t>
            </w:r>
          </w:p>
          <w:p w14:paraId="084E0D8D">
            <w:pPr>
              <w:widowControl/>
              <w:adjustRightInd w:val="0"/>
              <w:snapToGrid w:val="0"/>
              <w:jc w:val="center"/>
              <w:rPr>
                <w:rFonts w:ascii="方正书宋_GBK" w:eastAsia="方正书宋_GBK"/>
                <w:b/>
              </w:rPr>
            </w:pPr>
            <w:r>
              <w:rPr>
                <w:rFonts w:ascii="方正书宋_GBK" w:eastAsia="方正书宋_GBK"/>
                <w:b/>
              </w:rPr>
              <w:t>指标</w:t>
            </w:r>
          </w:p>
        </w:tc>
        <w:tc>
          <w:tcPr>
            <w:tcW w:w="897" w:type="dxa"/>
            <w:vMerge w:val="restart"/>
            <w:tcBorders>
              <w:tl2br w:val="nil"/>
              <w:tr2bl w:val="nil"/>
            </w:tcBorders>
            <w:vAlign w:val="center"/>
          </w:tcPr>
          <w:p w14:paraId="134A4B75">
            <w:pPr>
              <w:widowControl/>
              <w:adjustRightInd w:val="0"/>
              <w:snapToGrid w:val="0"/>
              <w:jc w:val="center"/>
              <w:rPr>
                <w:rFonts w:ascii="方正书宋_GBK" w:eastAsia="方正书宋_GBK"/>
                <w:b/>
              </w:rPr>
            </w:pPr>
            <w:r>
              <w:rPr>
                <w:rFonts w:ascii="方正书宋_GBK" w:eastAsia="方正书宋_GBK"/>
                <w:b/>
              </w:rPr>
              <w:t>三级</w:t>
            </w:r>
          </w:p>
          <w:p w14:paraId="137276E9">
            <w:pPr>
              <w:widowControl/>
              <w:adjustRightInd w:val="0"/>
              <w:snapToGrid w:val="0"/>
              <w:jc w:val="center"/>
              <w:rPr>
                <w:rFonts w:ascii="方正书宋_GBK" w:eastAsia="方正书宋_GBK"/>
                <w:b/>
              </w:rPr>
            </w:pPr>
            <w:r>
              <w:rPr>
                <w:rFonts w:ascii="方正书宋_GBK" w:eastAsia="方正书宋_GBK"/>
                <w:b/>
              </w:rPr>
              <w:t>指标</w:t>
            </w:r>
          </w:p>
        </w:tc>
        <w:tc>
          <w:tcPr>
            <w:tcW w:w="2172" w:type="dxa"/>
            <w:vMerge w:val="restart"/>
            <w:tcBorders>
              <w:tl2br w:val="nil"/>
              <w:tr2bl w:val="nil"/>
            </w:tcBorders>
            <w:vAlign w:val="center"/>
          </w:tcPr>
          <w:p w14:paraId="137FB12F">
            <w:pPr>
              <w:widowControl/>
              <w:adjustRightInd w:val="0"/>
              <w:snapToGrid w:val="0"/>
              <w:jc w:val="center"/>
              <w:rPr>
                <w:rFonts w:ascii="方正书宋_GBK" w:eastAsia="方正书宋_GBK"/>
                <w:b/>
              </w:rPr>
            </w:pPr>
            <w:r>
              <w:rPr>
                <w:rFonts w:ascii="方正书宋_GBK" w:eastAsia="方正书宋_GBK"/>
                <w:b/>
              </w:rPr>
              <w:t>评（扣）分标准</w:t>
            </w:r>
          </w:p>
        </w:tc>
        <w:tc>
          <w:tcPr>
            <w:tcW w:w="1483" w:type="dxa"/>
            <w:vMerge w:val="restart"/>
            <w:tcBorders>
              <w:tl2br w:val="nil"/>
              <w:tr2bl w:val="nil"/>
            </w:tcBorders>
            <w:vAlign w:val="center"/>
          </w:tcPr>
          <w:p w14:paraId="35C611E2">
            <w:pPr>
              <w:widowControl/>
              <w:adjustRightInd w:val="0"/>
              <w:snapToGrid w:val="0"/>
              <w:jc w:val="center"/>
              <w:rPr>
                <w:rFonts w:ascii="方正书宋_GBK" w:eastAsia="方正书宋_GBK"/>
                <w:b/>
              </w:rPr>
            </w:pPr>
            <w:r>
              <w:rPr>
                <w:rFonts w:ascii="方正书宋_GBK" w:eastAsia="方正书宋_GBK"/>
                <w:b/>
              </w:rPr>
              <w:t>绩效指标</w:t>
            </w:r>
          </w:p>
          <w:p w14:paraId="7ED72A1C">
            <w:pPr>
              <w:widowControl/>
              <w:adjustRightInd w:val="0"/>
              <w:snapToGrid w:val="0"/>
              <w:jc w:val="center"/>
              <w:rPr>
                <w:rFonts w:ascii="方正书宋_GBK" w:eastAsia="方正书宋_GBK"/>
                <w:b/>
              </w:rPr>
            </w:pPr>
            <w:r>
              <w:rPr>
                <w:rFonts w:ascii="方正书宋_GBK" w:eastAsia="方正书宋_GBK"/>
                <w:b/>
              </w:rPr>
              <w:t>描述</w:t>
            </w:r>
          </w:p>
        </w:tc>
        <w:tc>
          <w:tcPr>
            <w:tcW w:w="1604" w:type="dxa"/>
            <w:gridSpan w:val="3"/>
            <w:tcBorders>
              <w:tl2br w:val="nil"/>
              <w:tr2bl w:val="nil"/>
            </w:tcBorders>
            <w:vAlign w:val="center"/>
          </w:tcPr>
          <w:p w14:paraId="52B4C6F2">
            <w:pPr>
              <w:widowControl/>
              <w:adjustRightInd w:val="0"/>
              <w:snapToGrid w:val="0"/>
              <w:jc w:val="center"/>
              <w:rPr>
                <w:rFonts w:ascii="方正书宋_GBK" w:eastAsia="方正书宋_GBK"/>
                <w:b/>
              </w:rPr>
            </w:pPr>
            <w:r>
              <w:rPr>
                <w:rFonts w:ascii="方正书宋_GBK" w:eastAsia="方正书宋_GBK"/>
                <w:b/>
              </w:rPr>
              <w:t>指标值</w:t>
            </w:r>
          </w:p>
        </w:tc>
        <w:tc>
          <w:tcPr>
            <w:tcW w:w="1277" w:type="dxa"/>
            <w:vMerge w:val="restart"/>
            <w:tcBorders>
              <w:tl2br w:val="nil"/>
              <w:tr2bl w:val="nil"/>
            </w:tcBorders>
            <w:vAlign w:val="center"/>
          </w:tcPr>
          <w:p w14:paraId="4B7F0CCD">
            <w:pPr>
              <w:widowControl/>
              <w:adjustRightInd w:val="0"/>
              <w:snapToGrid w:val="0"/>
              <w:jc w:val="center"/>
              <w:rPr>
                <w:rFonts w:ascii="方正书宋_GBK" w:eastAsia="方正书宋_GBK"/>
                <w:b/>
              </w:rPr>
            </w:pPr>
            <w:r>
              <w:rPr>
                <w:rFonts w:ascii="方正书宋_GBK" w:eastAsia="方正书宋_GBK"/>
                <w:b/>
              </w:rPr>
              <w:t>指标值</w:t>
            </w:r>
          </w:p>
          <w:p w14:paraId="09C6D01D">
            <w:pPr>
              <w:widowControl/>
              <w:adjustRightInd w:val="0"/>
              <w:snapToGrid w:val="0"/>
              <w:jc w:val="center"/>
              <w:rPr>
                <w:rFonts w:ascii="方正书宋_GBK" w:eastAsia="方正书宋_GBK"/>
                <w:b/>
              </w:rPr>
            </w:pPr>
            <w:r>
              <w:rPr>
                <w:rFonts w:ascii="方正书宋_GBK" w:eastAsia="方正书宋_GBK"/>
                <w:b/>
              </w:rPr>
              <w:t>确定依据</w:t>
            </w:r>
          </w:p>
        </w:tc>
      </w:tr>
      <w:tr w14:paraId="0EA20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33" w:hRule="atLeast"/>
          <w:tblHeader/>
          <w:jc w:val="center"/>
        </w:trPr>
        <w:tc>
          <w:tcPr>
            <w:tcW w:w="558" w:type="dxa"/>
            <w:vMerge w:val="continue"/>
            <w:tcBorders>
              <w:tl2br w:val="nil"/>
              <w:tr2bl w:val="nil"/>
            </w:tcBorders>
            <w:vAlign w:val="center"/>
          </w:tcPr>
          <w:p w14:paraId="3B03660E"/>
        </w:tc>
        <w:tc>
          <w:tcPr>
            <w:tcW w:w="825" w:type="dxa"/>
            <w:vMerge w:val="continue"/>
            <w:tcBorders>
              <w:tl2br w:val="nil"/>
              <w:tr2bl w:val="nil"/>
            </w:tcBorders>
            <w:vAlign w:val="center"/>
          </w:tcPr>
          <w:p w14:paraId="5969685E"/>
        </w:tc>
        <w:tc>
          <w:tcPr>
            <w:tcW w:w="897" w:type="dxa"/>
            <w:vMerge w:val="continue"/>
            <w:tcBorders>
              <w:tl2br w:val="nil"/>
              <w:tr2bl w:val="nil"/>
            </w:tcBorders>
            <w:vAlign w:val="center"/>
          </w:tcPr>
          <w:p w14:paraId="680542C9"/>
        </w:tc>
        <w:tc>
          <w:tcPr>
            <w:tcW w:w="2172" w:type="dxa"/>
            <w:vMerge w:val="continue"/>
            <w:tcBorders>
              <w:tl2br w:val="nil"/>
              <w:tr2bl w:val="nil"/>
            </w:tcBorders>
            <w:vAlign w:val="center"/>
          </w:tcPr>
          <w:p w14:paraId="25863B62"/>
        </w:tc>
        <w:tc>
          <w:tcPr>
            <w:tcW w:w="1483" w:type="dxa"/>
            <w:vMerge w:val="continue"/>
            <w:tcBorders>
              <w:tl2br w:val="nil"/>
              <w:tr2bl w:val="nil"/>
            </w:tcBorders>
            <w:vAlign w:val="center"/>
          </w:tcPr>
          <w:p w14:paraId="036B349D"/>
        </w:tc>
        <w:tc>
          <w:tcPr>
            <w:tcW w:w="543" w:type="dxa"/>
            <w:tcBorders>
              <w:tl2br w:val="nil"/>
              <w:tr2bl w:val="nil"/>
            </w:tcBorders>
            <w:vAlign w:val="center"/>
          </w:tcPr>
          <w:p w14:paraId="423BD1D2">
            <w:pPr>
              <w:widowControl/>
              <w:adjustRightInd w:val="0"/>
              <w:snapToGrid w:val="0"/>
              <w:jc w:val="center"/>
              <w:rPr>
                <w:rFonts w:ascii="方正书宋_GBK" w:eastAsia="方正书宋_GBK"/>
                <w:b/>
              </w:rPr>
            </w:pPr>
            <w:r>
              <w:rPr>
                <w:rFonts w:ascii="方正书宋_GBK" w:eastAsia="方正书宋_GBK"/>
                <w:b/>
              </w:rPr>
              <w:t>符号</w:t>
            </w:r>
          </w:p>
        </w:tc>
        <w:tc>
          <w:tcPr>
            <w:tcW w:w="488" w:type="dxa"/>
            <w:tcBorders>
              <w:tl2br w:val="nil"/>
              <w:tr2bl w:val="nil"/>
            </w:tcBorders>
            <w:vAlign w:val="center"/>
          </w:tcPr>
          <w:p w14:paraId="30BFB877">
            <w:pPr>
              <w:widowControl/>
              <w:adjustRightInd w:val="0"/>
              <w:snapToGrid w:val="0"/>
              <w:jc w:val="center"/>
              <w:rPr>
                <w:rFonts w:ascii="方正书宋_GBK" w:eastAsia="方正书宋_GBK"/>
                <w:b/>
              </w:rPr>
            </w:pPr>
            <w:r>
              <w:rPr>
                <w:rFonts w:ascii="方正书宋_GBK" w:eastAsia="方正书宋_GBK"/>
                <w:b/>
              </w:rPr>
              <w:t>值</w:t>
            </w:r>
          </w:p>
        </w:tc>
        <w:tc>
          <w:tcPr>
            <w:tcW w:w="573" w:type="dxa"/>
            <w:tcBorders>
              <w:tl2br w:val="nil"/>
              <w:tr2bl w:val="nil"/>
            </w:tcBorders>
            <w:vAlign w:val="center"/>
          </w:tcPr>
          <w:p w14:paraId="4E8835C3">
            <w:pPr>
              <w:widowControl/>
              <w:adjustRightInd w:val="0"/>
              <w:snapToGrid w:val="0"/>
              <w:jc w:val="center"/>
              <w:rPr>
                <w:rFonts w:ascii="方正书宋_GBK" w:eastAsia="方正书宋_GBK"/>
                <w:b/>
              </w:rPr>
            </w:pPr>
            <w:r>
              <w:rPr>
                <w:rFonts w:ascii="方正书宋_GBK" w:eastAsia="方正书宋_GBK"/>
                <w:b/>
              </w:rPr>
              <w:t>单位</w:t>
            </w:r>
          </w:p>
        </w:tc>
        <w:tc>
          <w:tcPr>
            <w:tcW w:w="1277" w:type="dxa"/>
            <w:vMerge w:val="continue"/>
            <w:tcBorders>
              <w:tl2br w:val="nil"/>
              <w:tr2bl w:val="nil"/>
            </w:tcBorders>
            <w:vAlign w:val="center"/>
          </w:tcPr>
          <w:p w14:paraId="1383D678"/>
        </w:tc>
      </w:tr>
      <w:tr w14:paraId="4C9B6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94" w:hRule="atLeast"/>
          <w:jc w:val="center"/>
        </w:trPr>
        <w:tc>
          <w:tcPr>
            <w:tcW w:w="558" w:type="dxa"/>
            <w:vMerge w:val="restart"/>
            <w:tcBorders>
              <w:tl2br w:val="nil"/>
              <w:tr2bl w:val="nil"/>
            </w:tcBorders>
            <w:vAlign w:val="center"/>
          </w:tcPr>
          <w:p w14:paraId="69AD8E88">
            <w:pPr>
              <w:widowControl/>
              <w:adjustRightInd w:val="0"/>
              <w:snapToGrid w:val="0"/>
              <w:jc w:val="center"/>
              <w:rPr>
                <w:rFonts w:ascii="方正书宋_GBK" w:eastAsia="方正书宋_GBK"/>
              </w:rPr>
            </w:pPr>
            <w:r>
              <w:rPr>
                <w:rFonts w:ascii="方正书宋_GBK" w:eastAsia="方正书宋_GBK"/>
              </w:rPr>
              <w:t>部门产出</w:t>
            </w:r>
          </w:p>
        </w:tc>
        <w:tc>
          <w:tcPr>
            <w:tcW w:w="825" w:type="dxa"/>
            <w:vMerge w:val="restart"/>
            <w:tcBorders>
              <w:tl2br w:val="nil"/>
              <w:tr2bl w:val="nil"/>
            </w:tcBorders>
            <w:vAlign w:val="center"/>
          </w:tcPr>
          <w:p w14:paraId="41949FFF">
            <w:pPr>
              <w:widowControl/>
              <w:adjustRightInd w:val="0"/>
              <w:snapToGrid w:val="0"/>
              <w:jc w:val="center"/>
              <w:rPr>
                <w:rFonts w:ascii="方正书宋_GBK" w:eastAsia="方正书宋_GBK"/>
              </w:rPr>
            </w:pPr>
            <w:r>
              <w:rPr>
                <w:rFonts w:ascii="方正书宋_GBK" w:eastAsia="方正书宋_GBK"/>
              </w:rPr>
              <w:t>数量</w:t>
            </w:r>
          </w:p>
        </w:tc>
        <w:tc>
          <w:tcPr>
            <w:tcW w:w="897" w:type="dxa"/>
            <w:tcBorders>
              <w:tl2br w:val="nil"/>
              <w:tr2bl w:val="nil"/>
            </w:tcBorders>
            <w:vAlign w:val="center"/>
          </w:tcPr>
          <w:p w14:paraId="39418A9E">
            <w:pPr>
              <w:overflowPunct w:val="0"/>
              <w:adjustRightInd w:val="0"/>
              <w:snapToGrid w:val="0"/>
              <w:jc w:val="center"/>
              <w:rPr>
                <w:rFonts w:eastAsia="仿宋_GB2312"/>
                <w:kern w:val="0"/>
                <w:sz w:val="18"/>
                <w:szCs w:val="18"/>
              </w:rPr>
            </w:pPr>
            <w:r>
              <w:rPr>
                <w:rFonts w:hint="eastAsia" w:eastAsia="仿宋_GB2312"/>
                <w:kern w:val="0"/>
                <w:sz w:val="18"/>
                <w:szCs w:val="18"/>
              </w:rPr>
              <w:t>会议</w:t>
            </w:r>
          </w:p>
          <w:p w14:paraId="0A257458">
            <w:pPr>
              <w:overflowPunct w:val="0"/>
              <w:adjustRightInd w:val="0"/>
              <w:snapToGrid w:val="0"/>
              <w:jc w:val="center"/>
              <w:rPr>
                <w:rFonts w:ascii="方正书宋_GBK" w:eastAsia="方正书宋_GBK"/>
              </w:rPr>
            </w:pPr>
            <w:r>
              <w:rPr>
                <w:rFonts w:hint="eastAsia" w:eastAsia="仿宋_GB2312"/>
                <w:kern w:val="0"/>
                <w:sz w:val="18"/>
                <w:szCs w:val="18"/>
              </w:rPr>
              <w:t>、调研活动次数</w:t>
            </w:r>
          </w:p>
        </w:tc>
        <w:tc>
          <w:tcPr>
            <w:tcW w:w="2172" w:type="dxa"/>
            <w:tcBorders>
              <w:tl2br w:val="nil"/>
              <w:tr2bl w:val="nil"/>
            </w:tcBorders>
            <w:vAlign w:val="center"/>
          </w:tcPr>
          <w:p w14:paraId="4DE234CC">
            <w:pPr>
              <w:overflowPunct w:val="0"/>
              <w:adjustRightInd w:val="0"/>
              <w:snapToGrid w:val="0"/>
              <w:jc w:val="left"/>
              <w:rPr>
                <w:rFonts w:hint="eastAsia" w:eastAsia="仿宋_GB2312"/>
                <w:kern w:val="0"/>
                <w:sz w:val="18"/>
                <w:szCs w:val="18"/>
              </w:rPr>
            </w:pPr>
            <w:r>
              <w:rPr>
                <w:rFonts w:hint="eastAsia" w:eastAsia="仿宋_GB2312"/>
                <w:kern w:val="0"/>
                <w:sz w:val="18"/>
                <w:szCs w:val="18"/>
              </w:rPr>
              <w:t>座谈会、调研活动次数≥5次得满分，每降低1次扣除权重分值20%，扣完为止。</w:t>
            </w:r>
          </w:p>
        </w:tc>
        <w:tc>
          <w:tcPr>
            <w:tcW w:w="1483" w:type="dxa"/>
            <w:tcBorders>
              <w:tl2br w:val="nil"/>
              <w:tr2bl w:val="nil"/>
            </w:tcBorders>
            <w:vAlign w:val="center"/>
          </w:tcPr>
          <w:p w14:paraId="12A286C9">
            <w:pPr>
              <w:overflowPunct w:val="0"/>
              <w:adjustRightInd w:val="0"/>
              <w:snapToGrid w:val="0"/>
              <w:jc w:val="left"/>
              <w:rPr>
                <w:rFonts w:ascii="方正书宋_GBK" w:eastAsia="方正书宋_GBK"/>
              </w:rPr>
            </w:pPr>
            <w:r>
              <w:rPr>
                <w:rFonts w:hint="eastAsia" w:eastAsia="仿宋_GB2312"/>
                <w:kern w:val="0"/>
                <w:sz w:val="18"/>
                <w:szCs w:val="18"/>
              </w:rPr>
              <w:t>座谈会、调研活动次数要求</w:t>
            </w:r>
          </w:p>
        </w:tc>
        <w:tc>
          <w:tcPr>
            <w:tcW w:w="543" w:type="dxa"/>
            <w:tcBorders>
              <w:tl2br w:val="nil"/>
              <w:tr2bl w:val="nil"/>
            </w:tcBorders>
            <w:vAlign w:val="top"/>
          </w:tcPr>
          <w:p w14:paraId="289DC5FC">
            <w:pPr>
              <w:overflowPunct w:val="0"/>
              <w:adjustRightInd w:val="0"/>
              <w:snapToGrid w:val="0"/>
              <w:jc w:val="center"/>
              <w:rPr>
                <w:rFonts w:ascii="方正书宋_GBK" w:eastAsia="方正书宋_GBK"/>
              </w:rPr>
            </w:pPr>
            <w:r>
              <w:rPr>
                <w:rFonts w:hint="eastAsia" w:eastAsia="仿宋_GB2312"/>
                <w:kern w:val="0"/>
                <w:sz w:val="18"/>
                <w:szCs w:val="18"/>
              </w:rPr>
              <w:t>≥</w:t>
            </w:r>
          </w:p>
        </w:tc>
        <w:tc>
          <w:tcPr>
            <w:tcW w:w="488" w:type="dxa"/>
            <w:tcBorders>
              <w:tl2br w:val="nil"/>
              <w:tr2bl w:val="nil"/>
            </w:tcBorders>
            <w:vAlign w:val="top"/>
          </w:tcPr>
          <w:p w14:paraId="106D6760">
            <w:pPr>
              <w:overflowPunct w:val="0"/>
              <w:adjustRightInd w:val="0"/>
              <w:snapToGrid w:val="0"/>
              <w:jc w:val="center"/>
              <w:rPr>
                <w:rFonts w:ascii="方正书宋_GBK" w:eastAsia="方正书宋_GBK"/>
              </w:rPr>
            </w:pPr>
            <w:r>
              <w:rPr>
                <w:rFonts w:hint="eastAsia" w:eastAsia="仿宋_GB2312"/>
                <w:kern w:val="0"/>
                <w:sz w:val="18"/>
                <w:szCs w:val="18"/>
              </w:rPr>
              <w:t>5</w:t>
            </w:r>
          </w:p>
        </w:tc>
        <w:tc>
          <w:tcPr>
            <w:tcW w:w="573" w:type="dxa"/>
            <w:tcBorders>
              <w:tl2br w:val="nil"/>
              <w:tr2bl w:val="nil"/>
            </w:tcBorders>
            <w:vAlign w:val="top"/>
          </w:tcPr>
          <w:p w14:paraId="55EF23CA">
            <w:pPr>
              <w:overflowPunct w:val="0"/>
              <w:adjustRightInd w:val="0"/>
              <w:snapToGrid w:val="0"/>
              <w:jc w:val="center"/>
              <w:rPr>
                <w:rFonts w:ascii="方正书宋_GBK" w:eastAsia="方正书宋_GBK"/>
              </w:rPr>
            </w:pPr>
            <w:r>
              <w:rPr>
                <w:rFonts w:hint="eastAsia" w:eastAsia="仿宋_GB2312"/>
                <w:kern w:val="0"/>
                <w:sz w:val="18"/>
                <w:szCs w:val="18"/>
              </w:rPr>
              <w:t>次</w:t>
            </w:r>
          </w:p>
        </w:tc>
        <w:tc>
          <w:tcPr>
            <w:tcW w:w="1277" w:type="dxa"/>
            <w:tcBorders>
              <w:tl2br w:val="nil"/>
              <w:tr2bl w:val="nil"/>
            </w:tcBorders>
            <w:vAlign w:val="center"/>
          </w:tcPr>
          <w:p w14:paraId="5085E7DC">
            <w:pPr>
              <w:overflowPunct w:val="0"/>
              <w:adjustRightInd w:val="0"/>
              <w:snapToGrid w:val="0"/>
              <w:jc w:val="center"/>
              <w:rPr>
                <w:rFonts w:ascii="方正书宋_GBK" w:eastAsia="方正书宋_GBK"/>
              </w:rPr>
            </w:pPr>
            <w:r>
              <w:rPr>
                <w:rFonts w:hint="eastAsia" w:eastAsia="仿宋_GB2312"/>
                <w:kern w:val="0"/>
                <w:szCs w:val="21"/>
              </w:rPr>
              <w:t>工作要求</w:t>
            </w:r>
          </w:p>
        </w:tc>
      </w:tr>
      <w:tr w14:paraId="1E96C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94" w:hRule="atLeast"/>
          <w:jc w:val="center"/>
        </w:trPr>
        <w:tc>
          <w:tcPr>
            <w:tcW w:w="558" w:type="dxa"/>
            <w:vMerge w:val="continue"/>
            <w:tcBorders>
              <w:tl2br w:val="nil"/>
              <w:tr2bl w:val="nil"/>
            </w:tcBorders>
            <w:vAlign w:val="center"/>
          </w:tcPr>
          <w:p w14:paraId="6376CE64">
            <w:pPr>
              <w:widowControl/>
              <w:adjustRightInd w:val="0"/>
              <w:snapToGrid w:val="0"/>
              <w:jc w:val="center"/>
              <w:rPr>
                <w:rFonts w:ascii="方正书宋_GBK" w:eastAsia="方正书宋_GBK"/>
              </w:rPr>
            </w:pPr>
          </w:p>
        </w:tc>
        <w:tc>
          <w:tcPr>
            <w:tcW w:w="825" w:type="dxa"/>
            <w:vMerge w:val="continue"/>
            <w:tcBorders>
              <w:tl2br w:val="nil"/>
              <w:tr2bl w:val="nil"/>
            </w:tcBorders>
            <w:vAlign w:val="center"/>
          </w:tcPr>
          <w:p w14:paraId="68375344">
            <w:pPr>
              <w:widowControl/>
              <w:adjustRightInd w:val="0"/>
              <w:snapToGrid w:val="0"/>
              <w:jc w:val="center"/>
              <w:rPr>
                <w:rFonts w:ascii="方正书宋_GBK" w:eastAsia="方正书宋_GBK"/>
              </w:rPr>
            </w:pPr>
          </w:p>
        </w:tc>
        <w:tc>
          <w:tcPr>
            <w:tcW w:w="897" w:type="dxa"/>
            <w:tcBorders>
              <w:tl2br w:val="nil"/>
              <w:tr2bl w:val="nil"/>
            </w:tcBorders>
            <w:vAlign w:val="center"/>
          </w:tcPr>
          <w:p w14:paraId="5C8BD024">
            <w:pPr>
              <w:overflowPunct w:val="0"/>
              <w:adjustRightInd w:val="0"/>
              <w:snapToGrid w:val="0"/>
              <w:jc w:val="center"/>
              <w:rPr>
                <w:rFonts w:ascii="方正书宋_GBK" w:eastAsia="方正书宋_GBK"/>
              </w:rPr>
            </w:pPr>
            <w:r>
              <w:rPr>
                <w:rFonts w:hint="eastAsia" w:eastAsia="仿宋_GB2312"/>
                <w:kern w:val="0"/>
                <w:sz w:val="18"/>
                <w:szCs w:val="18"/>
              </w:rPr>
              <w:t>培训次数</w:t>
            </w:r>
          </w:p>
        </w:tc>
        <w:tc>
          <w:tcPr>
            <w:tcW w:w="2172" w:type="dxa"/>
            <w:tcBorders>
              <w:tl2br w:val="nil"/>
              <w:tr2bl w:val="nil"/>
            </w:tcBorders>
            <w:vAlign w:val="center"/>
          </w:tcPr>
          <w:p w14:paraId="55F97050">
            <w:pPr>
              <w:overflowPunct w:val="0"/>
              <w:adjustRightInd w:val="0"/>
              <w:snapToGrid w:val="0"/>
              <w:jc w:val="left"/>
              <w:rPr>
                <w:rFonts w:hint="eastAsia" w:eastAsia="仿宋_GB2312"/>
                <w:kern w:val="0"/>
                <w:sz w:val="18"/>
                <w:szCs w:val="18"/>
              </w:rPr>
            </w:pPr>
            <w:r>
              <w:rPr>
                <w:rFonts w:hint="eastAsia" w:eastAsia="仿宋_GB2312"/>
                <w:kern w:val="0"/>
                <w:sz w:val="18"/>
                <w:szCs w:val="18"/>
              </w:rPr>
              <w:t>培训次数≥6次得满分，每降低1次扣除权重分值20%，扣完为止。</w:t>
            </w:r>
          </w:p>
        </w:tc>
        <w:tc>
          <w:tcPr>
            <w:tcW w:w="1483" w:type="dxa"/>
            <w:tcBorders>
              <w:tl2br w:val="nil"/>
              <w:tr2bl w:val="nil"/>
            </w:tcBorders>
            <w:vAlign w:val="center"/>
          </w:tcPr>
          <w:p w14:paraId="490C5259">
            <w:pPr>
              <w:overflowPunct w:val="0"/>
              <w:adjustRightInd w:val="0"/>
              <w:snapToGrid w:val="0"/>
              <w:jc w:val="left"/>
              <w:rPr>
                <w:rFonts w:ascii="方正书宋_GBK" w:eastAsia="方正书宋_GBK"/>
              </w:rPr>
            </w:pPr>
            <w:r>
              <w:rPr>
                <w:rFonts w:eastAsia="仿宋_GB2312"/>
                <w:kern w:val="0"/>
                <w:sz w:val="18"/>
                <w:szCs w:val="18"/>
              </w:rPr>
              <w:t>　</w:t>
            </w:r>
            <w:r>
              <w:rPr>
                <w:rFonts w:hint="eastAsia" w:eastAsia="仿宋_GB2312"/>
                <w:kern w:val="0"/>
                <w:sz w:val="18"/>
                <w:szCs w:val="18"/>
              </w:rPr>
              <w:t>培训次数要求</w:t>
            </w:r>
          </w:p>
        </w:tc>
        <w:tc>
          <w:tcPr>
            <w:tcW w:w="543" w:type="dxa"/>
            <w:tcBorders>
              <w:tl2br w:val="nil"/>
              <w:tr2bl w:val="nil"/>
            </w:tcBorders>
            <w:vAlign w:val="top"/>
          </w:tcPr>
          <w:p w14:paraId="1AB78070">
            <w:pPr>
              <w:overflowPunct w:val="0"/>
              <w:adjustRightInd w:val="0"/>
              <w:snapToGrid w:val="0"/>
              <w:jc w:val="center"/>
              <w:rPr>
                <w:rFonts w:ascii="方正书宋_GBK" w:eastAsia="方正书宋_GBK"/>
              </w:rPr>
            </w:pPr>
            <w:r>
              <w:rPr>
                <w:rFonts w:hint="eastAsia" w:eastAsia="仿宋_GB2312"/>
                <w:kern w:val="0"/>
                <w:sz w:val="18"/>
                <w:szCs w:val="18"/>
              </w:rPr>
              <w:t>≥</w:t>
            </w:r>
          </w:p>
        </w:tc>
        <w:tc>
          <w:tcPr>
            <w:tcW w:w="488" w:type="dxa"/>
            <w:tcBorders>
              <w:tl2br w:val="nil"/>
              <w:tr2bl w:val="nil"/>
            </w:tcBorders>
            <w:vAlign w:val="top"/>
          </w:tcPr>
          <w:p w14:paraId="7938BF1D">
            <w:pPr>
              <w:overflowPunct w:val="0"/>
              <w:adjustRightInd w:val="0"/>
              <w:snapToGrid w:val="0"/>
              <w:jc w:val="center"/>
              <w:rPr>
                <w:rFonts w:ascii="方正书宋_GBK" w:eastAsia="方正书宋_GBK"/>
              </w:rPr>
            </w:pPr>
            <w:r>
              <w:rPr>
                <w:rFonts w:eastAsia="仿宋_GB2312"/>
                <w:kern w:val="0"/>
                <w:sz w:val="18"/>
                <w:szCs w:val="18"/>
              </w:rPr>
              <w:t>5</w:t>
            </w:r>
          </w:p>
        </w:tc>
        <w:tc>
          <w:tcPr>
            <w:tcW w:w="573" w:type="dxa"/>
            <w:tcBorders>
              <w:tl2br w:val="nil"/>
              <w:tr2bl w:val="nil"/>
            </w:tcBorders>
            <w:vAlign w:val="top"/>
          </w:tcPr>
          <w:p w14:paraId="40C94A42">
            <w:pPr>
              <w:overflowPunct w:val="0"/>
              <w:adjustRightInd w:val="0"/>
              <w:snapToGrid w:val="0"/>
              <w:jc w:val="center"/>
              <w:rPr>
                <w:rFonts w:ascii="方正书宋_GBK" w:eastAsia="方正书宋_GBK"/>
              </w:rPr>
            </w:pPr>
            <w:r>
              <w:rPr>
                <w:rFonts w:hint="eastAsia" w:eastAsia="仿宋_GB2312"/>
                <w:kern w:val="0"/>
                <w:sz w:val="18"/>
                <w:szCs w:val="18"/>
              </w:rPr>
              <w:t>次</w:t>
            </w:r>
          </w:p>
        </w:tc>
        <w:tc>
          <w:tcPr>
            <w:tcW w:w="1277" w:type="dxa"/>
            <w:tcBorders>
              <w:tl2br w:val="nil"/>
              <w:tr2bl w:val="nil"/>
            </w:tcBorders>
            <w:vAlign w:val="center"/>
          </w:tcPr>
          <w:p w14:paraId="22601BB8">
            <w:pPr>
              <w:overflowPunct w:val="0"/>
              <w:adjustRightInd w:val="0"/>
              <w:snapToGrid w:val="0"/>
              <w:jc w:val="center"/>
              <w:rPr>
                <w:rFonts w:ascii="方正书宋_GBK" w:eastAsia="方正书宋_GBK"/>
              </w:rPr>
            </w:pPr>
            <w:r>
              <w:rPr>
                <w:rFonts w:hint="eastAsia" w:eastAsia="仿宋_GB2312"/>
                <w:kern w:val="0"/>
                <w:szCs w:val="21"/>
              </w:rPr>
              <w:t>工作要求</w:t>
            </w:r>
          </w:p>
        </w:tc>
      </w:tr>
      <w:tr w14:paraId="34037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94" w:hRule="atLeast"/>
          <w:jc w:val="center"/>
        </w:trPr>
        <w:tc>
          <w:tcPr>
            <w:tcW w:w="558" w:type="dxa"/>
            <w:vMerge w:val="continue"/>
            <w:tcBorders>
              <w:tl2br w:val="nil"/>
              <w:tr2bl w:val="nil"/>
            </w:tcBorders>
            <w:vAlign w:val="center"/>
          </w:tcPr>
          <w:p w14:paraId="6673CF84">
            <w:pPr>
              <w:widowControl/>
              <w:adjustRightInd w:val="0"/>
              <w:snapToGrid w:val="0"/>
              <w:jc w:val="center"/>
              <w:rPr>
                <w:rFonts w:ascii="方正书宋_GBK" w:eastAsia="方正书宋_GBK"/>
              </w:rPr>
            </w:pPr>
          </w:p>
        </w:tc>
        <w:tc>
          <w:tcPr>
            <w:tcW w:w="825" w:type="dxa"/>
            <w:vMerge w:val="restart"/>
            <w:tcBorders>
              <w:tl2br w:val="nil"/>
              <w:tr2bl w:val="nil"/>
            </w:tcBorders>
            <w:vAlign w:val="center"/>
          </w:tcPr>
          <w:p w14:paraId="165A9AA7">
            <w:pPr>
              <w:widowControl/>
              <w:adjustRightInd w:val="0"/>
              <w:snapToGrid w:val="0"/>
              <w:jc w:val="center"/>
              <w:rPr>
                <w:rFonts w:ascii="方正书宋_GBK" w:eastAsia="方正书宋_GBK"/>
              </w:rPr>
            </w:pPr>
            <w:r>
              <w:rPr>
                <w:rFonts w:ascii="方正书宋_GBK" w:eastAsia="方正书宋_GBK"/>
              </w:rPr>
              <w:t>质量</w:t>
            </w:r>
          </w:p>
        </w:tc>
        <w:tc>
          <w:tcPr>
            <w:tcW w:w="897" w:type="dxa"/>
            <w:tcBorders>
              <w:tl2br w:val="nil"/>
              <w:tr2bl w:val="nil"/>
            </w:tcBorders>
            <w:vAlign w:val="center"/>
          </w:tcPr>
          <w:p w14:paraId="7631458D">
            <w:pPr>
              <w:overflowPunct w:val="0"/>
              <w:adjustRightInd w:val="0"/>
              <w:snapToGrid w:val="0"/>
              <w:jc w:val="center"/>
              <w:rPr>
                <w:rFonts w:ascii="方正书宋_GBK" w:eastAsia="方正书宋_GBK"/>
              </w:rPr>
            </w:pPr>
            <w:r>
              <w:rPr>
                <w:rFonts w:hint="eastAsia" w:eastAsia="仿宋_GB2312"/>
                <w:kern w:val="0"/>
                <w:szCs w:val="21"/>
              </w:rPr>
              <w:t>培训合格率</w:t>
            </w:r>
            <w:r>
              <w:rPr>
                <w:rFonts w:eastAsia="仿宋_GB2312"/>
                <w:kern w:val="0"/>
                <w:szCs w:val="21"/>
              </w:rPr>
              <w:t>　</w:t>
            </w:r>
          </w:p>
        </w:tc>
        <w:tc>
          <w:tcPr>
            <w:tcW w:w="2172" w:type="dxa"/>
            <w:tcBorders>
              <w:tl2br w:val="nil"/>
              <w:tr2bl w:val="nil"/>
            </w:tcBorders>
            <w:vAlign w:val="center"/>
          </w:tcPr>
          <w:p w14:paraId="61963804">
            <w:pPr>
              <w:overflowPunct w:val="0"/>
              <w:adjustRightInd w:val="0"/>
              <w:snapToGrid w:val="0"/>
              <w:jc w:val="left"/>
              <w:rPr>
                <w:rFonts w:hint="eastAsia" w:eastAsia="仿宋_GB2312"/>
                <w:kern w:val="0"/>
                <w:sz w:val="18"/>
                <w:szCs w:val="18"/>
              </w:rPr>
            </w:pPr>
            <w:r>
              <w:rPr>
                <w:rFonts w:hint="eastAsia" w:eastAsia="仿宋_GB2312"/>
                <w:kern w:val="0"/>
                <w:sz w:val="18"/>
                <w:szCs w:val="18"/>
              </w:rPr>
              <w:t>合格率≥95%得满分，每降低1%扣除权重分值10%，扣完为止。</w:t>
            </w:r>
          </w:p>
        </w:tc>
        <w:tc>
          <w:tcPr>
            <w:tcW w:w="1483" w:type="dxa"/>
            <w:tcBorders>
              <w:tl2br w:val="nil"/>
              <w:tr2bl w:val="nil"/>
            </w:tcBorders>
            <w:vAlign w:val="center"/>
          </w:tcPr>
          <w:p w14:paraId="52DF632D">
            <w:pPr>
              <w:overflowPunct w:val="0"/>
              <w:adjustRightInd w:val="0"/>
              <w:snapToGrid w:val="0"/>
              <w:jc w:val="left"/>
              <w:rPr>
                <w:rFonts w:ascii="方正书宋_GBK" w:eastAsia="方正书宋_GBK"/>
              </w:rPr>
            </w:pPr>
            <w:r>
              <w:rPr>
                <w:rFonts w:eastAsia="仿宋_GB2312"/>
                <w:kern w:val="0"/>
                <w:szCs w:val="21"/>
              </w:rPr>
              <w:t>　</w:t>
            </w:r>
            <w:r>
              <w:rPr>
                <w:rFonts w:hint="eastAsia" w:eastAsia="仿宋_GB2312"/>
                <w:kern w:val="0"/>
                <w:szCs w:val="21"/>
              </w:rPr>
              <w:t>培训工作合格情况</w:t>
            </w:r>
          </w:p>
        </w:tc>
        <w:tc>
          <w:tcPr>
            <w:tcW w:w="543" w:type="dxa"/>
            <w:tcBorders>
              <w:tl2br w:val="nil"/>
              <w:tr2bl w:val="nil"/>
            </w:tcBorders>
            <w:vAlign w:val="center"/>
          </w:tcPr>
          <w:p w14:paraId="22AC6523">
            <w:pPr>
              <w:overflowPunct w:val="0"/>
              <w:adjustRightInd w:val="0"/>
              <w:snapToGrid w:val="0"/>
              <w:jc w:val="center"/>
              <w:rPr>
                <w:rFonts w:ascii="方正书宋_GBK" w:eastAsia="方正书宋_GBK"/>
              </w:rPr>
            </w:pPr>
            <w:r>
              <w:rPr>
                <w:rFonts w:hint="eastAsia" w:eastAsia="仿宋_GB2312"/>
                <w:kern w:val="0"/>
                <w:szCs w:val="21"/>
              </w:rPr>
              <w:t>≥</w:t>
            </w:r>
          </w:p>
        </w:tc>
        <w:tc>
          <w:tcPr>
            <w:tcW w:w="488" w:type="dxa"/>
            <w:tcBorders>
              <w:tl2br w:val="nil"/>
              <w:tr2bl w:val="nil"/>
            </w:tcBorders>
            <w:vAlign w:val="center"/>
          </w:tcPr>
          <w:p w14:paraId="2EC3EA29">
            <w:pPr>
              <w:overflowPunct w:val="0"/>
              <w:adjustRightInd w:val="0"/>
              <w:snapToGrid w:val="0"/>
              <w:jc w:val="center"/>
              <w:rPr>
                <w:rFonts w:ascii="方正书宋_GBK" w:eastAsia="方正书宋_GBK"/>
              </w:rPr>
            </w:pPr>
            <w:r>
              <w:rPr>
                <w:rFonts w:hint="eastAsia" w:eastAsia="仿宋_GB2312"/>
                <w:kern w:val="0"/>
                <w:szCs w:val="21"/>
              </w:rPr>
              <w:t>95</w:t>
            </w:r>
          </w:p>
        </w:tc>
        <w:tc>
          <w:tcPr>
            <w:tcW w:w="573" w:type="dxa"/>
            <w:tcBorders>
              <w:tl2br w:val="nil"/>
              <w:tr2bl w:val="nil"/>
            </w:tcBorders>
            <w:vAlign w:val="center"/>
          </w:tcPr>
          <w:p w14:paraId="68387111">
            <w:pPr>
              <w:overflowPunct w:val="0"/>
              <w:adjustRightInd w:val="0"/>
              <w:snapToGrid w:val="0"/>
              <w:jc w:val="center"/>
              <w:rPr>
                <w:rFonts w:ascii="方正书宋_GBK" w:eastAsia="方正书宋_GBK"/>
              </w:rPr>
            </w:pPr>
            <w:r>
              <w:rPr>
                <w:rFonts w:hint="eastAsia" w:eastAsia="仿宋_GB2312"/>
                <w:kern w:val="0"/>
                <w:szCs w:val="21"/>
              </w:rPr>
              <w:t>%</w:t>
            </w:r>
          </w:p>
        </w:tc>
        <w:tc>
          <w:tcPr>
            <w:tcW w:w="1277" w:type="dxa"/>
            <w:tcBorders>
              <w:tl2br w:val="nil"/>
              <w:tr2bl w:val="nil"/>
            </w:tcBorders>
            <w:vAlign w:val="center"/>
          </w:tcPr>
          <w:p w14:paraId="38A250DE">
            <w:pPr>
              <w:overflowPunct w:val="0"/>
              <w:adjustRightInd w:val="0"/>
              <w:snapToGrid w:val="0"/>
              <w:jc w:val="center"/>
              <w:rPr>
                <w:rFonts w:ascii="方正书宋_GBK" w:eastAsia="方正书宋_GBK"/>
              </w:rPr>
            </w:pPr>
            <w:r>
              <w:rPr>
                <w:rFonts w:hint="eastAsia" w:eastAsia="仿宋_GB2312"/>
                <w:kern w:val="0"/>
                <w:szCs w:val="21"/>
              </w:rPr>
              <w:t>工作要求</w:t>
            </w:r>
          </w:p>
        </w:tc>
      </w:tr>
      <w:tr w14:paraId="69CD3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94" w:hRule="atLeast"/>
          <w:jc w:val="center"/>
        </w:trPr>
        <w:tc>
          <w:tcPr>
            <w:tcW w:w="558" w:type="dxa"/>
            <w:vMerge w:val="continue"/>
            <w:tcBorders>
              <w:tl2br w:val="nil"/>
              <w:tr2bl w:val="nil"/>
            </w:tcBorders>
            <w:vAlign w:val="center"/>
          </w:tcPr>
          <w:p w14:paraId="5CA76A27">
            <w:pPr>
              <w:widowControl/>
              <w:adjustRightInd w:val="0"/>
              <w:snapToGrid w:val="0"/>
              <w:jc w:val="center"/>
              <w:rPr>
                <w:rFonts w:ascii="方正书宋_GBK" w:eastAsia="方正书宋_GBK"/>
              </w:rPr>
            </w:pPr>
          </w:p>
        </w:tc>
        <w:tc>
          <w:tcPr>
            <w:tcW w:w="825" w:type="dxa"/>
            <w:vMerge w:val="continue"/>
            <w:tcBorders>
              <w:tl2br w:val="nil"/>
              <w:tr2bl w:val="nil"/>
            </w:tcBorders>
            <w:vAlign w:val="center"/>
          </w:tcPr>
          <w:p w14:paraId="1172D53F">
            <w:pPr>
              <w:widowControl/>
              <w:adjustRightInd w:val="0"/>
              <w:snapToGrid w:val="0"/>
              <w:jc w:val="center"/>
              <w:rPr>
                <w:rFonts w:ascii="方正书宋_GBK" w:eastAsia="方正书宋_GBK"/>
              </w:rPr>
            </w:pPr>
          </w:p>
        </w:tc>
        <w:tc>
          <w:tcPr>
            <w:tcW w:w="897" w:type="dxa"/>
            <w:tcBorders>
              <w:tl2br w:val="nil"/>
              <w:tr2bl w:val="nil"/>
            </w:tcBorders>
            <w:vAlign w:val="center"/>
          </w:tcPr>
          <w:p w14:paraId="2DD96B03">
            <w:pPr>
              <w:overflowPunct w:val="0"/>
              <w:adjustRightInd w:val="0"/>
              <w:snapToGrid w:val="0"/>
              <w:jc w:val="center"/>
              <w:rPr>
                <w:rFonts w:ascii="方正书宋_GBK" w:eastAsia="方正书宋_GBK"/>
              </w:rPr>
            </w:pPr>
            <w:r>
              <w:rPr>
                <w:rFonts w:eastAsia="仿宋_GB2312"/>
                <w:kern w:val="0"/>
                <w:szCs w:val="21"/>
              </w:rPr>
              <w:t>　</w:t>
            </w:r>
            <w:r>
              <w:rPr>
                <w:rFonts w:hint="eastAsia" w:eastAsia="仿宋_GB2312"/>
                <w:kern w:val="0"/>
                <w:szCs w:val="21"/>
              </w:rPr>
              <w:t>培训出勤率</w:t>
            </w:r>
          </w:p>
        </w:tc>
        <w:tc>
          <w:tcPr>
            <w:tcW w:w="2172" w:type="dxa"/>
            <w:tcBorders>
              <w:tl2br w:val="nil"/>
              <w:tr2bl w:val="nil"/>
            </w:tcBorders>
            <w:vAlign w:val="center"/>
          </w:tcPr>
          <w:p w14:paraId="14A69B1F">
            <w:pPr>
              <w:overflowPunct w:val="0"/>
              <w:adjustRightInd w:val="0"/>
              <w:snapToGrid w:val="0"/>
              <w:jc w:val="left"/>
              <w:rPr>
                <w:rFonts w:ascii="方正书宋_GBK" w:eastAsia="方正书宋_GBK"/>
              </w:rPr>
            </w:pPr>
            <w:r>
              <w:rPr>
                <w:rFonts w:hint="eastAsia" w:eastAsia="仿宋_GB2312"/>
                <w:kern w:val="0"/>
                <w:szCs w:val="21"/>
              </w:rPr>
              <w:t>出勤率≥95%得满分，每降低1%扣除权重分值10%，扣完为止。</w:t>
            </w:r>
          </w:p>
        </w:tc>
        <w:tc>
          <w:tcPr>
            <w:tcW w:w="1483" w:type="dxa"/>
            <w:tcBorders>
              <w:tl2br w:val="nil"/>
              <w:tr2bl w:val="nil"/>
            </w:tcBorders>
            <w:vAlign w:val="center"/>
          </w:tcPr>
          <w:p w14:paraId="477959E7">
            <w:pPr>
              <w:overflowPunct w:val="0"/>
              <w:adjustRightInd w:val="0"/>
              <w:snapToGrid w:val="0"/>
              <w:jc w:val="left"/>
              <w:rPr>
                <w:rFonts w:ascii="方正书宋_GBK" w:eastAsia="方正书宋_GBK"/>
              </w:rPr>
            </w:pPr>
            <w:r>
              <w:rPr>
                <w:rFonts w:eastAsia="仿宋_GB2312"/>
                <w:kern w:val="0"/>
                <w:szCs w:val="21"/>
              </w:rPr>
              <w:t>　</w:t>
            </w:r>
            <w:r>
              <w:rPr>
                <w:rFonts w:hint="eastAsia" w:eastAsia="仿宋_GB2312"/>
                <w:kern w:val="0"/>
                <w:szCs w:val="21"/>
              </w:rPr>
              <w:t>培训人员实际出勤情况占培训计划人数的比重</w:t>
            </w:r>
          </w:p>
        </w:tc>
        <w:tc>
          <w:tcPr>
            <w:tcW w:w="543" w:type="dxa"/>
            <w:tcBorders>
              <w:tl2br w:val="nil"/>
              <w:tr2bl w:val="nil"/>
            </w:tcBorders>
            <w:vAlign w:val="center"/>
          </w:tcPr>
          <w:p w14:paraId="0292A1E4">
            <w:pPr>
              <w:overflowPunct w:val="0"/>
              <w:adjustRightInd w:val="0"/>
              <w:snapToGrid w:val="0"/>
              <w:jc w:val="center"/>
              <w:rPr>
                <w:rFonts w:ascii="方正书宋_GBK" w:eastAsia="方正书宋_GBK"/>
              </w:rPr>
            </w:pPr>
            <w:r>
              <w:rPr>
                <w:rFonts w:hint="eastAsia" w:eastAsia="仿宋_GB2312"/>
                <w:kern w:val="0"/>
                <w:szCs w:val="21"/>
              </w:rPr>
              <w:t>≥</w:t>
            </w:r>
          </w:p>
        </w:tc>
        <w:tc>
          <w:tcPr>
            <w:tcW w:w="488" w:type="dxa"/>
            <w:tcBorders>
              <w:tl2br w:val="nil"/>
              <w:tr2bl w:val="nil"/>
            </w:tcBorders>
            <w:vAlign w:val="center"/>
          </w:tcPr>
          <w:p w14:paraId="79C00F28">
            <w:pPr>
              <w:overflowPunct w:val="0"/>
              <w:adjustRightInd w:val="0"/>
              <w:snapToGrid w:val="0"/>
              <w:jc w:val="center"/>
              <w:rPr>
                <w:rFonts w:ascii="方正书宋_GBK" w:eastAsia="方正书宋_GBK"/>
              </w:rPr>
            </w:pPr>
            <w:r>
              <w:rPr>
                <w:rFonts w:hint="eastAsia" w:eastAsia="仿宋_GB2312"/>
                <w:kern w:val="0"/>
                <w:szCs w:val="21"/>
              </w:rPr>
              <w:t>95</w:t>
            </w:r>
          </w:p>
        </w:tc>
        <w:tc>
          <w:tcPr>
            <w:tcW w:w="573" w:type="dxa"/>
            <w:tcBorders>
              <w:tl2br w:val="nil"/>
              <w:tr2bl w:val="nil"/>
            </w:tcBorders>
            <w:vAlign w:val="center"/>
          </w:tcPr>
          <w:p w14:paraId="7B3636AA">
            <w:pPr>
              <w:overflowPunct w:val="0"/>
              <w:adjustRightInd w:val="0"/>
              <w:snapToGrid w:val="0"/>
              <w:jc w:val="center"/>
              <w:rPr>
                <w:rFonts w:ascii="方正书宋_GBK" w:eastAsia="方正书宋_GBK"/>
              </w:rPr>
            </w:pPr>
            <w:r>
              <w:rPr>
                <w:rFonts w:hint="eastAsia" w:eastAsia="仿宋_GB2312"/>
                <w:kern w:val="0"/>
                <w:szCs w:val="21"/>
              </w:rPr>
              <w:t>%</w:t>
            </w:r>
          </w:p>
        </w:tc>
        <w:tc>
          <w:tcPr>
            <w:tcW w:w="1277" w:type="dxa"/>
            <w:tcBorders>
              <w:tl2br w:val="nil"/>
              <w:tr2bl w:val="nil"/>
            </w:tcBorders>
            <w:vAlign w:val="center"/>
          </w:tcPr>
          <w:p w14:paraId="43B93DC5">
            <w:pPr>
              <w:overflowPunct w:val="0"/>
              <w:adjustRightInd w:val="0"/>
              <w:snapToGrid w:val="0"/>
              <w:jc w:val="center"/>
              <w:rPr>
                <w:rFonts w:ascii="方正书宋_GBK" w:eastAsia="方正书宋_GBK"/>
              </w:rPr>
            </w:pPr>
            <w:r>
              <w:rPr>
                <w:rFonts w:hint="eastAsia" w:eastAsia="仿宋_GB2312"/>
                <w:kern w:val="0"/>
                <w:szCs w:val="21"/>
              </w:rPr>
              <w:t>工作要求</w:t>
            </w:r>
          </w:p>
        </w:tc>
      </w:tr>
      <w:tr w14:paraId="5B82A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94" w:hRule="atLeast"/>
          <w:jc w:val="center"/>
        </w:trPr>
        <w:tc>
          <w:tcPr>
            <w:tcW w:w="558" w:type="dxa"/>
            <w:vMerge w:val="continue"/>
            <w:tcBorders>
              <w:tl2br w:val="nil"/>
              <w:tr2bl w:val="nil"/>
            </w:tcBorders>
            <w:vAlign w:val="center"/>
          </w:tcPr>
          <w:p w14:paraId="51606F9E">
            <w:pPr>
              <w:widowControl/>
              <w:adjustRightInd w:val="0"/>
              <w:snapToGrid w:val="0"/>
              <w:jc w:val="center"/>
              <w:rPr>
                <w:rFonts w:ascii="方正书宋_GBK" w:eastAsia="方正书宋_GBK"/>
              </w:rPr>
            </w:pPr>
          </w:p>
        </w:tc>
        <w:tc>
          <w:tcPr>
            <w:tcW w:w="825" w:type="dxa"/>
            <w:vMerge w:val="restart"/>
            <w:tcBorders>
              <w:tl2br w:val="nil"/>
              <w:tr2bl w:val="nil"/>
            </w:tcBorders>
            <w:vAlign w:val="center"/>
          </w:tcPr>
          <w:p w14:paraId="20242192">
            <w:pPr>
              <w:widowControl/>
              <w:adjustRightInd w:val="0"/>
              <w:snapToGrid w:val="0"/>
              <w:jc w:val="center"/>
              <w:rPr>
                <w:rFonts w:ascii="方正书宋_GBK" w:eastAsia="方正书宋_GBK"/>
              </w:rPr>
            </w:pPr>
            <w:r>
              <w:rPr>
                <w:rFonts w:ascii="方正书宋_GBK" w:eastAsia="方正书宋_GBK"/>
              </w:rPr>
              <w:t>时效</w:t>
            </w:r>
          </w:p>
        </w:tc>
        <w:tc>
          <w:tcPr>
            <w:tcW w:w="897" w:type="dxa"/>
            <w:tcBorders>
              <w:tl2br w:val="nil"/>
              <w:tr2bl w:val="nil"/>
            </w:tcBorders>
            <w:vAlign w:val="center"/>
          </w:tcPr>
          <w:p w14:paraId="445378E8">
            <w:pPr>
              <w:overflowPunct w:val="0"/>
              <w:adjustRightInd w:val="0"/>
              <w:snapToGrid w:val="0"/>
              <w:jc w:val="center"/>
              <w:rPr>
                <w:rFonts w:ascii="方正书宋_GBK" w:eastAsia="方正书宋_GBK"/>
              </w:rPr>
            </w:pPr>
            <w:r>
              <w:rPr>
                <w:rFonts w:hint="eastAsia" w:eastAsia="仿宋_GB2312"/>
                <w:kern w:val="0"/>
                <w:szCs w:val="21"/>
              </w:rPr>
              <w:t>培训及时性</w:t>
            </w:r>
            <w:r>
              <w:rPr>
                <w:rFonts w:eastAsia="仿宋_GB2312"/>
                <w:kern w:val="0"/>
                <w:szCs w:val="21"/>
              </w:rPr>
              <w:t>　</w:t>
            </w:r>
          </w:p>
        </w:tc>
        <w:tc>
          <w:tcPr>
            <w:tcW w:w="2172" w:type="dxa"/>
            <w:tcBorders>
              <w:tl2br w:val="nil"/>
              <w:tr2bl w:val="nil"/>
            </w:tcBorders>
            <w:vAlign w:val="center"/>
          </w:tcPr>
          <w:p w14:paraId="3672C214">
            <w:pPr>
              <w:overflowPunct w:val="0"/>
              <w:adjustRightInd w:val="0"/>
              <w:snapToGrid w:val="0"/>
              <w:jc w:val="left"/>
              <w:rPr>
                <w:rFonts w:hint="eastAsia" w:eastAsia="仿宋_GB2312"/>
                <w:kern w:val="0"/>
                <w:szCs w:val="21"/>
              </w:rPr>
            </w:pPr>
            <w:r>
              <w:rPr>
                <w:rFonts w:hint="eastAsia" w:eastAsia="仿宋_GB2312"/>
                <w:kern w:val="0"/>
                <w:szCs w:val="21"/>
              </w:rPr>
              <w:t>及时培训得满分，每出现一次不及时完成情况，扣20%权重分值，扣完为止。</w:t>
            </w:r>
          </w:p>
        </w:tc>
        <w:tc>
          <w:tcPr>
            <w:tcW w:w="1483" w:type="dxa"/>
            <w:tcBorders>
              <w:tl2br w:val="nil"/>
              <w:tr2bl w:val="nil"/>
            </w:tcBorders>
            <w:vAlign w:val="center"/>
          </w:tcPr>
          <w:p w14:paraId="33E1A6F0">
            <w:pPr>
              <w:overflowPunct w:val="0"/>
              <w:adjustRightInd w:val="0"/>
              <w:snapToGrid w:val="0"/>
              <w:jc w:val="left"/>
              <w:rPr>
                <w:rFonts w:ascii="方正书宋_GBK" w:eastAsia="方正书宋_GBK"/>
              </w:rPr>
            </w:pPr>
            <w:r>
              <w:rPr>
                <w:rFonts w:hint="eastAsia" w:eastAsia="仿宋_GB2312"/>
                <w:kern w:val="0"/>
                <w:szCs w:val="21"/>
              </w:rPr>
              <w:t>培训及时开展</w:t>
            </w:r>
          </w:p>
        </w:tc>
        <w:tc>
          <w:tcPr>
            <w:tcW w:w="543" w:type="dxa"/>
            <w:tcBorders>
              <w:tl2br w:val="nil"/>
              <w:tr2bl w:val="nil"/>
            </w:tcBorders>
            <w:vAlign w:val="center"/>
          </w:tcPr>
          <w:p w14:paraId="3DDD326E">
            <w:pPr>
              <w:overflowPunct w:val="0"/>
              <w:adjustRightInd w:val="0"/>
              <w:snapToGrid w:val="0"/>
              <w:jc w:val="center"/>
              <w:rPr>
                <w:rFonts w:ascii="方正书宋_GBK" w:eastAsia="方正书宋_GBK"/>
              </w:rPr>
            </w:pPr>
            <w:r>
              <w:rPr>
                <w:rFonts w:hint="eastAsia" w:eastAsia="仿宋_GB2312"/>
                <w:kern w:val="0"/>
                <w:szCs w:val="21"/>
              </w:rPr>
              <w:t>文字描述</w:t>
            </w:r>
          </w:p>
        </w:tc>
        <w:tc>
          <w:tcPr>
            <w:tcW w:w="488" w:type="dxa"/>
            <w:tcBorders>
              <w:tl2br w:val="nil"/>
              <w:tr2bl w:val="nil"/>
            </w:tcBorders>
            <w:vAlign w:val="center"/>
          </w:tcPr>
          <w:p w14:paraId="385EBE12">
            <w:pPr>
              <w:overflowPunct w:val="0"/>
              <w:adjustRightInd w:val="0"/>
              <w:snapToGrid w:val="0"/>
              <w:jc w:val="center"/>
              <w:rPr>
                <w:rFonts w:ascii="方正书宋_GBK" w:eastAsia="方正书宋_GBK"/>
              </w:rPr>
            </w:pPr>
            <w:r>
              <w:rPr>
                <w:rFonts w:hint="eastAsia" w:eastAsia="仿宋_GB2312"/>
                <w:kern w:val="0"/>
                <w:szCs w:val="21"/>
              </w:rPr>
              <w:t>及时开展</w:t>
            </w:r>
          </w:p>
        </w:tc>
        <w:tc>
          <w:tcPr>
            <w:tcW w:w="573" w:type="dxa"/>
            <w:tcBorders>
              <w:tl2br w:val="nil"/>
              <w:tr2bl w:val="nil"/>
            </w:tcBorders>
            <w:vAlign w:val="center"/>
          </w:tcPr>
          <w:p w14:paraId="500156F8">
            <w:pPr>
              <w:overflowPunct w:val="0"/>
              <w:adjustRightInd w:val="0"/>
              <w:snapToGrid w:val="0"/>
              <w:jc w:val="center"/>
              <w:rPr>
                <w:rFonts w:ascii="方正书宋_GBK" w:eastAsia="方正书宋_GBK"/>
              </w:rPr>
            </w:pPr>
          </w:p>
        </w:tc>
        <w:tc>
          <w:tcPr>
            <w:tcW w:w="1277" w:type="dxa"/>
            <w:tcBorders>
              <w:tl2br w:val="nil"/>
              <w:tr2bl w:val="nil"/>
            </w:tcBorders>
            <w:vAlign w:val="center"/>
          </w:tcPr>
          <w:p w14:paraId="088ABC62">
            <w:pPr>
              <w:overflowPunct w:val="0"/>
              <w:adjustRightInd w:val="0"/>
              <w:snapToGrid w:val="0"/>
              <w:jc w:val="center"/>
              <w:rPr>
                <w:rFonts w:ascii="方正书宋_GBK" w:eastAsia="方正书宋_GBK"/>
              </w:rPr>
            </w:pPr>
            <w:r>
              <w:rPr>
                <w:rFonts w:hint="eastAsia" w:eastAsia="仿宋_GB2312"/>
                <w:kern w:val="0"/>
                <w:szCs w:val="21"/>
              </w:rPr>
              <w:t>工作计划安排</w:t>
            </w:r>
          </w:p>
        </w:tc>
      </w:tr>
      <w:tr w14:paraId="33DD5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786FF8C3"/>
        </w:tc>
        <w:tc>
          <w:tcPr>
            <w:tcW w:w="825" w:type="dxa"/>
            <w:vMerge w:val="continue"/>
            <w:tcBorders>
              <w:tl2br w:val="nil"/>
              <w:tr2bl w:val="nil"/>
            </w:tcBorders>
            <w:vAlign w:val="center"/>
          </w:tcPr>
          <w:p w14:paraId="3879BEDF">
            <w:pPr>
              <w:widowControl/>
              <w:adjustRightInd w:val="0"/>
              <w:snapToGrid w:val="0"/>
              <w:jc w:val="center"/>
              <w:rPr>
                <w:rFonts w:ascii="方正书宋_GBK" w:eastAsia="方正书宋_GBK"/>
              </w:rPr>
            </w:pPr>
          </w:p>
        </w:tc>
        <w:tc>
          <w:tcPr>
            <w:tcW w:w="897" w:type="dxa"/>
            <w:tcBorders>
              <w:tl2br w:val="nil"/>
              <w:tr2bl w:val="nil"/>
            </w:tcBorders>
            <w:vAlign w:val="center"/>
          </w:tcPr>
          <w:p w14:paraId="59ADB95B">
            <w:pPr>
              <w:overflowPunct w:val="0"/>
              <w:adjustRightInd w:val="0"/>
              <w:snapToGrid w:val="0"/>
              <w:jc w:val="center"/>
              <w:rPr>
                <w:rFonts w:ascii="方正书宋_GBK" w:eastAsia="方正书宋_GBK"/>
              </w:rPr>
            </w:pPr>
            <w:r>
              <w:rPr>
                <w:rFonts w:hint="eastAsia" w:eastAsia="仿宋_GB2312"/>
                <w:kern w:val="0"/>
                <w:sz w:val="18"/>
                <w:szCs w:val="18"/>
              </w:rPr>
              <w:t>座谈会、调研及时性</w:t>
            </w:r>
            <w:r>
              <w:rPr>
                <w:rFonts w:eastAsia="仿宋_GB2312"/>
                <w:kern w:val="0"/>
                <w:szCs w:val="21"/>
              </w:rPr>
              <w:t>　</w:t>
            </w:r>
          </w:p>
        </w:tc>
        <w:tc>
          <w:tcPr>
            <w:tcW w:w="2172" w:type="dxa"/>
            <w:tcBorders>
              <w:tl2br w:val="nil"/>
              <w:tr2bl w:val="nil"/>
            </w:tcBorders>
            <w:vAlign w:val="center"/>
          </w:tcPr>
          <w:p w14:paraId="5EBF6000">
            <w:pPr>
              <w:overflowPunct w:val="0"/>
              <w:adjustRightInd w:val="0"/>
              <w:snapToGrid w:val="0"/>
              <w:jc w:val="left"/>
              <w:rPr>
                <w:rFonts w:hint="eastAsia" w:eastAsia="仿宋_GB2312"/>
                <w:kern w:val="0"/>
                <w:szCs w:val="21"/>
              </w:rPr>
            </w:pPr>
            <w:r>
              <w:rPr>
                <w:rFonts w:hint="eastAsia" w:eastAsia="仿宋_GB2312"/>
                <w:kern w:val="0"/>
                <w:szCs w:val="21"/>
              </w:rPr>
              <w:t>及时开展得满分，每出现一次不及时完成情况，扣5%权重分值，扣完为止</w:t>
            </w:r>
          </w:p>
        </w:tc>
        <w:tc>
          <w:tcPr>
            <w:tcW w:w="1483" w:type="dxa"/>
            <w:tcBorders>
              <w:tl2br w:val="nil"/>
              <w:tr2bl w:val="nil"/>
            </w:tcBorders>
            <w:vAlign w:val="center"/>
          </w:tcPr>
          <w:p w14:paraId="09177D69">
            <w:pPr>
              <w:overflowPunct w:val="0"/>
              <w:adjustRightInd w:val="0"/>
              <w:snapToGrid w:val="0"/>
              <w:jc w:val="left"/>
              <w:rPr>
                <w:rFonts w:ascii="方正书宋_GBK" w:eastAsia="方正书宋_GBK"/>
              </w:rPr>
            </w:pPr>
            <w:r>
              <w:rPr>
                <w:rFonts w:eastAsia="仿宋_GB2312"/>
                <w:kern w:val="0"/>
                <w:szCs w:val="21"/>
              </w:rPr>
              <w:t>　</w:t>
            </w:r>
            <w:r>
              <w:rPr>
                <w:rFonts w:hint="eastAsia" w:eastAsia="仿宋_GB2312"/>
                <w:kern w:val="0"/>
                <w:sz w:val="18"/>
                <w:szCs w:val="18"/>
              </w:rPr>
              <w:t>座谈会、调研及时开展</w:t>
            </w:r>
          </w:p>
        </w:tc>
        <w:tc>
          <w:tcPr>
            <w:tcW w:w="543" w:type="dxa"/>
            <w:tcBorders>
              <w:tl2br w:val="nil"/>
              <w:tr2bl w:val="nil"/>
            </w:tcBorders>
            <w:vAlign w:val="center"/>
          </w:tcPr>
          <w:p w14:paraId="21252645">
            <w:pPr>
              <w:overflowPunct w:val="0"/>
              <w:adjustRightInd w:val="0"/>
              <w:snapToGrid w:val="0"/>
              <w:jc w:val="center"/>
              <w:rPr>
                <w:rFonts w:ascii="方正书宋_GBK" w:eastAsia="方正书宋_GBK"/>
              </w:rPr>
            </w:pPr>
            <w:r>
              <w:rPr>
                <w:rFonts w:hint="eastAsia" w:eastAsia="仿宋_GB2312"/>
                <w:kern w:val="0"/>
                <w:szCs w:val="21"/>
              </w:rPr>
              <w:t>文字描述</w:t>
            </w:r>
          </w:p>
        </w:tc>
        <w:tc>
          <w:tcPr>
            <w:tcW w:w="488" w:type="dxa"/>
            <w:tcBorders>
              <w:tl2br w:val="nil"/>
              <w:tr2bl w:val="nil"/>
            </w:tcBorders>
            <w:vAlign w:val="center"/>
          </w:tcPr>
          <w:p w14:paraId="4D130B17">
            <w:pPr>
              <w:overflowPunct w:val="0"/>
              <w:adjustRightInd w:val="0"/>
              <w:snapToGrid w:val="0"/>
              <w:jc w:val="center"/>
              <w:rPr>
                <w:rFonts w:ascii="方正书宋_GBK" w:eastAsia="方正书宋_GBK"/>
              </w:rPr>
            </w:pPr>
            <w:r>
              <w:rPr>
                <w:rFonts w:hint="eastAsia" w:eastAsia="仿宋_GB2312"/>
                <w:kern w:val="0"/>
                <w:szCs w:val="21"/>
              </w:rPr>
              <w:t>及时开展</w:t>
            </w:r>
          </w:p>
        </w:tc>
        <w:tc>
          <w:tcPr>
            <w:tcW w:w="573" w:type="dxa"/>
            <w:tcBorders>
              <w:tl2br w:val="nil"/>
              <w:tr2bl w:val="nil"/>
            </w:tcBorders>
            <w:vAlign w:val="center"/>
          </w:tcPr>
          <w:p w14:paraId="1EB62788">
            <w:pPr>
              <w:overflowPunct w:val="0"/>
              <w:adjustRightInd w:val="0"/>
              <w:snapToGrid w:val="0"/>
              <w:jc w:val="center"/>
              <w:rPr>
                <w:rFonts w:ascii="方正书宋_GBK" w:eastAsia="方正书宋_GBK"/>
              </w:rPr>
            </w:pPr>
          </w:p>
        </w:tc>
        <w:tc>
          <w:tcPr>
            <w:tcW w:w="1277" w:type="dxa"/>
            <w:tcBorders>
              <w:tl2br w:val="nil"/>
              <w:tr2bl w:val="nil"/>
            </w:tcBorders>
            <w:vAlign w:val="center"/>
          </w:tcPr>
          <w:p w14:paraId="6AD65EDD">
            <w:pPr>
              <w:overflowPunct w:val="0"/>
              <w:adjustRightInd w:val="0"/>
              <w:snapToGrid w:val="0"/>
              <w:jc w:val="center"/>
              <w:rPr>
                <w:rFonts w:ascii="方正书宋_GBK" w:eastAsia="方正书宋_GBK"/>
              </w:rPr>
            </w:pPr>
            <w:r>
              <w:rPr>
                <w:rFonts w:hint="eastAsia" w:eastAsia="仿宋_GB2312"/>
                <w:kern w:val="0"/>
                <w:szCs w:val="21"/>
              </w:rPr>
              <w:t>工作计划安排</w:t>
            </w:r>
          </w:p>
        </w:tc>
      </w:tr>
      <w:tr w14:paraId="45C18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458" w:hRule="atLeast"/>
          <w:jc w:val="center"/>
        </w:trPr>
        <w:tc>
          <w:tcPr>
            <w:tcW w:w="558" w:type="dxa"/>
            <w:vMerge w:val="continue"/>
            <w:tcBorders>
              <w:tl2br w:val="nil"/>
              <w:tr2bl w:val="nil"/>
            </w:tcBorders>
            <w:vAlign w:val="center"/>
          </w:tcPr>
          <w:p w14:paraId="128B74CF"/>
        </w:tc>
        <w:tc>
          <w:tcPr>
            <w:tcW w:w="825" w:type="dxa"/>
            <w:vMerge w:val="restart"/>
            <w:tcBorders>
              <w:tl2br w:val="nil"/>
              <w:tr2bl w:val="nil"/>
            </w:tcBorders>
            <w:vAlign w:val="center"/>
          </w:tcPr>
          <w:p w14:paraId="6DD00DF0">
            <w:pPr>
              <w:widowControl/>
              <w:adjustRightInd w:val="0"/>
              <w:snapToGrid w:val="0"/>
              <w:jc w:val="center"/>
              <w:rPr>
                <w:rFonts w:ascii="方正书宋_GBK" w:eastAsia="方正书宋_GBK"/>
              </w:rPr>
            </w:pPr>
            <w:r>
              <w:rPr>
                <w:rFonts w:ascii="方正书宋_GBK" w:eastAsia="方正书宋_GBK"/>
              </w:rPr>
              <w:t>成本</w:t>
            </w:r>
          </w:p>
        </w:tc>
        <w:tc>
          <w:tcPr>
            <w:tcW w:w="897" w:type="dxa"/>
            <w:tcBorders>
              <w:tl2br w:val="nil"/>
              <w:tr2bl w:val="nil"/>
            </w:tcBorders>
            <w:vAlign w:val="center"/>
          </w:tcPr>
          <w:p w14:paraId="0B91B5A2">
            <w:pPr>
              <w:overflowPunct w:val="0"/>
              <w:adjustRightInd w:val="0"/>
              <w:snapToGrid w:val="0"/>
              <w:jc w:val="left"/>
              <w:rPr>
                <w:rFonts w:eastAsia="仿宋_GB2312"/>
                <w:kern w:val="0"/>
                <w:szCs w:val="21"/>
              </w:rPr>
            </w:pPr>
            <w:r>
              <w:rPr>
                <w:rFonts w:hint="eastAsia" w:eastAsia="仿宋_GB2312"/>
                <w:kern w:val="0"/>
                <w:szCs w:val="21"/>
              </w:rPr>
              <w:t>　项目成本控制率</w:t>
            </w:r>
          </w:p>
          <w:p w14:paraId="751B61B6">
            <w:pPr>
              <w:overflowPunct w:val="0"/>
              <w:adjustRightInd w:val="0"/>
              <w:snapToGrid w:val="0"/>
              <w:jc w:val="left"/>
              <w:rPr>
                <w:rFonts w:ascii="方正书宋_GBK" w:eastAsia="方正书宋_GBK"/>
              </w:rPr>
            </w:pPr>
          </w:p>
        </w:tc>
        <w:tc>
          <w:tcPr>
            <w:tcW w:w="2172" w:type="dxa"/>
            <w:tcBorders>
              <w:tl2br w:val="nil"/>
              <w:tr2bl w:val="nil"/>
            </w:tcBorders>
            <w:vAlign w:val="center"/>
          </w:tcPr>
          <w:p w14:paraId="56BF0D8F">
            <w:pPr>
              <w:overflowPunct w:val="0"/>
              <w:adjustRightInd w:val="0"/>
              <w:snapToGrid w:val="0"/>
              <w:jc w:val="left"/>
              <w:rPr>
                <w:rFonts w:hint="eastAsia" w:eastAsia="仿宋_GB2312"/>
                <w:kern w:val="0"/>
                <w:szCs w:val="21"/>
              </w:rPr>
            </w:pPr>
            <w:r>
              <w:rPr>
                <w:rFonts w:hint="eastAsia" w:eastAsia="仿宋_GB2312"/>
                <w:kern w:val="0"/>
                <w:szCs w:val="21"/>
              </w:rPr>
              <w:t>项目资金实际支出未超过预算成本得满分，否则不得分。</w:t>
            </w:r>
          </w:p>
          <w:p w14:paraId="42BBC425">
            <w:pPr>
              <w:overflowPunct w:val="0"/>
              <w:adjustRightInd w:val="0"/>
              <w:snapToGrid w:val="0"/>
              <w:jc w:val="left"/>
              <w:rPr>
                <w:rFonts w:hint="eastAsia" w:eastAsia="仿宋_GB2312"/>
                <w:kern w:val="0"/>
                <w:szCs w:val="21"/>
              </w:rPr>
            </w:pPr>
          </w:p>
        </w:tc>
        <w:tc>
          <w:tcPr>
            <w:tcW w:w="1483" w:type="dxa"/>
            <w:tcBorders>
              <w:tl2br w:val="nil"/>
              <w:tr2bl w:val="nil"/>
            </w:tcBorders>
            <w:vAlign w:val="center"/>
          </w:tcPr>
          <w:p w14:paraId="179FD761">
            <w:pPr>
              <w:overflowPunct w:val="0"/>
              <w:adjustRightInd w:val="0"/>
              <w:snapToGrid w:val="0"/>
              <w:jc w:val="left"/>
              <w:rPr>
                <w:rFonts w:ascii="方正书宋_GBK" w:eastAsia="方正书宋_GBK"/>
              </w:rPr>
            </w:pPr>
            <w:r>
              <w:rPr>
                <w:rFonts w:hint="eastAsia" w:eastAsia="仿宋_GB2312"/>
                <w:kern w:val="0"/>
                <w:szCs w:val="21"/>
              </w:rPr>
              <w:t>　项目成本控制预算安排之内</w:t>
            </w:r>
          </w:p>
        </w:tc>
        <w:tc>
          <w:tcPr>
            <w:tcW w:w="543" w:type="dxa"/>
            <w:tcBorders>
              <w:tl2br w:val="nil"/>
              <w:tr2bl w:val="nil"/>
            </w:tcBorders>
            <w:vAlign w:val="center"/>
          </w:tcPr>
          <w:p w14:paraId="36FFE439">
            <w:pPr>
              <w:overflowPunct w:val="0"/>
              <w:adjustRightInd w:val="0"/>
              <w:snapToGrid w:val="0"/>
              <w:jc w:val="center"/>
              <w:rPr>
                <w:rFonts w:ascii="方正书宋_GBK" w:eastAsia="方正书宋_GBK"/>
              </w:rPr>
            </w:pPr>
            <w:r>
              <w:rPr>
                <w:rFonts w:hint="eastAsia" w:eastAsia="仿宋_GB2312"/>
                <w:kern w:val="0"/>
                <w:szCs w:val="21"/>
              </w:rPr>
              <w:t>文字描述</w:t>
            </w:r>
          </w:p>
        </w:tc>
        <w:tc>
          <w:tcPr>
            <w:tcW w:w="488" w:type="dxa"/>
            <w:tcBorders>
              <w:tl2br w:val="nil"/>
              <w:tr2bl w:val="nil"/>
            </w:tcBorders>
            <w:vAlign w:val="center"/>
          </w:tcPr>
          <w:p w14:paraId="5E48FC83">
            <w:pPr>
              <w:overflowPunct w:val="0"/>
              <w:adjustRightInd w:val="0"/>
              <w:snapToGrid w:val="0"/>
              <w:jc w:val="center"/>
              <w:rPr>
                <w:rFonts w:ascii="方正书宋_GBK" w:eastAsia="方正书宋_GBK"/>
              </w:rPr>
            </w:pPr>
            <w:r>
              <w:rPr>
                <w:rFonts w:hint="eastAsia" w:eastAsia="仿宋_GB2312"/>
                <w:kern w:val="0"/>
                <w:szCs w:val="21"/>
              </w:rPr>
              <w:t>≤</w:t>
            </w:r>
          </w:p>
        </w:tc>
        <w:tc>
          <w:tcPr>
            <w:tcW w:w="573" w:type="dxa"/>
            <w:tcBorders>
              <w:tl2br w:val="nil"/>
              <w:tr2bl w:val="nil"/>
            </w:tcBorders>
            <w:vAlign w:val="center"/>
          </w:tcPr>
          <w:p w14:paraId="26D42B73">
            <w:pPr>
              <w:overflowPunct w:val="0"/>
              <w:adjustRightInd w:val="0"/>
              <w:snapToGrid w:val="0"/>
              <w:jc w:val="center"/>
              <w:rPr>
                <w:rFonts w:ascii="方正书宋_GBK" w:eastAsia="方正书宋_GBK"/>
              </w:rPr>
            </w:pPr>
            <w:r>
              <w:rPr>
                <w:rFonts w:hint="eastAsia" w:eastAsia="仿宋_GB2312"/>
                <w:kern w:val="0"/>
                <w:szCs w:val="21"/>
              </w:rPr>
              <w:t>项目经费预算成本</w:t>
            </w:r>
          </w:p>
        </w:tc>
        <w:tc>
          <w:tcPr>
            <w:tcW w:w="1277" w:type="dxa"/>
            <w:tcBorders>
              <w:tl2br w:val="nil"/>
              <w:tr2bl w:val="nil"/>
            </w:tcBorders>
            <w:vAlign w:val="center"/>
          </w:tcPr>
          <w:p w14:paraId="336ECFE1">
            <w:pPr>
              <w:overflowPunct w:val="0"/>
              <w:adjustRightInd w:val="0"/>
              <w:snapToGrid w:val="0"/>
              <w:jc w:val="center"/>
              <w:rPr>
                <w:rFonts w:ascii="方正书宋_GBK" w:eastAsia="方正书宋_GBK"/>
              </w:rPr>
            </w:pPr>
            <w:r>
              <w:rPr>
                <w:rFonts w:hint="eastAsia" w:eastAsia="仿宋_GB2312"/>
                <w:kern w:val="0"/>
                <w:szCs w:val="21"/>
              </w:rPr>
              <w:t>预算安排要求</w:t>
            </w:r>
          </w:p>
        </w:tc>
      </w:tr>
      <w:tr w14:paraId="00F90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continue"/>
            <w:tcBorders>
              <w:tl2br w:val="nil"/>
              <w:tr2bl w:val="nil"/>
            </w:tcBorders>
            <w:vAlign w:val="center"/>
          </w:tcPr>
          <w:p w14:paraId="6A6BB122"/>
        </w:tc>
        <w:tc>
          <w:tcPr>
            <w:tcW w:w="825" w:type="dxa"/>
            <w:vMerge w:val="continue"/>
            <w:tcBorders>
              <w:tl2br w:val="nil"/>
              <w:tr2bl w:val="nil"/>
            </w:tcBorders>
            <w:vAlign w:val="center"/>
          </w:tcPr>
          <w:p w14:paraId="6B64B46F">
            <w:pPr>
              <w:widowControl/>
              <w:adjustRightInd w:val="0"/>
              <w:snapToGrid w:val="0"/>
              <w:jc w:val="center"/>
              <w:rPr>
                <w:rFonts w:ascii="方正书宋_GBK" w:eastAsia="方正书宋_GBK"/>
              </w:rPr>
            </w:pPr>
          </w:p>
        </w:tc>
        <w:tc>
          <w:tcPr>
            <w:tcW w:w="897" w:type="dxa"/>
            <w:tcBorders>
              <w:tl2br w:val="nil"/>
              <w:tr2bl w:val="nil"/>
            </w:tcBorders>
            <w:vAlign w:val="center"/>
          </w:tcPr>
          <w:p w14:paraId="3D88CE34">
            <w:pPr>
              <w:overflowPunct w:val="0"/>
              <w:adjustRightInd w:val="0"/>
              <w:snapToGrid w:val="0"/>
              <w:jc w:val="center"/>
              <w:rPr>
                <w:rFonts w:ascii="方正书宋_GBK" w:eastAsia="方正书宋_GBK"/>
              </w:rPr>
            </w:pPr>
            <w:r>
              <w:rPr>
                <w:rFonts w:eastAsia="仿宋_GB2312"/>
                <w:kern w:val="0"/>
                <w:szCs w:val="21"/>
              </w:rPr>
              <w:t>　</w:t>
            </w:r>
            <w:r>
              <w:rPr>
                <w:rFonts w:hint="eastAsia" w:eastAsia="仿宋_GB2312"/>
                <w:kern w:val="0"/>
                <w:szCs w:val="21"/>
              </w:rPr>
              <w:t>公用经费成本控制率</w:t>
            </w:r>
          </w:p>
        </w:tc>
        <w:tc>
          <w:tcPr>
            <w:tcW w:w="2172" w:type="dxa"/>
            <w:tcBorders>
              <w:tl2br w:val="nil"/>
              <w:tr2bl w:val="nil"/>
            </w:tcBorders>
            <w:vAlign w:val="center"/>
          </w:tcPr>
          <w:p w14:paraId="2D5356D5">
            <w:pPr>
              <w:overflowPunct w:val="0"/>
              <w:adjustRightInd w:val="0"/>
              <w:snapToGrid w:val="0"/>
              <w:jc w:val="left"/>
              <w:rPr>
                <w:rFonts w:hint="eastAsia" w:eastAsia="仿宋_GB2312"/>
                <w:kern w:val="0"/>
                <w:szCs w:val="21"/>
              </w:rPr>
            </w:pPr>
            <w:r>
              <w:rPr>
                <w:rFonts w:hint="eastAsia" w:eastAsia="仿宋_GB2312"/>
                <w:kern w:val="0"/>
                <w:szCs w:val="21"/>
              </w:rPr>
              <w:t>公用经费实际支出未超过预算成本得满分，否则不得分。</w:t>
            </w:r>
          </w:p>
        </w:tc>
        <w:tc>
          <w:tcPr>
            <w:tcW w:w="1483" w:type="dxa"/>
            <w:tcBorders>
              <w:tl2br w:val="nil"/>
              <w:tr2bl w:val="nil"/>
            </w:tcBorders>
            <w:vAlign w:val="center"/>
          </w:tcPr>
          <w:p w14:paraId="35934253">
            <w:pPr>
              <w:overflowPunct w:val="0"/>
              <w:adjustRightInd w:val="0"/>
              <w:snapToGrid w:val="0"/>
              <w:jc w:val="left"/>
              <w:rPr>
                <w:rFonts w:ascii="方正书宋_GBK" w:eastAsia="方正书宋_GBK"/>
              </w:rPr>
            </w:pPr>
            <w:r>
              <w:rPr>
                <w:rFonts w:eastAsia="仿宋_GB2312"/>
                <w:kern w:val="0"/>
                <w:szCs w:val="21"/>
              </w:rPr>
              <w:t>　</w:t>
            </w:r>
            <w:r>
              <w:rPr>
                <w:rFonts w:hint="eastAsia" w:eastAsia="仿宋_GB2312"/>
                <w:kern w:val="0"/>
                <w:szCs w:val="21"/>
              </w:rPr>
              <w:t>公用经费成本控制预算安排之内</w:t>
            </w:r>
          </w:p>
        </w:tc>
        <w:tc>
          <w:tcPr>
            <w:tcW w:w="543" w:type="dxa"/>
            <w:tcBorders>
              <w:tl2br w:val="nil"/>
              <w:tr2bl w:val="nil"/>
            </w:tcBorders>
            <w:vAlign w:val="center"/>
          </w:tcPr>
          <w:p w14:paraId="00FC9B86">
            <w:pPr>
              <w:overflowPunct w:val="0"/>
              <w:adjustRightInd w:val="0"/>
              <w:snapToGrid w:val="0"/>
              <w:jc w:val="center"/>
              <w:rPr>
                <w:rFonts w:ascii="方正书宋_GBK" w:eastAsia="方正书宋_GBK"/>
              </w:rPr>
            </w:pPr>
            <w:r>
              <w:rPr>
                <w:rFonts w:hint="eastAsia" w:eastAsia="仿宋_GB2312"/>
                <w:kern w:val="0"/>
                <w:szCs w:val="21"/>
              </w:rPr>
              <w:t>文字描述</w:t>
            </w:r>
          </w:p>
        </w:tc>
        <w:tc>
          <w:tcPr>
            <w:tcW w:w="488" w:type="dxa"/>
            <w:tcBorders>
              <w:tl2br w:val="nil"/>
              <w:tr2bl w:val="nil"/>
            </w:tcBorders>
            <w:vAlign w:val="center"/>
          </w:tcPr>
          <w:p w14:paraId="47EAA79C">
            <w:pPr>
              <w:overflowPunct w:val="0"/>
              <w:adjustRightInd w:val="0"/>
              <w:snapToGrid w:val="0"/>
              <w:jc w:val="center"/>
              <w:rPr>
                <w:rFonts w:ascii="方正书宋_GBK" w:eastAsia="方正书宋_GBK"/>
              </w:rPr>
            </w:pPr>
            <w:r>
              <w:rPr>
                <w:rFonts w:hint="eastAsia" w:eastAsia="仿宋_GB2312"/>
                <w:kern w:val="0"/>
                <w:szCs w:val="21"/>
              </w:rPr>
              <w:t>≤</w:t>
            </w:r>
          </w:p>
        </w:tc>
        <w:tc>
          <w:tcPr>
            <w:tcW w:w="573" w:type="dxa"/>
            <w:tcBorders>
              <w:tl2br w:val="nil"/>
              <w:tr2bl w:val="nil"/>
            </w:tcBorders>
            <w:vAlign w:val="center"/>
          </w:tcPr>
          <w:p w14:paraId="1B35F5DC">
            <w:pPr>
              <w:overflowPunct w:val="0"/>
              <w:adjustRightInd w:val="0"/>
              <w:snapToGrid w:val="0"/>
              <w:jc w:val="center"/>
              <w:rPr>
                <w:rFonts w:ascii="方正书宋_GBK" w:eastAsia="方正书宋_GBK"/>
              </w:rPr>
            </w:pPr>
            <w:r>
              <w:rPr>
                <w:rFonts w:hint="eastAsia" w:eastAsia="仿宋_GB2312"/>
                <w:kern w:val="0"/>
                <w:szCs w:val="21"/>
              </w:rPr>
              <w:t>公用经费预算成本</w:t>
            </w:r>
          </w:p>
        </w:tc>
        <w:tc>
          <w:tcPr>
            <w:tcW w:w="1277" w:type="dxa"/>
            <w:tcBorders>
              <w:tl2br w:val="nil"/>
              <w:tr2bl w:val="nil"/>
            </w:tcBorders>
            <w:vAlign w:val="center"/>
          </w:tcPr>
          <w:p w14:paraId="3BE8D82B">
            <w:pPr>
              <w:overflowPunct w:val="0"/>
              <w:adjustRightInd w:val="0"/>
              <w:snapToGrid w:val="0"/>
              <w:jc w:val="center"/>
              <w:rPr>
                <w:rFonts w:ascii="方正书宋_GBK" w:eastAsia="方正书宋_GBK"/>
              </w:rPr>
            </w:pPr>
            <w:r>
              <w:rPr>
                <w:rFonts w:hint="eastAsia" w:eastAsia="仿宋_GB2312"/>
                <w:kern w:val="0"/>
                <w:szCs w:val="21"/>
              </w:rPr>
              <w:t>预算安排要求</w:t>
            </w:r>
          </w:p>
        </w:tc>
      </w:tr>
      <w:tr w14:paraId="0AE3A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558" w:type="dxa"/>
            <w:vMerge w:val="restart"/>
            <w:tcBorders>
              <w:tl2br w:val="nil"/>
              <w:tr2bl w:val="nil"/>
            </w:tcBorders>
            <w:vAlign w:val="center"/>
          </w:tcPr>
          <w:p w14:paraId="439C2145">
            <w:pPr>
              <w:adjustRightInd w:val="0"/>
              <w:snapToGrid w:val="0"/>
              <w:jc w:val="center"/>
              <w:rPr>
                <w:rFonts w:ascii="方正书宋_GBK" w:eastAsia="方正书宋_GBK"/>
              </w:rPr>
            </w:pPr>
            <w:r>
              <w:rPr>
                <w:rFonts w:ascii="方正书宋_GBK" w:eastAsia="方正书宋_GBK"/>
              </w:rPr>
              <w:t>部门</w:t>
            </w:r>
            <w:r>
              <w:rPr>
                <w:rFonts w:hint="eastAsia" w:ascii="方正书宋_GBK" w:eastAsia="方正书宋_GBK"/>
              </w:rPr>
              <w:t>效果</w:t>
            </w:r>
          </w:p>
        </w:tc>
        <w:tc>
          <w:tcPr>
            <w:tcW w:w="825" w:type="dxa"/>
            <w:tcBorders>
              <w:tl2br w:val="nil"/>
              <w:tr2bl w:val="nil"/>
            </w:tcBorders>
            <w:vAlign w:val="center"/>
          </w:tcPr>
          <w:p w14:paraId="7AEB2061">
            <w:pPr>
              <w:widowControl/>
              <w:adjustRightInd w:val="0"/>
              <w:snapToGrid w:val="0"/>
              <w:jc w:val="center"/>
              <w:rPr>
                <w:rFonts w:ascii="方正书宋_GBK" w:eastAsia="方正书宋_GBK"/>
              </w:rPr>
            </w:pPr>
            <w:r>
              <w:rPr>
                <w:rFonts w:ascii="方正书宋_GBK" w:eastAsia="方正书宋_GBK"/>
              </w:rPr>
              <w:t>社会</w:t>
            </w:r>
          </w:p>
          <w:p w14:paraId="4D9E46BC">
            <w:pPr>
              <w:widowControl/>
              <w:adjustRightInd w:val="0"/>
              <w:snapToGrid w:val="0"/>
              <w:jc w:val="center"/>
              <w:rPr>
                <w:rFonts w:ascii="方正书宋_GBK" w:eastAsia="方正书宋_GBK"/>
              </w:rPr>
            </w:pPr>
            <w:r>
              <w:rPr>
                <w:rFonts w:ascii="方正书宋_GBK" w:eastAsia="方正书宋_GBK"/>
              </w:rPr>
              <w:t>效益</w:t>
            </w:r>
          </w:p>
        </w:tc>
        <w:tc>
          <w:tcPr>
            <w:tcW w:w="897" w:type="dxa"/>
            <w:tcBorders>
              <w:tl2br w:val="nil"/>
              <w:tr2bl w:val="nil"/>
            </w:tcBorders>
            <w:vAlign w:val="center"/>
          </w:tcPr>
          <w:p w14:paraId="1B579BC5">
            <w:pPr>
              <w:overflowPunct w:val="0"/>
              <w:adjustRightInd w:val="0"/>
              <w:snapToGrid w:val="0"/>
              <w:jc w:val="center"/>
              <w:rPr>
                <w:rFonts w:ascii="方正书宋_GBK" w:eastAsia="方正书宋_GBK"/>
              </w:rPr>
            </w:pPr>
            <w:r>
              <w:rPr>
                <w:rFonts w:hint="eastAsia" w:eastAsia="仿宋_GB2312"/>
                <w:kern w:val="0"/>
                <w:szCs w:val="21"/>
              </w:rPr>
              <w:t>提高统战系统政治理论水平和工作能力</w:t>
            </w:r>
            <w:r>
              <w:rPr>
                <w:rFonts w:eastAsia="仿宋_GB2312"/>
                <w:kern w:val="0"/>
                <w:szCs w:val="21"/>
              </w:rPr>
              <w:t>　</w:t>
            </w:r>
          </w:p>
        </w:tc>
        <w:tc>
          <w:tcPr>
            <w:tcW w:w="2172" w:type="dxa"/>
            <w:tcBorders>
              <w:tl2br w:val="nil"/>
              <w:tr2bl w:val="nil"/>
            </w:tcBorders>
            <w:vAlign w:val="center"/>
          </w:tcPr>
          <w:p w14:paraId="41215214">
            <w:pPr>
              <w:overflowPunct w:val="0"/>
              <w:adjustRightInd w:val="0"/>
              <w:snapToGrid w:val="0"/>
              <w:jc w:val="left"/>
              <w:rPr>
                <w:rFonts w:ascii="方正书宋_GBK" w:eastAsia="方正书宋_GBK"/>
              </w:rPr>
            </w:pPr>
            <w:r>
              <w:rPr>
                <w:rFonts w:hint="eastAsia" w:eastAsia="仿宋_GB2312"/>
                <w:kern w:val="0"/>
                <w:szCs w:val="21"/>
              </w:rPr>
              <w:t>显著提高得满分，效果一般得权重的50%分值，未产生效果不得分。</w:t>
            </w:r>
          </w:p>
        </w:tc>
        <w:tc>
          <w:tcPr>
            <w:tcW w:w="1483" w:type="dxa"/>
            <w:tcBorders>
              <w:tl2br w:val="nil"/>
              <w:tr2bl w:val="nil"/>
            </w:tcBorders>
            <w:vAlign w:val="center"/>
          </w:tcPr>
          <w:p w14:paraId="7A60CCE6">
            <w:pPr>
              <w:overflowPunct w:val="0"/>
              <w:adjustRightInd w:val="0"/>
              <w:snapToGrid w:val="0"/>
              <w:jc w:val="left"/>
              <w:rPr>
                <w:rFonts w:ascii="方正书宋_GBK" w:eastAsia="方正书宋_GBK"/>
              </w:rPr>
            </w:pPr>
            <w:r>
              <w:rPr>
                <w:rFonts w:eastAsia="仿宋_GB2312"/>
                <w:kern w:val="0"/>
                <w:szCs w:val="21"/>
              </w:rPr>
              <w:t>　</w:t>
            </w:r>
            <w:r>
              <w:rPr>
                <w:rFonts w:hint="eastAsia" w:eastAsia="仿宋_GB2312"/>
                <w:kern w:val="0"/>
                <w:szCs w:val="21"/>
              </w:rPr>
              <w:t>提高统战系统政治理论水平和工作能力</w:t>
            </w:r>
          </w:p>
        </w:tc>
        <w:tc>
          <w:tcPr>
            <w:tcW w:w="543" w:type="dxa"/>
            <w:tcBorders>
              <w:tl2br w:val="nil"/>
              <w:tr2bl w:val="nil"/>
            </w:tcBorders>
            <w:vAlign w:val="center"/>
          </w:tcPr>
          <w:p w14:paraId="1F509710">
            <w:pPr>
              <w:overflowPunct w:val="0"/>
              <w:adjustRightInd w:val="0"/>
              <w:snapToGrid w:val="0"/>
              <w:jc w:val="center"/>
              <w:rPr>
                <w:rFonts w:ascii="方正书宋_GBK" w:eastAsia="方正书宋_GBK"/>
              </w:rPr>
            </w:pPr>
            <w:r>
              <w:rPr>
                <w:rFonts w:hint="eastAsia" w:eastAsia="仿宋_GB2312"/>
                <w:kern w:val="0"/>
                <w:szCs w:val="21"/>
              </w:rPr>
              <w:t>文字描述</w:t>
            </w:r>
          </w:p>
        </w:tc>
        <w:tc>
          <w:tcPr>
            <w:tcW w:w="488" w:type="dxa"/>
            <w:tcBorders>
              <w:tl2br w:val="nil"/>
              <w:tr2bl w:val="nil"/>
            </w:tcBorders>
            <w:vAlign w:val="center"/>
          </w:tcPr>
          <w:p w14:paraId="409DBF16">
            <w:pPr>
              <w:overflowPunct w:val="0"/>
              <w:adjustRightInd w:val="0"/>
              <w:snapToGrid w:val="0"/>
              <w:jc w:val="center"/>
              <w:rPr>
                <w:rFonts w:ascii="方正书宋_GBK" w:eastAsia="方正书宋_GBK"/>
              </w:rPr>
            </w:pPr>
          </w:p>
        </w:tc>
        <w:tc>
          <w:tcPr>
            <w:tcW w:w="573" w:type="dxa"/>
            <w:tcBorders>
              <w:tl2br w:val="nil"/>
              <w:tr2bl w:val="nil"/>
            </w:tcBorders>
            <w:vAlign w:val="center"/>
          </w:tcPr>
          <w:p w14:paraId="11D8A244">
            <w:pPr>
              <w:overflowPunct w:val="0"/>
              <w:adjustRightInd w:val="0"/>
              <w:snapToGrid w:val="0"/>
              <w:jc w:val="center"/>
              <w:rPr>
                <w:rFonts w:ascii="方正书宋_GBK" w:eastAsia="方正书宋_GBK"/>
              </w:rPr>
            </w:pPr>
            <w:r>
              <w:rPr>
                <w:rFonts w:hint="eastAsia" w:eastAsia="仿宋_GB2312"/>
                <w:kern w:val="0"/>
                <w:szCs w:val="21"/>
              </w:rPr>
              <w:t>提高</w:t>
            </w:r>
          </w:p>
        </w:tc>
        <w:tc>
          <w:tcPr>
            <w:tcW w:w="1277" w:type="dxa"/>
            <w:tcBorders>
              <w:tl2br w:val="nil"/>
              <w:tr2bl w:val="nil"/>
            </w:tcBorders>
            <w:vAlign w:val="center"/>
          </w:tcPr>
          <w:p w14:paraId="273212D0">
            <w:pPr>
              <w:overflowPunct w:val="0"/>
              <w:adjustRightInd w:val="0"/>
              <w:snapToGrid w:val="0"/>
              <w:jc w:val="center"/>
              <w:rPr>
                <w:rFonts w:ascii="方正书宋_GBK" w:eastAsia="方正书宋_GBK"/>
              </w:rPr>
            </w:pPr>
            <w:r>
              <w:rPr>
                <w:rFonts w:hint="eastAsia" w:eastAsia="仿宋_GB2312"/>
                <w:kern w:val="0"/>
                <w:szCs w:val="21"/>
              </w:rPr>
              <w:t>三定方案要求</w:t>
            </w:r>
          </w:p>
        </w:tc>
      </w:tr>
      <w:tr w14:paraId="735D3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04" w:hRule="atLeast"/>
          <w:jc w:val="center"/>
        </w:trPr>
        <w:tc>
          <w:tcPr>
            <w:tcW w:w="558" w:type="dxa"/>
            <w:vMerge w:val="continue"/>
            <w:tcBorders>
              <w:tl2br w:val="nil"/>
              <w:tr2bl w:val="nil"/>
            </w:tcBorders>
            <w:vAlign w:val="center"/>
          </w:tcPr>
          <w:p w14:paraId="68BE00FF"/>
        </w:tc>
        <w:tc>
          <w:tcPr>
            <w:tcW w:w="825" w:type="dxa"/>
            <w:vMerge w:val="restart"/>
            <w:tcBorders>
              <w:tl2br w:val="nil"/>
              <w:tr2bl w:val="nil"/>
            </w:tcBorders>
            <w:vAlign w:val="center"/>
          </w:tcPr>
          <w:p w14:paraId="1B008487">
            <w:pPr>
              <w:widowControl/>
              <w:adjustRightInd w:val="0"/>
              <w:snapToGrid w:val="0"/>
              <w:jc w:val="center"/>
              <w:rPr>
                <w:rFonts w:ascii="方正书宋_GBK" w:eastAsia="方正书宋_GBK"/>
              </w:rPr>
            </w:pPr>
            <w:r>
              <w:rPr>
                <w:rFonts w:hint="eastAsia" w:ascii="方正书宋_GBK" w:eastAsia="方正书宋_GBK"/>
              </w:rPr>
              <w:t>满意度</w:t>
            </w:r>
          </w:p>
        </w:tc>
        <w:tc>
          <w:tcPr>
            <w:tcW w:w="897" w:type="dxa"/>
            <w:tcBorders>
              <w:tl2br w:val="nil"/>
              <w:tr2bl w:val="nil"/>
            </w:tcBorders>
            <w:noWrap/>
            <w:vAlign w:val="center"/>
          </w:tcPr>
          <w:p w14:paraId="6CB6C579">
            <w:pPr>
              <w:overflowPunct w:val="0"/>
              <w:adjustRightInd w:val="0"/>
              <w:snapToGrid w:val="0"/>
              <w:jc w:val="center"/>
              <w:rPr>
                <w:rFonts w:ascii="方正书宋_GBK" w:eastAsia="方正书宋_GBK"/>
              </w:rPr>
            </w:pPr>
            <w:r>
              <w:rPr>
                <w:rFonts w:eastAsia="仿宋_GB2312"/>
                <w:kern w:val="0"/>
                <w:szCs w:val="21"/>
              </w:rPr>
              <w:t>　</w:t>
            </w:r>
            <w:r>
              <w:rPr>
                <w:rFonts w:hint="eastAsia" w:eastAsia="仿宋_GB2312"/>
                <w:kern w:val="0"/>
                <w:szCs w:val="21"/>
              </w:rPr>
              <w:t>参训人员满意度</w:t>
            </w:r>
          </w:p>
        </w:tc>
        <w:tc>
          <w:tcPr>
            <w:tcW w:w="2172" w:type="dxa"/>
            <w:tcBorders>
              <w:tl2br w:val="nil"/>
              <w:tr2bl w:val="nil"/>
            </w:tcBorders>
            <w:noWrap/>
            <w:vAlign w:val="center"/>
          </w:tcPr>
          <w:p w14:paraId="0CE78E6C">
            <w:pPr>
              <w:overflowPunct w:val="0"/>
              <w:adjustRightInd w:val="0"/>
              <w:snapToGrid w:val="0"/>
              <w:jc w:val="left"/>
              <w:rPr>
                <w:rFonts w:ascii="方正书宋_GBK" w:eastAsia="方正书宋_GBK"/>
              </w:rPr>
            </w:pPr>
            <w:r>
              <w:rPr>
                <w:rFonts w:hint="eastAsia" w:eastAsia="仿宋_GB2312"/>
                <w:kern w:val="0"/>
                <w:szCs w:val="21"/>
              </w:rPr>
              <w:t>满意度≥95%得满分，每降低1%扣除权重10%，扣完为止。</w:t>
            </w:r>
          </w:p>
        </w:tc>
        <w:tc>
          <w:tcPr>
            <w:tcW w:w="1483" w:type="dxa"/>
            <w:tcBorders>
              <w:tl2br w:val="nil"/>
              <w:tr2bl w:val="nil"/>
            </w:tcBorders>
            <w:noWrap/>
            <w:vAlign w:val="center"/>
          </w:tcPr>
          <w:p w14:paraId="68F87B1C">
            <w:pPr>
              <w:overflowPunct w:val="0"/>
              <w:adjustRightInd w:val="0"/>
              <w:snapToGrid w:val="0"/>
              <w:jc w:val="left"/>
              <w:rPr>
                <w:rFonts w:ascii="方正书宋_GBK" w:eastAsia="方正书宋_GBK"/>
              </w:rPr>
            </w:pPr>
            <w:r>
              <w:rPr>
                <w:rFonts w:eastAsia="仿宋_GB2312"/>
                <w:kern w:val="0"/>
                <w:szCs w:val="21"/>
              </w:rPr>
              <w:t>　</w:t>
            </w:r>
            <w:r>
              <w:rPr>
                <w:rFonts w:hint="eastAsia" w:eastAsia="仿宋_GB2312"/>
                <w:kern w:val="0"/>
                <w:szCs w:val="21"/>
              </w:rPr>
              <w:t>参加培训人员的满意度</w:t>
            </w:r>
          </w:p>
        </w:tc>
        <w:tc>
          <w:tcPr>
            <w:tcW w:w="543" w:type="dxa"/>
            <w:tcBorders>
              <w:tl2br w:val="nil"/>
              <w:tr2bl w:val="nil"/>
            </w:tcBorders>
            <w:vAlign w:val="center"/>
          </w:tcPr>
          <w:p w14:paraId="38C29C45">
            <w:pPr>
              <w:overflowPunct w:val="0"/>
              <w:adjustRightInd w:val="0"/>
              <w:snapToGrid w:val="0"/>
              <w:jc w:val="center"/>
              <w:rPr>
                <w:rFonts w:ascii="方正书宋_GBK" w:eastAsia="方正书宋_GBK"/>
              </w:rPr>
            </w:pPr>
            <w:r>
              <w:rPr>
                <w:rFonts w:hint="eastAsia" w:eastAsia="仿宋_GB2312"/>
                <w:kern w:val="0"/>
                <w:szCs w:val="21"/>
              </w:rPr>
              <w:t>≥</w:t>
            </w:r>
          </w:p>
        </w:tc>
        <w:tc>
          <w:tcPr>
            <w:tcW w:w="488" w:type="dxa"/>
            <w:tcBorders>
              <w:tl2br w:val="nil"/>
              <w:tr2bl w:val="nil"/>
            </w:tcBorders>
            <w:vAlign w:val="center"/>
          </w:tcPr>
          <w:p w14:paraId="527FC344">
            <w:pPr>
              <w:overflowPunct w:val="0"/>
              <w:adjustRightInd w:val="0"/>
              <w:snapToGrid w:val="0"/>
              <w:jc w:val="center"/>
              <w:rPr>
                <w:rFonts w:ascii="方正书宋_GBK" w:eastAsia="方正书宋_GBK"/>
              </w:rPr>
            </w:pPr>
            <w:r>
              <w:rPr>
                <w:rFonts w:hint="eastAsia" w:eastAsia="仿宋_GB2312"/>
                <w:kern w:val="0"/>
                <w:szCs w:val="21"/>
              </w:rPr>
              <w:t>95</w:t>
            </w:r>
          </w:p>
        </w:tc>
        <w:tc>
          <w:tcPr>
            <w:tcW w:w="573" w:type="dxa"/>
            <w:tcBorders>
              <w:tl2br w:val="nil"/>
              <w:tr2bl w:val="nil"/>
            </w:tcBorders>
            <w:vAlign w:val="center"/>
          </w:tcPr>
          <w:p w14:paraId="24E991DB">
            <w:pPr>
              <w:overflowPunct w:val="0"/>
              <w:adjustRightInd w:val="0"/>
              <w:snapToGrid w:val="0"/>
              <w:jc w:val="center"/>
              <w:rPr>
                <w:rFonts w:ascii="方正书宋_GBK" w:eastAsia="方正书宋_GBK"/>
              </w:rPr>
            </w:pPr>
            <w:r>
              <w:rPr>
                <w:rFonts w:hint="eastAsia" w:eastAsia="仿宋_GB2312"/>
                <w:kern w:val="0"/>
                <w:szCs w:val="21"/>
              </w:rPr>
              <w:t>%</w:t>
            </w:r>
          </w:p>
        </w:tc>
        <w:tc>
          <w:tcPr>
            <w:tcW w:w="1277" w:type="dxa"/>
            <w:tcBorders>
              <w:tl2br w:val="nil"/>
              <w:tr2bl w:val="nil"/>
            </w:tcBorders>
            <w:vAlign w:val="center"/>
          </w:tcPr>
          <w:p w14:paraId="5BDA088D">
            <w:pPr>
              <w:overflowPunct w:val="0"/>
              <w:adjustRightInd w:val="0"/>
              <w:snapToGrid w:val="0"/>
              <w:jc w:val="center"/>
              <w:rPr>
                <w:rFonts w:ascii="方正书宋_GBK" w:eastAsia="方正书宋_GBK"/>
              </w:rPr>
            </w:pPr>
            <w:r>
              <w:rPr>
                <w:rFonts w:hint="eastAsia" w:eastAsia="仿宋_GB2312"/>
                <w:kern w:val="0"/>
                <w:szCs w:val="21"/>
              </w:rPr>
              <w:t>工作要求</w:t>
            </w:r>
          </w:p>
        </w:tc>
      </w:tr>
      <w:tr w14:paraId="40BBB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04" w:hRule="atLeast"/>
          <w:jc w:val="center"/>
        </w:trPr>
        <w:tc>
          <w:tcPr>
            <w:tcW w:w="558" w:type="dxa"/>
            <w:vMerge w:val="continue"/>
            <w:tcBorders>
              <w:tl2br w:val="nil"/>
              <w:tr2bl w:val="nil"/>
            </w:tcBorders>
            <w:vAlign w:val="center"/>
          </w:tcPr>
          <w:p w14:paraId="322D1206"/>
        </w:tc>
        <w:tc>
          <w:tcPr>
            <w:tcW w:w="825" w:type="dxa"/>
            <w:vMerge w:val="continue"/>
            <w:tcBorders>
              <w:tl2br w:val="nil"/>
              <w:tr2bl w:val="nil"/>
            </w:tcBorders>
            <w:vAlign w:val="center"/>
          </w:tcPr>
          <w:p w14:paraId="773D65DA">
            <w:pPr>
              <w:widowControl/>
              <w:adjustRightInd w:val="0"/>
              <w:snapToGrid w:val="0"/>
              <w:jc w:val="center"/>
              <w:rPr>
                <w:rFonts w:hint="eastAsia" w:ascii="方正书宋_GBK" w:eastAsia="方正书宋_GBK"/>
              </w:rPr>
            </w:pPr>
          </w:p>
        </w:tc>
        <w:tc>
          <w:tcPr>
            <w:tcW w:w="897" w:type="dxa"/>
            <w:tcBorders>
              <w:tl2br w:val="nil"/>
              <w:tr2bl w:val="nil"/>
            </w:tcBorders>
            <w:noWrap/>
            <w:vAlign w:val="center"/>
          </w:tcPr>
          <w:p w14:paraId="2624185A">
            <w:pPr>
              <w:overflowPunct w:val="0"/>
              <w:adjustRightInd w:val="0"/>
              <w:snapToGrid w:val="0"/>
              <w:jc w:val="left"/>
              <w:rPr>
                <w:rFonts w:ascii="方正书宋_GBK" w:eastAsia="方正书宋_GBK"/>
              </w:rPr>
            </w:pPr>
            <w:r>
              <w:rPr>
                <w:rFonts w:eastAsia="仿宋_GB2312"/>
                <w:kern w:val="0"/>
                <w:szCs w:val="21"/>
              </w:rPr>
              <w:t>　</w:t>
            </w:r>
            <w:r>
              <w:rPr>
                <w:rFonts w:hint="eastAsia" w:eastAsia="仿宋_GB2312"/>
                <w:kern w:val="0"/>
                <w:szCs w:val="21"/>
              </w:rPr>
              <w:t>工作人员满意度</w:t>
            </w:r>
          </w:p>
        </w:tc>
        <w:tc>
          <w:tcPr>
            <w:tcW w:w="2172" w:type="dxa"/>
            <w:tcBorders>
              <w:tl2br w:val="nil"/>
              <w:tr2bl w:val="nil"/>
            </w:tcBorders>
            <w:noWrap/>
            <w:vAlign w:val="center"/>
          </w:tcPr>
          <w:p w14:paraId="104C3E3E">
            <w:pPr>
              <w:overflowPunct w:val="0"/>
              <w:adjustRightInd w:val="0"/>
              <w:snapToGrid w:val="0"/>
              <w:jc w:val="left"/>
              <w:rPr>
                <w:rFonts w:ascii="方正书宋_GBK" w:eastAsia="方正书宋_GBK"/>
              </w:rPr>
            </w:pPr>
            <w:r>
              <w:rPr>
                <w:rFonts w:hint="eastAsia" w:eastAsia="仿宋_GB2312"/>
                <w:kern w:val="0"/>
                <w:szCs w:val="21"/>
              </w:rPr>
              <w:t>满意度≥95%得满分，每降低1%扣除权重10%，扣完为止。</w:t>
            </w:r>
          </w:p>
        </w:tc>
        <w:tc>
          <w:tcPr>
            <w:tcW w:w="1483" w:type="dxa"/>
            <w:tcBorders>
              <w:tl2br w:val="nil"/>
              <w:tr2bl w:val="nil"/>
            </w:tcBorders>
            <w:noWrap/>
            <w:vAlign w:val="center"/>
          </w:tcPr>
          <w:p w14:paraId="3F693B56">
            <w:pPr>
              <w:overflowPunct w:val="0"/>
              <w:adjustRightInd w:val="0"/>
              <w:snapToGrid w:val="0"/>
              <w:jc w:val="left"/>
              <w:rPr>
                <w:rFonts w:ascii="方正书宋_GBK" w:eastAsia="方正书宋_GBK"/>
              </w:rPr>
            </w:pPr>
            <w:r>
              <w:rPr>
                <w:rFonts w:eastAsia="仿宋_GB2312"/>
                <w:kern w:val="0"/>
                <w:szCs w:val="21"/>
              </w:rPr>
              <w:t>　</w:t>
            </w:r>
            <w:r>
              <w:rPr>
                <w:rFonts w:hint="eastAsia" w:eastAsia="仿宋_GB2312"/>
                <w:kern w:val="0"/>
                <w:szCs w:val="21"/>
              </w:rPr>
              <w:t>单位工作人员的满意度</w:t>
            </w:r>
          </w:p>
        </w:tc>
        <w:tc>
          <w:tcPr>
            <w:tcW w:w="543" w:type="dxa"/>
            <w:tcBorders>
              <w:tl2br w:val="nil"/>
              <w:tr2bl w:val="nil"/>
            </w:tcBorders>
            <w:vAlign w:val="center"/>
          </w:tcPr>
          <w:p w14:paraId="69B70AD3">
            <w:pPr>
              <w:overflowPunct w:val="0"/>
              <w:adjustRightInd w:val="0"/>
              <w:snapToGrid w:val="0"/>
              <w:jc w:val="center"/>
              <w:rPr>
                <w:rFonts w:ascii="方正书宋_GBK" w:eastAsia="方正书宋_GBK"/>
              </w:rPr>
            </w:pPr>
            <w:r>
              <w:rPr>
                <w:rFonts w:hint="eastAsia" w:eastAsia="仿宋_GB2312"/>
                <w:kern w:val="0"/>
                <w:szCs w:val="21"/>
              </w:rPr>
              <w:t>≥</w:t>
            </w:r>
          </w:p>
        </w:tc>
        <w:tc>
          <w:tcPr>
            <w:tcW w:w="488" w:type="dxa"/>
            <w:tcBorders>
              <w:tl2br w:val="nil"/>
              <w:tr2bl w:val="nil"/>
            </w:tcBorders>
            <w:vAlign w:val="center"/>
          </w:tcPr>
          <w:p w14:paraId="7E212D9A">
            <w:pPr>
              <w:overflowPunct w:val="0"/>
              <w:adjustRightInd w:val="0"/>
              <w:snapToGrid w:val="0"/>
              <w:jc w:val="center"/>
              <w:rPr>
                <w:rFonts w:ascii="方正书宋_GBK" w:eastAsia="方正书宋_GBK"/>
              </w:rPr>
            </w:pPr>
            <w:r>
              <w:rPr>
                <w:rFonts w:hint="eastAsia" w:eastAsia="仿宋_GB2312"/>
                <w:kern w:val="0"/>
                <w:szCs w:val="21"/>
              </w:rPr>
              <w:t>95</w:t>
            </w:r>
          </w:p>
        </w:tc>
        <w:tc>
          <w:tcPr>
            <w:tcW w:w="573" w:type="dxa"/>
            <w:tcBorders>
              <w:tl2br w:val="nil"/>
              <w:tr2bl w:val="nil"/>
            </w:tcBorders>
            <w:vAlign w:val="center"/>
          </w:tcPr>
          <w:p w14:paraId="236962C1">
            <w:pPr>
              <w:overflowPunct w:val="0"/>
              <w:adjustRightInd w:val="0"/>
              <w:snapToGrid w:val="0"/>
              <w:jc w:val="center"/>
              <w:rPr>
                <w:rFonts w:ascii="方正书宋_GBK" w:eastAsia="方正书宋_GBK"/>
              </w:rPr>
            </w:pPr>
            <w:r>
              <w:rPr>
                <w:rFonts w:hint="eastAsia" w:eastAsia="仿宋_GB2312"/>
                <w:kern w:val="0"/>
                <w:szCs w:val="21"/>
              </w:rPr>
              <w:t>%</w:t>
            </w:r>
          </w:p>
        </w:tc>
        <w:tc>
          <w:tcPr>
            <w:tcW w:w="1277" w:type="dxa"/>
            <w:tcBorders>
              <w:tl2br w:val="nil"/>
              <w:tr2bl w:val="nil"/>
            </w:tcBorders>
            <w:vAlign w:val="center"/>
          </w:tcPr>
          <w:p w14:paraId="5DBEED6C">
            <w:pPr>
              <w:overflowPunct w:val="0"/>
              <w:adjustRightInd w:val="0"/>
              <w:snapToGrid w:val="0"/>
              <w:jc w:val="center"/>
              <w:rPr>
                <w:rFonts w:ascii="方正书宋_GBK" w:eastAsia="方正书宋_GBK"/>
              </w:rPr>
            </w:pPr>
            <w:r>
              <w:rPr>
                <w:rFonts w:hint="eastAsia" w:eastAsia="仿宋_GB2312"/>
                <w:kern w:val="0"/>
                <w:szCs w:val="21"/>
              </w:rPr>
              <w:t>工作要求</w:t>
            </w:r>
          </w:p>
        </w:tc>
      </w:tr>
    </w:tbl>
    <w:p w14:paraId="14394392">
      <w:pPr>
        <w:spacing w:line="584" w:lineRule="exact"/>
        <w:rPr>
          <w:rFonts w:ascii="仿宋_GB2312" w:eastAsia="仿宋_GB2312" w:cs="Times New Roman"/>
          <w:sz w:val="32"/>
          <w:szCs w:val="32"/>
        </w:rPr>
      </w:pPr>
    </w:p>
    <w:p w14:paraId="2E8B6928">
      <w:pPr>
        <w:spacing w:line="584"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第二部分 资金绩效目标</w:t>
      </w:r>
    </w:p>
    <w:p w14:paraId="41BCBF40">
      <w:pPr>
        <w:ind w:firstLine="560" w:firstLineChars="200"/>
        <w:jc w:val="left"/>
        <w:outlineLvl w:val="1"/>
        <w:rPr>
          <w:rFonts w:ascii="Times New Roman" w:hAnsi="Times New Roman" w:eastAsia="仿宋_GB2312" w:cs="Times New Roman"/>
          <w:sz w:val="28"/>
        </w:rPr>
      </w:pPr>
      <w:r>
        <w:rPr>
          <w:rFonts w:ascii="Times New Roman" w:hAnsi="Times New Roman" w:eastAsia="仿宋_GB2312" w:cs="Times New Roman"/>
          <w:sz w:val="28"/>
        </w:rPr>
        <w:t>1.</w:t>
      </w:r>
      <w:r>
        <w:rPr>
          <w:rFonts w:hint="eastAsia" w:ascii="Times New Roman" w:hAnsi="Times New Roman" w:eastAsia="仿宋_GB2312" w:cs="Times New Roman"/>
          <w:sz w:val="28"/>
          <w:lang w:eastAsia="zh-CN"/>
        </w:rPr>
        <w:t>机关工作经费</w:t>
      </w:r>
      <w:r>
        <w:rPr>
          <w:rFonts w:ascii="Times New Roman" w:hAnsi="Times New Roman" w:eastAsia="仿宋_GB2312" w:cs="Times New Roman"/>
          <w:sz w:val="28"/>
        </w:rPr>
        <w:t>绩效目标表</w:t>
      </w:r>
      <w:bookmarkStart w:id="0" w:name="_Toc29799657"/>
      <w:bookmarkEnd w:id="0"/>
    </w:p>
    <w:p w14:paraId="4265B23C">
      <w:pPr>
        <w:spacing w:line="14" w:lineRule="exact"/>
        <w:ind w:firstLine="420" w:firstLineChars="200"/>
        <w:jc w:val="center"/>
        <w:rPr>
          <w:rFonts w:ascii="Times New Roman" w:hAnsi="Times New Roman" w:eastAsia="仿宋_GB2312" w:cs="Times New Roman"/>
        </w:rPr>
      </w:pPr>
    </w:p>
    <w:tbl>
      <w:tblPr>
        <w:tblStyle w:val="9"/>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488C77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4E5F03A7">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2E8184C5">
            <w:pPr>
              <w:spacing w:line="300" w:lineRule="exact"/>
              <w:rPr>
                <w:rFonts w:hint="eastAsia" w:ascii="Times New Roman" w:hAnsi="Times New Roman" w:eastAsia="仿宋_GB2312" w:cs="Times New Roman"/>
                <w:b/>
                <w:lang w:eastAsia="zh-CN"/>
              </w:rPr>
            </w:pPr>
            <w:r>
              <w:rPr>
                <w:rFonts w:hint="eastAsia" w:ascii="Times New Roman" w:hAnsi="Times New Roman" w:eastAsia="仿宋_GB2312" w:cs="Times New Roman"/>
                <w:b w:val="0"/>
                <w:bCs/>
                <w:lang w:eastAsia="zh-CN"/>
              </w:rPr>
              <w:t>保障机关正常运转，统战工作顺利开展。</w:t>
            </w:r>
          </w:p>
        </w:tc>
      </w:tr>
      <w:tr w14:paraId="3E50E9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28F925AC">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206C495B">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47D7A1DD">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6902D0DE">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403370F6">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57F4BDBF">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34A2BA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64A364C6">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7B2D39E2">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数量指标</w:t>
            </w:r>
          </w:p>
        </w:tc>
        <w:tc>
          <w:tcPr>
            <w:tcW w:w="1985" w:type="dxa"/>
            <w:shd w:val="clear" w:color="auto" w:fill="auto"/>
            <w:vAlign w:val="center"/>
          </w:tcPr>
          <w:p w14:paraId="685BD192">
            <w:pPr>
              <w:overflowPunct w:val="0"/>
              <w:adjustRightInd w:val="0"/>
              <w:snapToGrid w:val="0"/>
              <w:jc w:val="center"/>
              <w:rPr>
                <w:rFonts w:eastAsia="仿宋_GB2312"/>
                <w:kern w:val="0"/>
                <w:sz w:val="18"/>
                <w:szCs w:val="18"/>
              </w:rPr>
            </w:pPr>
            <w:r>
              <w:rPr>
                <w:rFonts w:hint="eastAsia" w:eastAsia="仿宋_GB2312"/>
                <w:kern w:val="0"/>
                <w:sz w:val="18"/>
                <w:szCs w:val="18"/>
              </w:rPr>
              <w:t>会议</w:t>
            </w:r>
          </w:p>
          <w:p w14:paraId="14B29016">
            <w:pPr>
              <w:overflowPunct w:val="0"/>
              <w:adjustRightInd w:val="0"/>
              <w:snapToGrid w:val="0"/>
              <w:jc w:val="center"/>
              <w:rPr>
                <w:rFonts w:ascii="Times New Roman" w:hAnsi="Times New Roman" w:eastAsia="仿宋_GB2312" w:cs="Times New Roman"/>
              </w:rPr>
            </w:pPr>
            <w:r>
              <w:rPr>
                <w:rFonts w:hint="eastAsia" w:eastAsia="仿宋_GB2312"/>
                <w:kern w:val="0"/>
                <w:sz w:val="18"/>
                <w:szCs w:val="18"/>
              </w:rPr>
              <w:t>、调研活动次数</w:t>
            </w:r>
          </w:p>
        </w:tc>
        <w:tc>
          <w:tcPr>
            <w:tcW w:w="3402" w:type="dxa"/>
            <w:shd w:val="clear" w:color="auto" w:fill="auto"/>
            <w:vAlign w:val="center"/>
          </w:tcPr>
          <w:p w14:paraId="057FC1F0">
            <w:pPr>
              <w:overflowPunct w:val="0"/>
              <w:adjustRightInd w:val="0"/>
              <w:snapToGrid w:val="0"/>
              <w:jc w:val="both"/>
              <w:rPr>
                <w:rFonts w:hint="eastAsia" w:ascii="Times New Roman" w:hAnsi="Times New Roman" w:eastAsia="仿宋_GB2312" w:cs="Times New Roman"/>
                <w:lang w:eastAsia="zh-CN"/>
              </w:rPr>
            </w:pPr>
            <w:r>
              <w:rPr>
                <w:rFonts w:hint="eastAsia" w:eastAsia="仿宋_GB2312"/>
                <w:kern w:val="0"/>
                <w:sz w:val="18"/>
                <w:szCs w:val="18"/>
              </w:rPr>
              <w:t>会议、调研活动次数</w:t>
            </w:r>
            <w:r>
              <w:rPr>
                <w:rFonts w:hint="eastAsia" w:eastAsia="仿宋_GB2312"/>
                <w:kern w:val="0"/>
                <w:sz w:val="18"/>
                <w:szCs w:val="18"/>
                <w:lang w:eastAsia="zh-CN"/>
              </w:rPr>
              <w:t>要求</w:t>
            </w:r>
          </w:p>
        </w:tc>
        <w:tc>
          <w:tcPr>
            <w:tcW w:w="1843" w:type="dxa"/>
            <w:shd w:val="clear" w:color="auto" w:fill="auto"/>
            <w:vAlign w:val="center"/>
          </w:tcPr>
          <w:p w14:paraId="28C24BB7">
            <w:pPr>
              <w:spacing w:line="300" w:lineRule="exact"/>
              <w:jc w:val="left"/>
              <w:rPr>
                <w:rFonts w:hint="default" w:ascii="Times New Roman" w:hAnsi="Times New Roman" w:eastAsia="仿宋_GB2312" w:cs="Times New Roman"/>
                <w:lang w:val="en-US" w:eastAsia="zh-CN"/>
              </w:rPr>
            </w:pPr>
            <w:r>
              <w:rPr>
                <w:rFonts w:hint="eastAsia" w:ascii="Times New Roman" w:hAnsi="Times New Roman" w:eastAsia="仿宋_GB2312" w:cs="Times New Roman"/>
                <w:lang w:eastAsia="zh-CN"/>
              </w:rPr>
              <w:t>≥</w:t>
            </w:r>
            <w:r>
              <w:rPr>
                <w:rFonts w:hint="eastAsia" w:ascii="Times New Roman" w:hAnsi="Times New Roman" w:eastAsia="仿宋_GB2312" w:cs="Times New Roman"/>
                <w:lang w:val="en-US" w:eastAsia="zh-CN"/>
              </w:rPr>
              <w:t>5次</w:t>
            </w:r>
          </w:p>
        </w:tc>
        <w:tc>
          <w:tcPr>
            <w:tcW w:w="2155" w:type="dxa"/>
            <w:shd w:val="clear" w:color="auto" w:fill="auto"/>
            <w:vAlign w:val="center"/>
          </w:tcPr>
          <w:p w14:paraId="3515E235">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工作安排</w:t>
            </w:r>
          </w:p>
        </w:tc>
      </w:tr>
      <w:tr w14:paraId="6B838F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67933CE"/>
        </w:tc>
        <w:tc>
          <w:tcPr>
            <w:tcW w:w="2268" w:type="dxa"/>
            <w:shd w:val="clear" w:color="auto" w:fill="auto"/>
            <w:vAlign w:val="center"/>
          </w:tcPr>
          <w:p w14:paraId="0CBDF4E2">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数量指标</w:t>
            </w:r>
          </w:p>
        </w:tc>
        <w:tc>
          <w:tcPr>
            <w:tcW w:w="1985" w:type="dxa"/>
            <w:shd w:val="clear" w:color="auto" w:fill="auto"/>
            <w:vAlign w:val="center"/>
          </w:tcPr>
          <w:p w14:paraId="093FC95B">
            <w:pPr>
              <w:overflowPunct w:val="0"/>
              <w:adjustRightInd w:val="0"/>
              <w:snapToGrid w:val="0"/>
              <w:jc w:val="center"/>
              <w:rPr>
                <w:rFonts w:ascii="Times New Roman" w:hAnsi="Times New Roman" w:eastAsia="仿宋_GB2312" w:cs="Times New Roman"/>
              </w:rPr>
            </w:pPr>
            <w:r>
              <w:rPr>
                <w:rFonts w:hint="eastAsia" w:eastAsia="仿宋_GB2312"/>
                <w:kern w:val="0"/>
                <w:sz w:val="18"/>
                <w:szCs w:val="18"/>
              </w:rPr>
              <w:t>培训次数</w:t>
            </w:r>
          </w:p>
        </w:tc>
        <w:tc>
          <w:tcPr>
            <w:tcW w:w="3402" w:type="dxa"/>
            <w:shd w:val="clear" w:color="auto" w:fill="auto"/>
            <w:vAlign w:val="center"/>
          </w:tcPr>
          <w:p w14:paraId="7C844789">
            <w:pPr>
              <w:spacing w:line="300" w:lineRule="exact"/>
              <w:jc w:val="left"/>
              <w:rPr>
                <w:rFonts w:hint="eastAsia" w:ascii="Times New Roman" w:hAnsi="Times New Roman" w:eastAsia="仿宋_GB2312" w:cs="Times New Roman"/>
                <w:lang w:eastAsia="zh-CN"/>
              </w:rPr>
            </w:pPr>
            <w:r>
              <w:rPr>
                <w:rFonts w:hint="eastAsia" w:eastAsia="仿宋_GB2312"/>
                <w:kern w:val="0"/>
                <w:sz w:val="18"/>
                <w:szCs w:val="18"/>
              </w:rPr>
              <w:t>培训次数</w:t>
            </w:r>
            <w:r>
              <w:rPr>
                <w:rFonts w:hint="eastAsia" w:eastAsia="仿宋_GB2312"/>
                <w:kern w:val="0"/>
                <w:sz w:val="18"/>
                <w:szCs w:val="18"/>
                <w:lang w:eastAsia="zh-CN"/>
              </w:rPr>
              <w:t>要求</w:t>
            </w:r>
          </w:p>
        </w:tc>
        <w:tc>
          <w:tcPr>
            <w:tcW w:w="1843" w:type="dxa"/>
            <w:shd w:val="clear" w:color="auto" w:fill="auto"/>
            <w:vAlign w:val="center"/>
          </w:tcPr>
          <w:p w14:paraId="223609B2">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w:t>
            </w:r>
            <w:r>
              <w:rPr>
                <w:rFonts w:hint="eastAsia" w:ascii="Times New Roman" w:hAnsi="Times New Roman" w:eastAsia="仿宋_GB2312" w:cs="Times New Roman"/>
                <w:lang w:val="en-US" w:eastAsia="zh-CN"/>
              </w:rPr>
              <w:t>2次</w:t>
            </w:r>
          </w:p>
        </w:tc>
        <w:tc>
          <w:tcPr>
            <w:tcW w:w="2155" w:type="dxa"/>
            <w:shd w:val="clear" w:color="auto" w:fill="auto"/>
            <w:vAlign w:val="center"/>
          </w:tcPr>
          <w:p w14:paraId="03F3D377">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工作安排</w:t>
            </w:r>
          </w:p>
        </w:tc>
      </w:tr>
      <w:tr w14:paraId="08113D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6D8C978"/>
        </w:tc>
        <w:tc>
          <w:tcPr>
            <w:tcW w:w="2268" w:type="dxa"/>
            <w:shd w:val="clear" w:color="auto" w:fill="auto"/>
            <w:vAlign w:val="center"/>
          </w:tcPr>
          <w:p w14:paraId="00AA4224">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质量指标</w:t>
            </w:r>
          </w:p>
        </w:tc>
        <w:tc>
          <w:tcPr>
            <w:tcW w:w="1985" w:type="dxa"/>
            <w:shd w:val="clear" w:color="auto" w:fill="auto"/>
            <w:vAlign w:val="center"/>
          </w:tcPr>
          <w:p w14:paraId="0B4DF867">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培训出勤率</w:t>
            </w:r>
          </w:p>
        </w:tc>
        <w:tc>
          <w:tcPr>
            <w:tcW w:w="3402" w:type="dxa"/>
            <w:shd w:val="clear" w:color="auto" w:fill="auto"/>
            <w:vAlign w:val="center"/>
          </w:tcPr>
          <w:p w14:paraId="409D7D6A">
            <w:pPr>
              <w:spacing w:line="300" w:lineRule="exact"/>
              <w:jc w:val="left"/>
              <w:rPr>
                <w:rFonts w:ascii="Times New Roman" w:hAnsi="Times New Roman" w:eastAsia="仿宋_GB2312" w:cs="Times New Roman"/>
              </w:rPr>
            </w:pPr>
            <w:r>
              <w:rPr>
                <w:rFonts w:eastAsia="仿宋_GB2312"/>
                <w:kern w:val="0"/>
                <w:szCs w:val="21"/>
              </w:rPr>
              <w:t>　</w:t>
            </w:r>
            <w:r>
              <w:rPr>
                <w:rFonts w:hint="eastAsia" w:eastAsia="仿宋_GB2312"/>
                <w:kern w:val="0"/>
                <w:szCs w:val="21"/>
              </w:rPr>
              <w:t>培训人员实际出勤情况占培训计划人数的比重</w:t>
            </w:r>
          </w:p>
        </w:tc>
        <w:tc>
          <w:tcPr>
            <w:tcW w:w="1843" w:type="dxa"/>
            <w:shd w:val="clear" w:color="auto" w:fill="auto"/>
            <w:vAlign w:val="center"/>
          </w:tcPr>
          <w:p w14:paraId="0C26C996">
            <w:pPr>
              <w:spacing w:line="300" w:lineRule="exact"/>
              <w:jc w:val="left"/>
              <w:rPr>
                <w:rFonts w:hint="default" w:ascii="Times New Roman" w:hAnsi="Times New Roman" w:eastAsia="仿宋_GB2312" w:cs="Times New Roman"/>
                <w:lang w:val="en-US"/>
              </w:rPr>
            </w:pPr>
            <w:r>
              <w:rPr>
                <w:rFonts w:hint="eastAsia" w:ascii="Times New Roman" w:hAnsi="Times New Roman" w:eastAsia="仿宋_GB2312" w:cs="Times New Roman"/>
                <w:lang w:eastAsia="zh-CN"/>
              </w:rPr>
              <w:t>≥</w:t>
            </w:r>
            <w:r>
              <w:rPr>
                <w:rFonts w:hint="eastAsia" w:ascii="Times New Roman" w:hAnsi="Times New Roman" w:eastAsia="仿宋_GB2312" w:cs="Times New Roman"/>
                <w:lang w:val="en-US" w:eastAsia="zh-CN"/>
              </w:rPr>
              <w:t>95%</w:t>
            </w:r>
          </w:p>
        </w:tc>
        <w:tc>
          <w:tcPr>
            <w:tcW w:w="2155" w:type="dxa"/>
            <w:shd w:val="clear" w:color="auto" w:fill="auto"/>
            <w:vAlign w:val="center"/>
          </w:tcPr>
          <w:p w14:paraId="6D84D3BD">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工作要求</w:t>
            </w:r>
          </w:p>
        </w:tc>
      </w:tr>
      <w:tr w14:paraId="73064E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9ADD4C0"/>
        </w:tc>
        <w:tc>
          <w:tcPr>
            <w:tcW w:w="2268" w:type="dxa"/>
            <w:shd w:val="clear" w:color="auto" w:fill="auto"/>
            <w:vAlign w:val="center"/>
          </w:tcPr>
          <w:p w14:paraId="7916EF0A">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时效指标</w:t>
            </w:r>
          </w:p>
        </w:tc>
        <w:tc>
          <w:tcPr>
            <w:tcW w:w="1985" w:type="dxa"/>
            <w:shd w:val="clear" w:color="auto" w:fill="auto"/>
            <w:vAlign w:val="center"/>
          </w:tcPr>
          <w:p w14:paraId="37DB675E">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培训、会议及时开展情况</w:t>
            </w:r>
          </w:p>
        </w:tc>
        <w:tc>
          <w:tcPr>
            <w:tcW w:w="3402" w:type="dxa"/>
            <w:shd w:val="clear" w:color="auto" w:fill="auto"/>
            <w:vAlign w:val="center"/>
          </w:tcPr>
          <w:p w14:paraId="57CB9209">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培训、会议及时开展情况</w:t>
            </w:r>
          </w:p>
        </w:tc>
        <w:tc>
          <w:tcPr>
            <w:tcW w:w="1843" w:type="dxa"/>
            <w:shd w:val="clear" w:color="auto" w:fill="auto"/>
            <w:vAlign w:val="center"/>
          </w:tcPr>
          <w:p w14:paraId="697DEA89">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及时开展</w:t>
            </w:r>
          </w:p>
        </w:tc>
        <w:tc>
          <w:tcPr>
            <w:tcW w:w="2155" w:type="dxa"/>
            <w:shd w:val="clear" w:color="auto" w:fill="auto"/>
            <w:vAlign w:val="center"/>
          </w:tcPr>
          <w:p w14:paraId="5623963C">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工作要求</w:t>
            </w:r>
          </w:p>
        </w:tc>
      </w:tr>
      <w:tr w14:paraId="24A97A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0B9149C5"/>
        </w:tc>
        <w:tc>
          <w:tcPr>
            <w:tcW w:w="2268" w:type="dxa"/>
            <w:shd w:val="clear" w:color="auto" w:fill="auto"/>
            <w:vAlign w:val="center"/>
          </w:tcPr>
          <w:p w14:paraId="4D4F54D0">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成本指标</w:t>
            </w:r>
          </w:p>
        </w:tc>
        <w:tc>
          <w:tcPr>
            <w:tcW w:w="1985" w:type="dxa"/>
            <w:shd w:val="clear" w:color="auto" w:fill="auto"/>
            <w:vAlign w:val="center"/>
          </w:tcPr>
          <w:p w14:paraId="50B7FD4B">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成本控制</w:t>
            </w:r>
          </w:p>
        </w:tc>
        <w:tc>
          <w:tcPr>
            <w:tcW w:w="3402" w:type="dxa"/>
            <w:shd w:val="clear" w:color="auto" w:fill="auto"/>
            <w:vAlign w:val="center"/>
          </w:tcPr>
          <w:p w14:paraId="71CE49E4">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成本控制情况</w:t>
            </w:r>
          </w:p>
        </w:tc>
        <w:tc>
          <w:tcPr>
            <w:tcW w:w="1843" w:type="dxa"/>
            <w:shd w:val="clear" w:color="auto" w:fill="auto"/>
            <w:vAlign w:val="center"/>
          </w:tcPr>
          <w:p w14:paraId="3C97979B">
            <w:pPr>
              <w:spacing w:line="300" w:lineRule="exact"/>
              <w:jc w:val="left"/>
              <w:rPr>
                <w:rFonts w:hint="default" w:ascii="Times New Roman" w:hAnsi="Times New Roman" w:eastAsia="仿宋_GB2312" w:cs="Times New Roman"/>
                <w:lang w:val="en-US" w:eastAsia="zh-CN"/>
              </w:rPr>
            </w:pPr>
            <w:r>
              <w:rPr>
                <w:rFonts w:hint="eastAsia" w:ascii="Times New Roman" w:hAnsi="Times New Roman" w:eastAsia="仿宋_GB2312" w:cs="Times New Roman"/>
                <w:lang w:eastAsia="zh-CN"/>
              </w:rPr>
              <w:t>≤</w:t>
            </w:r>
            <w:r>
              <w:rPr>
                <w:rFonts w:hint="eastAsia" w:ascii="Times New Roman" w:hAnsi="Times New Roman" w:eastAsia="仿宋_GB2312" w:cs="Times New Roman"/>
                <w:lang w:val="en-US" w:eastAsia="zh-CN"/>
              </w:rPr>
              <w:t>129.7万元</w:t>
            </w:r>
          </w:p>
        </w:tc>
        <w:tc>
          <w:tcPr>
            <w:tcW w:w="2155" w:type="dxa"/>
            <w:shd w:val="clear" w:color="auto" w:fill="auto"/>
            <w:vAlign w:val="center"/>
          </w:tcPr>
          <w:p w14:paraId="193937FE">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预算安排</w:t>
            </w:r>
          </w:p>
        </w:tc>
      </w:tr>
      <w:tr w14:paraId="0CDBA5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36344D63">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35556E9D">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社会效益指标</w:t>
            </w:r>
          </w:p>
        </w:tc>
        <w:tc>
          <w:tcPr>
            <w:tcW w:w="1985" w:type="dxa"/>
            <w:shd w:val="clear" w:color="auto" w:fill="auto"/>
            <w:vAlign w:val="center"/>
          </w:tcPr>
          <w:p w14:paraId="4A73A5EF">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统战队伍素质提升，统战工作顺利开展</w:t>
            </w:r>
          </w:p>
        </w:tc>
        <w:tc>
          <w:tcPr>
            <w:tcW w:w="3402" w:type="dxa"/>
            <w:shd w:val="clear" w:color="auto" w:fill="auto"/>
            <w:vAlign w:val="center"/>
          </w:tcPr>
          <w:p w14:paraId="62E7342A">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统战队伍素质提升，统战工作顺利开展</w:t>
            </w:r>
          </w:p>
        </w:tc>
        <w:tc>
          <w:tcPr>
            <w:tcW w:w="1843" w:type="dxa"/>
            <w:shd w:val="clear" w:color="auto" w:fill="auto"/>
            <w:vAlign w:val="center"/>
          </w:tcPr>
          <w:p w14:paraId="2F80B4F0">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提升</w:t>
            </w:r>
          </w:p>
        </w:tc>
        <w:tc>
          <w:tcPr>
            <w:tcW w:w="2155" w:type="dxa"/>
            <w:shd w:val="clear" w:color="auto" w:fill="auto"/>
            <w:vAlign w:val="center"/>
          </w:tcPr>
          <w:p w14:paraId="264CAEAC">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工作要求</w:t>
            </w:r>
          </w:p>
        </w:tc>
      </w:tr>
      <w:tr w14:paraId="3D6AE9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6C454D2A">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536A4551">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服务对象满意度</w:t>
            </w:r>
          </w:p>
        </w:tc>
        <w:tc>
          <w:tcPr>
            <w:tcW w:w="1985" w:type="dxa"/>
            <w:shd w:val="clear" w:color="auto" w:fill="auto"/>
            <w:vAlign w:val="center"/>
          </w:tcPr>
          <w:p w14:paraId="101BA00C">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机关工作人员、培训人员满意度</w:t>
            </w:r>
          </w:p>
        </w:tc>
        <w:tc>
          <w:tcPr>
            <w:tcW w:w="3402" w:type="dxa"/>
            <w:shd w:val="clear" w:color="auto" w:fill="auto"/>
            <w:vAlign w:val="center"/>
          </w:tcPr>
          <w:p w14:paraId="0A49ED06">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机关工作人员、培训人员满意度情况</w:t>
            </w:r>
          </w:p>
        </w:tc>
        <w:tc>
          <w:tcPr>
            <w:tcW w:w="1843" w:type="dxa"/>
            <w:shd w:val="clear" w:color="auto" w:fill="auto"/>
            <w:vAlign w:val="center"/>
          </w:tcPr>
          <w:p w14:paraId="2E0E8C7F">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w:t>
            </w:r>
            <w:r>
              <w:rPr>
                <w:rFonts w:hint="eastAsia" w:ascii="Times New Roman" w:hAnsi="Times New Roman" w:eastAsia="仿宋_GB2312" w:cs="Times New Roman"/>
                <w:lang w:val="en-US" w:eastAsia="zh-CN"/>
              </w:rPr>
              <w:t>95%</w:t>
            </w:r>
          </w:p>
        </w:tc>
        <w:tc>
          <w:tcPr>
            <w:tcW w:w="2155" w:type="dxa"/>
            <w:shd w:val="clear" w:color="auto" w:fill="auto"/>
            <w:vAlign w:val="center"/>
          </w:tcPr>
          <w:p w14:paraId="65061D66">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工作要求</w:t>
            </w:r>
          </w:p>
        </w:tc>
      </w:tr>
    </w:tbl>
    <w:p w14:paraId="4560C6CD">
      <w:pPr>
        <w:ind w:firstLine="560" w:firstLineChars="200"/>
        <w:jc w:val="left"/>
        <w:outlineLvl w:val="1"/>
        <w:rPr>
          <w:rFonts w:ascii="Times New Roman" w:hAnsi="Times New Roman" w:eastAsia="仿宋_GB2312" w:cs="Times New Roman"/>
          <w:sz w:val="28"/>
        </w:rPr>
      </w:pPr>
      <w:r>
        <w:rPr>
          <w:rFonts w:ascii="Times New Roman" w:hAnsi="Times New Roman" w:eastAsia="仿宋_GB2312" w:cs="Times New Roman"/>
          <w:sz w:val="28"/>
        </w:rPr>
        <w:t>2.</w:t>
      </w:r>
      <w:r>
        <w:rPr>
          <w:rFonts w:hint="eastAsia" w:ascii="Times New Roman" w:hAnsi="Times New Roman" w:eastAsia="仿宋_GB2312" w:cs="Times New Roman"/>
          <w:sz w:val="28"/>
          <w:lang w:eastAsia="zh-CN"/>
        </w:rPr>
        <w:t>提前下达</w:t>
      </w:r>
      <w:r>
        <w:rPr>
          <w:rFonts w:hint="eastAsia" w:ascii="Times New Roman" w:hAnsi="Times New Roman" w:eastAsia="仿宋_GB2312" w:cs="Times New Roman"/>
          <w:sz w:val="28"/>
          <w:lang w:val="en-US" w:eastAsia="zh-CN"/>
        </w:rPr>
        <w:t>2021年省级基层宗教事务管理补助经费（冀财行[2020]166号）</w:t>
      </w:r>
      <w:r>
        <w:rPr>
          <w:rFonts w:ascii="Times New Roman" w:hAnsi="Times New Roman" w:eastAsia="仿宋_GB2312" w:cs="Times New Roman"/>
          <w:sz w:val="28"/>
        </w:rPr>
        <w:t>绩效目标表</w:t>
      </w:r>
    </w:p>
    <w:p w14:paraId="6E616EAE">
      <w:pPr>
        <w:spacing w:line="14" w:lineRule="exact"/>
        <w:ind w:firstLine="420" w:firstLineChars="200"/>
        <w:jc w:val="center"/>
        <w:rPr>
          <w:rFonts w:ascii="Times New Roman" w:hAnsi="Times New Roman" w:eastAsia="仿宋_GB2312" w:cs="Times New Roman"/>
        </w:rPr>
      </w:pPr>
    </w:p>
    <w:tbl>
      <w:tblPr>
        <w:tblStyle w:val="9"/>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35BDA2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7E89D36E">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5C8167EF">
            <w:pPr>
              <w:spacing w:line="300" w:lineRule="exact"/>
              <w:rPr>
                <w:rFonts w:hint="eastAsia" w:ascii="Times New Roman" w:hAnsi="Times New Roman" w:eastAsia="仿宋_GB2312" w:cs="Times New Roman"/>
                <w:b/>
                <w:lang w:eastAsia="zh-CN"/>
              </w:rPr>
            </w:pPr>
            <w:r>
              <w:rPr>
                <w:rFonts w:hint="eastAsia" w:ascii="Times New Roman" w:hAnsi="Times New Roman" w:eastAsia="仿宋_GB2312" w:cs="Times New Roman"/>
                <w:lang w:eastAsia="zh-CN"/>
              </w:rPr>
              <w:t>保密</w:t>
            </w:r>
          </w:p>
        </w:tc>
      </w:tr>
      <w:tr w14:paraId="135A8C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0038A292">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00D70A32">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67D52029">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48E4A197">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0FA5C92F">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41BAF593">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1D931B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75976D33">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48D60116">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数量指标</w:t>
            </w:r>
          </w:p>
        </w:tc>
        <w:tc>
          <w:tcPr>
            <w:tcW w:w="1985" w:type="dxa"/>
            <w:shd w:val="clear" w:color="auto" w:fill="auto"/>
            <w:vAlign w:val="center"/>
          </w:tcPr>
          <w:p w14:paraId="789575A5">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保密</w:t>
            </w:r>
          </w:p>
        </w:tc>
        <w:tc>
          <w:tcPr>
            <w:tcW w:w="3402" w:type="dxa"/>
            <w:shd w:val="clear" w:color="auto" w:fill="auto"/>
            <w:vAlign w:val="center"/>
          </w:tcPr>
          <w:p w14:paraId="7D7962F5">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保密</w:t>
            </w:r>
          </w:p>
        </w:tc>
        <w:tc>
          <w:tcPr>
            <w:tcW w:w="1843" w:type="dxa"/>
            <w:shd w:val="clear" w:color="auto" w:fill="auto"/>
            <w:vAlign w:val="center"/>
          </w:tcPr>
          <w:p w14:paraId="53CB77F4">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保密</w:t>
            </w:r>
          </w:p>
        </w:tc>
        <w:tc>
          <w:tcPr>
            <w:tcW w:w="2155" w:type="dxa"/>
            <w:shd w:val="clear" w:color="auto" w:fill="auto"/>
            <w:vAlign w:val="center"/>
          </w:tcPr>
          <w:p w14:paraId="1876DAE4">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工作要求</w:t>
            </w:r>
          </w:p>
        </w:tc>
      </w:tr>
      <w:tr w14:paraId="7C2886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332DE6BB"/>
        </w:tc>
        <w:tc>
          <w:tcPr>
            <w:tcW w:w="2268" w:type="dxa"/>
            <w:shd w:val="clear" w:color="auto" w:fill="auto"/>
            <w:vAlign w:val="center"/>
          </w:tcPr>
          <w:p w14:paraId="077308C0">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质量指标</w:t>
            </w:r>
          </w:p>
        </w:tc>
        <w:tc>
          <w:tcPr>
            <w:tcW w:w="1985" w:type="dxa"/>
            <w:shd w:val="clear" w:color="auto" w:fill="auto"/>
            <w:vAlign w:val="center"/>
          </w:tcPr>
          <w:p w14:paraId="12D53081">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保密</w:t>
            </w:r>
          </w:p>
        </w:tc>
        <w:tc>
          <w:tcPr>
            <w:tcW w:w="3402" w:type="dxa"/>
            <w:shd w:val="clear" w:color="auto" w:fill="auto"/>
            <w:vAlign w:val="center"/>
          </w:tcPr>
          <w:p w14:paraId="65F25F7E">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保密</w:t>
            </w:r>
          </w:p>
        </w:tc>
        <w:tc>
          <w:tcPr>
            <w:tcW w:w="1843" w:type="dxa"/>
            <w:shd w:val="clear" w:color="auto" w:fill="auto"/>
            <w:vAlign w:val="center"/>
          </w:tcPr>
          <w:p w14:paraId="601F0ACD">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保密</w:t>
            </w:r>
          </w:p>
        </w:tc>
        <w:tc>
          <w:tcPr>
            <w:tcW w:w="2155" w:type="dxa"/>
            <w:shd w:val="clear" w:color="auto" w:fill="auto"/>
            <w:vAlign w:val="center"/>
          </w:tcPr>
          <w:p w14:paraId="349807DA">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工作要求</w:t>
            </w:r>
          </w:p>
        </w:tc>
      </w:tr>
      <w:tr w14:paraId="32C0CC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485717C4"/>
        </w:tc>
        <w:tc>
          <w:tcPr>
            <w:tcW w:w="2268" w:type="dxa"/>
            <w:shd w:val="clear" w:color="auto" w:fill="auto"/>
            <w:vAlign w:val="center"/>
          </w:tcPr>
          <w:p w14:paraId="2D7C4402">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时效指标</w:t>
            </w:r>
          </w:p>
        </w:tc>
        <w:tc>
          <w:tcPr>
            <w:tcW w:w="1985" w:type="dxa"/>
            <w:shd w:val="clear" w:color="auto" w:fill="auto"/>
            <w:vAlign w:val="center"/>
          </w:tcPr>
          <w:p w14:paraId="6BAF1804">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及时性</w:t>
            </w:r>
          </w:p>
        </w:tc>
        <w:tc>
          <w:tcPr>
            <w:tcW w:w="3402" w:type="dxa"/>
            <w:shd w:val="clear" w:color="auto" w:fill="auto"/>
            <w:vAlign w:val="center"/>
          </w:tcPr>
          <w:p w14:paraId="563705C1">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工作及时开展</w:t>
            </w:r>
          </w:p>
        </w:tc>
        <w:tc>
          <w:tcPr>
            <w:tcW w:w="1843" w:type="dxa"/>
            <w:shd w:val="clear" w:color="auto" w:fill="auto"/>
            <w:vAlign w:val="center"/>
          </w:tcPr>
          <w:p w14:paraId="4E86FF98">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工作及时开展</w:t>
            </w:r>
          </w:p>
        </w:tc>
        <w:tc>
          <w:tcPr>
            <w:tcW w:w="2155" w:type="dxa"/>
            <w:shd w:val="clear" w:color="auto" w:fill="auto"/>
            <w:vAlign w:val="center"/>
          </w:tcPr>
          <w:p w14:paraId="2B192DAC">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工作要求</w:t>
            </w:r>
          </w:p>
        </w:tc>
      </w:tr>
      <w:tr w14:paraId="1AEA48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6768D69"/>
        </w:tc>
        <w:tc>
          <w:tcPr>
            <w:tcW w:w="2268" w:type="dxa"/>
            <w:shd w:val="clear" w:color="auto" w:fill="auto"/>
            <w:vAlign w:val="center"/>
          </w:tcPr>
          <w:p w14:paraId="042F679B">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成本指标</w:t>
            </w:r>
          </w:p>
        </w:tc>
        <w:tc>
          <w:tcPr>
            <w:tcW w:w="1985" w:type="dxa"/>
            <w:shd w:val="clear" w:color="auto" w:fill="auto"/>
            <w:vAlign w:val="center"/>
          </w:tcPr>
          <w:p w14:paraId="07B2C36D">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成本控制</w:t>
            </w:r>
          </w:p>
        </w:tc>
        <w:tc>
          <w:tcPr>
            <w:tcW w:w="3402" w:type="dxa"/>
            <w:shd w:val="clear" w:color="auto" w:fill="auto"/>
            <w:vAlign w:val="center"/>
          </w:tcPr>
          <w:p w14:paraId="7F76BA51">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成本控制预算之内</w:t>
            </w:r>
          </w:p>
        </w:tc>
        <w:tc>
          <w:tcPr>
            <w:tcW w:w="1843" w:type="dxa"/>
            <w:shd w:val="clear" w:color="auto" w:fill="auto"/>
            <w:vAlign w:val="center"/>
          </w:tcPr>
          <w:p w14:paraId="62A25E93">
            <w:pPr>
              <w:spacing w:line="300" w:lineRule="exact"/>
              <w:jc w:val="left"/>
              <w:rPr>
                <w:rFonts w:hint="default" w:ascii="Times New Roman" w:hAnsi="Times New Roman" w:eastAsia="仿宋_GB2312" w:cs="Times New Roman"/>
                <w:lang w:val="en-US" w:eastAsia="zh-CN"/>
              </w:rPr>
            </w:pPr>
            <w:r>
              <w:rPr>
                <w:rFonts w:hint="eastAsia" w:ascii="Times New Roman" w:hAnsi="Times New Roman" w:eastAsia="仿宋_GB2312" w:cs="Times New Roman"/>
                <w:lang w:eastAsia="zh-CN"/>
              </w:rPr>
              <w:t>≤</w:t>
            </w:r>
            <w:r>
              <w:rPr>
                <w:rFonts w:hint="eastAsia" w:ascii="Times New Roman" w:hAnsi="Times New Roman" w:eastAsia="仿宋_GB2312" w:cs="Times New Roman"/>
                <w:lang w:val="en-US" w:eastAsia="zh-CN"/>
              </w:rPr>
              <w:t>7.78万元</w:t>
            </w:r>
          </w:p>
        </w:tc>
        <w:tc>
          <w:tcPr>
            <w:tcW w:w="2155" w:type="dxa"/>
            <w:shd w:val="clear" w:color="auto" w:fill="auto"/>
            <w:vAlign w:val="center"/>
          </w:tcPr>
          <w:p w14:paraId="6ED69D27">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预算安排</w:t>
            </w:r>
          </w:p>
        </w:tc>
      </w:tr>
      <w:tr w14:paraId="783E4D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28D0BF39">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1ABF9B2F">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社会效益指标</w:t>
            </w:r>
          </w:p>
        </w:tc>
        <w:tc>
          <w:tcPr>
            <w:tcW w:w="1985" w:type="dxa"/>
            <w:shd w:val="clear" w:color="auto" w:fill="auto"/>
            <w:vAlign w:val="center"/>
          </w:tcPr>
          <w:p w14:paraId="134C922B">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保密</w:t>
            </w:r>
          </w:p>
        </w:tc>
        <w:tc>
          <w:tcPr>
            <w:tcW w:w="3402" w:type="dxa"/>
            <w:shd w:val="clear" w:color="auto" w:fill="auto"/>
            <w:vAlign w:val="center"/>
          </w:tcPr>
          <w:p w14:paraId="7117BA1E">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保密</w:t>
            </w:r>
          </w:p>
        </w:tc>
        <w:tc>
          <w:tcPr>
            <w:tcW w:w="1843" w:type="dxa"/>
            <w:shd w:val="clear" w:color="auto" w:fill="auto"/>
            <w:vAlign w:val="center"/>
          </w:tcPr>
          <w:p w14:paraId="0A2ABC50">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保密</w:t>
            </w:r>
          </w:p>
        </w:tc>
        <w:tc>
          <w:tcPr>
            <w:tcW w:w="2155" w:type="dxa"/>
            <w:shd w:val="clear" w:color="auto" w:fill="auto"/>
            <w:vAlign w:val="center"/>
          </w:tcPr>
          <w:p w14:paraId="3FA60427">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工作要求</w:t>
            </w:r>
          </w:p>
        </w:tc>
      </w:tr>
      <w:tr w14:paraId="36F02F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5D71223B">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2E195D2D">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服务对象满意度指标</w:t>
            </w:r>
          </w:p>
        </w:tc>
        <w:tc>
          <w:tcPr>
            <w:tcW w:w="1985" w:type="dxa"/>
            <w:shd w:val="clear" w:color="auto" w:fill="auto"/>
            <w:vAlign w:val="center"/>
          </w:tcPr>
          <w:p w14:paraId="7104A7FF">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保密</w:t>
            </w:r>
          </w:p>
        </w:tc>
        <w:tc>
          <w:tcPr>
            <w:tcW w:w="3402" w:type="dxa"/>
            <w:shd w:val="clear" w:color="auto" w:fill="auto"/>
            <w:vAlign w:val="center"/>
          </w:tcPr>
          <w:p w14:paraId="23AEBA28">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保密</w:t>
            </w:r>
          </w:p>
        </w:tc>
        <w:tc>
          <w:tcPr>
            <w:tcW w:w="1843" w:type="dxa"/>
            <w:shd w:val="clear" w:color="auto" w:fill="auto"/>
            <w:vAlign w:val="center"/>
          </w:tcPr>
          <w:p w14:paraId="607A208D">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保密</w:t>
            </w:r>
          </w:p>
        </w:tc>
        <w:tc>
          <w:tcPr>
            <w:tcW w:w="2155" w:type="dxa"/>
            <w:shd w:val="clear" w:color="auto" w:fill="auto"/>
            <w:vAlign w:val="center"/>
          </w:tcPr>
          <w:p w14:paraId="50E53029">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工作要求</w:t>
            </w:r>
          </w:p>
        </w:tc>
      </w:tr>
    </w:tbl>
    <w:p w14:paraId="2FF16B7A">
      <w:pPr>
        <w:numPr>
          <w:ilvl w:val="0"/>
          <w:numId w:val="0"/>
        </w:numPr>
        <w:autoSpaceDE w:val="0"/>
        <w:autoSpaceDN w:val="0"/>
        <w:adjustRightInd w:val="0"/>
        <w:spacing w:line="584" w:lineRule="exact"/>
        <w:ind w:left="660" w:leftChars="0"/>
        <w:jc w:val="left"/>
        <w:rPr>
          <w:rFonts w:ascii="Times New Roman" w:hAnsi="Times New Roman" w:eastAsia="仿宋_GB2312" w:cs="Times New Roman"/>
          <w:sz w:val="28"/>
        </w:rPr>
      </w:pPr>
      <w:r>
        <w:rPr>
          <w:rFonts w:hint="eastAsia" w:ascii="Times New Roman" w:hAnsi="Times New Roman" w:eastAsia="仿宋_GB2312" w:cs="Times New Roman"/>
          <w:sz w:val="28"/>
          <w:lang w:val="en-US" w:eastAsia="zh-CN"/>
        </w:rPr>
        <w:t>3.</w:t>
      </w:r>
      <w:r>
        <w:rPr>
          <w:rFonts w:hint="eastAsia" w:ascii="Times New Roman" w:hAnsi="Times New Roman" w:eastAsia="仿宋_GB2312" w:cs="Times New Roman"/>
          <w:sz w:val="28"/>
          <w:lang w:eastAsia="zh-CN"/>
        </w:rPr>
        <w:t>提前下达</w:t>
      </w:r>
      <w:r>
        <w:rPr>
          <w:rFonts w:hint="eastAsia" w:ascii="Times New Roman" w:hAnsi="Times New Roman" w:eastAsia="仿宋_GB2312" w:cs="Times New Roman"/>
          <w:sz w:val="28"/>
          <w:lang w:val="en-US" w:eastAsia="zh-CN"/>
        </w:rPr>
        <w:t>2022年省级基层宗教事务管理补助经费（冀财行[2021]103号）</w:t>
      </w:r>
      <w:r>
        <w:rPr>
          <w:rFonts w:ascii="Times New Roman" w:hAnsi="Times New Roman" w:eastAsia="仿宋_GB2312" w:cs="Times New Roman"/>
          <w:sz w:val="28"/>
        </w:rPr>
        <w:t>绩效目标表</w:t>
      </w:r>
    </w:p>
    <w:tbl>
      <w:tblPr>
        <w:tblStyle w:val="9"/>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7B9A7F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645B4726">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1B8DDF07">
            <w:pPr>
              <w:spacing w:line="300" w:lineRule="exact"/>
              <w:rPr>
                <w:rFonts w:hint="eastAsia" w:ascii="Times New Roman" w:hAnsi="Times New Roman" w:eastAsia="仿宋_GB2312" w:cs="Times New Roman"/>
                <w:b/>
                <w:lang w:eastAsia="zh-CN"/>
              </w:rPr>
            </w:pPr>
            <w:r>
              <w:rPr>
                <w:rFonts w:hint="eastAsia" w:ascii="Times New Roman" w:hAnsi="Times New Roman" w:eastAsia="仿宋_GB2312" w:cs="Times New Roman"/>
                <w:lang w:eastAsia="zh-CN"/>
              </w:rPr>
              <w:t>保密</w:t>
            </w:r>
          </w:p>
        </w:tc>
      </w:tr>
      <w:tr w14:paraId="03A431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67D18098">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3D05060B">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6209F66D">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405BA564">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1340C940">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3FF0550C">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1E0608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62141542">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0036B595">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数量指标</w:t>
            </w:r>
          </w:p>
        </w:tc>
        <w:tc>
          <w:tcPr>
            <w:tcW w:w="1985" w:type="dxa"/>
            <w:shd w:val="clear" w:color="auto" w:fill="auto"/>
            <w:vAlign w:val="center"/>
          </w:tcPr>
          <w:p w14:paraId="0275C7F4">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保密</w:t>
            </w:r>
          </w:p>
        </w:tc>
        <w:tc>
          <w:tcPr>
            <w:tcW w:w="3402" w:type="dxa"/>
            <w:shd w:val="clear" w:color="auto" w:fill="auto"/>
            <w:vAlign w:val="center"/>
          </w:tcPr>
          <w:p w14:paraId="4A553D67">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保密</w:t>
            </w:r>
          </w:p>
        </w:tc>
        <w:tc>
          <w:tcPr>
            <w:tcW w:w="1843" w:type="dxa"/>
            <w:shd w:val="clear" w:color="auto" w:fill="auto"/>
            <w:vAlign w:val="center"/>
          </w:tcPr>
          <w:p w14:paraId="1A1D1A4D">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保密</w:t>
            </w:r>
          </w:p>
        </w:tc>
        <w:tc>
          <w:tcPr>
            <w:tcW w:w="2155" w:type="dxa"/>
            <w:shd w:val="clear" w:color="auto" w:fill="auto"/>
            <w:vAlign w:val="center"/>
          </w:tcPr>
          <w:p w14:paraId="642575E6">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工作要求</w:t>
            </w:r>
          </w:p>
        </w:tc>
      </w:tr>
      <w:tr w14:paraId="48414C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D00E736"/>
        </w:tc>
        <w:tc>
          <w:tcPr>
            <w:tcW w:w="2268" w:type="dxa"/>
            <w:shd w:val="clear" w:color="auto" w:fill="auto"/>
            <w:vAlign w:val="center"/>
          </w:tcPr>
          <w:p w14:paraId="52E07BF2">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质量指标</w:t>
            </w:r>
          </w:p>
        </w:tc>
        <w:tc>
          <w:tcPr>
            <w:tcW w:w="1985" w:type="dxa"/>
            <w:shd w:val="clear" w:color="auto" w:fill="auto"/>
            <w:vAlign w:val="center"/>
          </w:tcPr>
          <w:p w14:paraId="0BAE5EED">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保密</w:t>
            </w:r>
          </w:p>
        </w:tc>
        <w:tc>
          <w:tcPr>
            <w:tcW w:w="3402" w:type="dxa"/>
            <w:shd w:val="clear" w:color="auto" w:fill="auto"/>
            <w:vAlign w:val="center"/>
          </w:tcPr>
          <w:p w14:paraId="7F6C8102">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保密</w:t>
            </w:r>
          </w:p>
        </w:tc>
        <w:tc>
          <w:tcPr>
            <w:tcW w:w="1843" w:type="dxa"/>
            <w:shd w:val="clear" w:color="auto" w:fill="auto"/>
            <w:vAlign w:val="center"/>
          </w:tcPr>
          <w:p w14:paraId="35CAFD79">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保密</w:t>
            </w:r>
          </w:p>
        </w:tc>
        <w:tc>
          <w:tcPr>
            <w:tcW w:w="2155" w:type="dxa"/>
            <w:shd w:val="clear" w:color="auto" w:fill="auto"/>
            <w:vAlign w:val="center"/>
          </w:tcPr>
          <w:p w14:paraId="06B1D765">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工作要求</w:t>
            </w:r>
          </w:p>
        </w:tc>
      </w:tr>
      <w:tr w14:paraId="7EC8CD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4C0EFFA2"/>
        </w:tc>
        <w:tc>
          <w:tcPr>
            <w:tcW w:w="2268" w:type="dxa"/>
            <w:shd w:val="clear" w:color="auto" w:fill="auto"/>
            <w:vAlign w:val="center"/>
          </w:tcPr>
          <w:p w14:paraId="3FA65982">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时效指标</w:t>
            </w:r>
          </w:p>
        </w:tc>
        <w:tc>
          <w:tcPr>
            <w:tcW w:w="1985" w:type="dxa"/>
            <w:shd w:val="clear" w:color="auto" w:fill="auto"/>
            <w:vAlign w:val="center"/>
          </w:tcPr>
          <w:p w14:paraId="54125CBC">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及时性</w:t>
            </w:r>
          </w:p>
        </w:tc>
        <w:tc>
          <w:tcPr>
            <w:tcW w:w="3402" w:type="dxa"/>
            <w:shd w:val="clear" w:color="auto" w:fill="auto"/>
            <w:vAlign w:val="center"/>
          </w:tcPr>
          <w:p w14:paraId="4ED3290B">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工作及时开展</w:t>
            </w:r>
          </w:p>
        </w:tc>
        <w:tc>
          <w:tcPr>
            <w:tcW w:w="1843" w:type="dxa"/>
            <w:shd w:val="clear" w:color="auto" w:fill="auto"/>
            <w:vAlign w:val="center"/>
          </w:tcPr>
          <w:p w14:paraId="4D650D8F">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工作及时开展</w:t>
            </w:r>
          </w:p>
        </w:tc>
        <w:tc>
          <w:tcPr>
            <w:tcW w:w="2155" w:type="dxa"/>
            <w:shd w:val="clear" w:color="auto" w:fill="auto"/>
            <w:vAlign w:val="center"/>
          </w:tcPr>
          <w:p w14:paraId="313D1E5B">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工作要求</w:t>
            </w:r>
          </w:p>
        </w:tc>
      </w:tr>
      <w:tr w14:paraId="712D86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0AED88F0"/>
        </w:tc>
        <w:tc>
          <w:tcPr>
            <w:tcW w:w="2268" w:type="dxa"/>
            <w:shd w:val="clear" w:color="auto" w:fill="auto"/>
            <w:vAlign w:val="center"/>
          </w:tcPr>
          <w:p w14:paraId="184D1C56">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成本指标</w:t>
            </w:r>
          </w:p>
        </w:tc>
        <w:tc>
          <w:tcPr>
            <w:tcW w:w="1985" w:type="dxa"/>
            <w:shd w:val="clear" w:color="auto" w:fill="auto"/>
            <w:vAlign w:val="center"/>
          </w:tcPr>
          <w:p w14:paraId="0D0F9770">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成本控制</w:t>
            </w:r>
          </w:p>
        </w:tc>
        <w:tc>
          <w:tcPr>
            <w:tcW w:w="3402" w:type="dxa"/>
            <w:shd w:val="clear" w:color="auto" w:fill="auto"/>
            <w:vAlign w:val="center"/>
          </w:tcPr>
          <w:p w14:paraId="7E508A50">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成本控制预算之内</w:t>
            </w:r>
          </w:p>
        </w:tc>
        <w:tc>
          <w:tcPr>
            <w:tcW w:w="1843" w:type="dxa"/>
            <w:shd w:val="clear" w:color="auto" w:fill="auto"/>
            <w:vAlign w:val="center"/>
          </w:tcPr>
          <w:p w14:paraId="4D038070">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w:t>
            </w:r>
            <w:r>
              <w:rPr>
                <w:rFonts w:hint="eastAsia" w:ascii="Times New Roman" w:hAnsi="Times New Roman" w:eastAsia="仿宋_GB2312" w:cs="Times New Roman"/>
                <w:lang w:val="en-US" w:eastAsia="zh-CN"/>
              </w:rPr>
              <w:t>30万元</w:t>
            </w:r>
          </w:p>
        </w:tc>
        <w:tc>
          <w:tcPr>
            <w:tcW w:w="2155" w:type="dxa"/>
            <w:shd w:val="clear" w:color="auto" w:fill="auto"/>
            <w:vAlign w:val="center"/>
          </w:tcPr>
          <w:p w14:paraId="12CB67E7">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预算安排</w:t>
            </w:r>
          </w:p>
        </w:tc>
      </w:tr>
      <w:tr w14:paraId="3BAA3C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1979E05C">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4C0A39CC">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社会效益指标</w:t>
            </w:r>
          </w:p>
        </w:tc>
        <w:tc>
          <w:tcPr>
            <w:tcW w:w="1985" w:type="dxa"/>
            <w:shd w:val="clear" w:color="auto" w:fill="auto"/>
            <w:vAlign w:val="center"/>
          </w:tcPr>
          <w:p w14:paraId="40C17E4C">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保密</w:t>
            </w:r>
          </w:p>
        </w:tc>
        <w:tc>
          <w:tcPr>
            <w:tcW w:w="3402" w:type="dxa"/>
            <w:shd w:val="clear" w:color="auto" w:fill="auto"/>
            <w:vAlign w:val="center"/>
          </w:tcPr>
          <w:p w14:paraId="6738D08D">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保密</w:t>
            </w:r>
          </w:p>
        </w:tc>
        <w:tc>
          <w:tcPr>
            <w:tcW w:w="1843" w:type="dxa"/>
            <w:shd w:val="clear" w:color="auto" w:fill="auto"/>
            <w:vAlign w:val="center"/>
          </w:tcPr>
          <w:p w14:paraId="3295357A">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保密</w:t>
            </w:r>
          </w:p>
        </w:tc>
        <w:tc>
          <w:tcPr>
            <w:tcW w:w="2155" w:type="dxa"/>
            <w:shd w:val="clear" w:color="auto" w:fill="auto"/>
            <w:vAlign w:val="center"/>
          </w:tcPr>
          <w:p w14:paraId="050BEBDF">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工作要求</w:t>
            </w:r>
          </w:p>
        </w:tc>
      </w:tr>
      <w:tr w14:paraId="0B4A1F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68774BB0">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3E39ACDF">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服务对象满意度指标</w:t>
            </w:r>
          </w:p>
        </w:tc>
        <w:tc>
          <w:tcPr>
            <w:tcW w:w="1985" w:type="dxa"/>
            <w:shd w:val="clear" w:color="auto" w:fill="auto"/>
            <w:vAlign w:val="center"/>
          </w:tcPr>
          <w:p w14:paraId="78EA0214">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保密</w:t>
            </w:r>
          </w:p>
        </w:tc>
        <w:tc>
          <w:tcPr>
            <w:tcW w:w="3402" w:type="dxa"/>
            <w:shd w:val="clear" w:color="auto" w:fill="auto"/>
            <w:vAlign w:val="center"/>
          </w:tcPr>
          <w:p w14:paraId="1F246406">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保密</w:t>
            </w:r>
          </w:p>
        </w:tc>
        <w:tc>
          <w:tcPr>
            <w:tcW w:w="1843" w:type="dxa"/>
            <w:shd w:val="clear" w:color="auto" w:fill="auto"/>
            <w:vAlign w:val="center"/>
          </w:tcPr>
          <w:p w14:paraId="4BAAE571">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保密</w:t>
            </w:r>
          </w:p>
        </w:tc>
        <w:tc>
          <w:tcPr>
            <w:tcW w:w="2155" w:type="dxa"/>
            <w:shd w:val="clear" w:color="auto" w:fill="auto"/>
            <w:vAlign w:val="center"/>
          </w:tcPr>
          <w:p w14:paraId="0A28265B">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工作要求</w:t>
            </w:r>
          </w:p>
        </w:tc>
      </w:tr>
    </w:tbl>
    <w:p w14:paraId="036B26BC">
      <w:pPr>
        <w:pStyle w:val="2"/>
        <w:numPr>
          <w:ilvl w:val="0"/>
          <w:numId w:val="0"/>
        </w:numPr>
        <w:rPr>
          <w:rFonts w:hint="default"/>
          <w:lang w:val="en-US" w:eastAsia="zh-CN"/>
        </w:rPr>
      </w:pPr>
      <w:r>
        <w:rPr>
          <w:rFonts w:hint="eastAsia"/>
          <w:lang w:val="en-US" w:eastAsia="zh-CN"/>
        </w:rPr>
        <w:t xml:space="preserve">    </w:t>
      </w:r>
      <w:r>
        <w:rPr>
          <w:rFonts w:hint="eastAsia" w:ascii="Times New Roman" w:hAnsi="Times New Roman" w:eastAsia="仿宋_GB2312" w:cs="Times New Roman"/>
          <w:b w:val="0"/>
          <w:kern w:val="2"/>
          <w:sz w:val="28"/>
          <w:szCs w:val="22"/>
          <w:lang w:val="en-US" w:eastAsia="zh-CN" w:bidi="ar-SA"/>
        </w:rPr>
        <w:t>4.统战“三支队伍”建设工作经费绩效目标表</w:t>
      </w:r>
    </w:p>
    <w:tbl>
      <w:tblPr>
        <w:tblStyle w:val="9"/>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0EEC4A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5EA4098F">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29651ED9">
            <w:pPr>
              <w:spacing w:line="300" w:lineRule="exact"/>
              <w:rPr>
                <w:rFonts w:hint="eastAsia" w:ascii="Times New Roman" w:hAnsi="Times New Roman" w:eastAsia="仿宋_GB2312" w:cs="Times New Roman"/>
                <w:b/>
                <w:lang w:eastAsia="zh-CN"/>
              </w:rPr>
            </w:pPr>
            <w:r>
              <w:rPr>
                <w:rFonts w:hint="eastAsia" w:ascii="Times New Roman" w:hAnsi="Times New Roman" w:eastAsia="仿宋_GB2312" w:cs="Times New Roman"/>
                <w:lang w:eastAsia="zh-CN"/>
              </w:rPr>
              <w:t>统战队伍培训工作</w:t>
            </w:r>
          </w:p>
        </w:tc>
      </w:tr>
      <w:tr w14:paraId="44A709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2AD42C23">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0E310CF6">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30701D97">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52368A5F">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68AE6520">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7B24DF6D">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398DA7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5A6AAB2E">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0C11B411">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数量指标</w:t>
            </w:r>
          </w:p>
        </w:tc>
        <w:tc>
          <w:tcPr>
            <w:tcW w:w="1985" w:type="dxa"/>
            <w:shd w:val="clear" w:color="auto" w:fill="auto"/>
            <w:vAlign w:val="center"/>
          </w:tcPr>
          <w:p w14:paraId="4A2D851F">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培训次数</w:t>
            </w:r>
          </w:p>
        </w:tc>
        <w:tc>
          <w:tcPr>
            <w:tcW w:w="3402" w:type="dxa"/>
            <w:shd w:val="clear" w:color="auto" w:fill="auto"/>
            <w:vAlign w:val="center"/>
          </w:tcPr>
          <w:p w14:paraId="357F6865">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培训次数</w:t>
            </w:r>
          </w:p>
        </w:tc>
        <w:tc>
          <w:tcPr>
            <w:tcW w:w="1843" w:type="dxa"/>
            <w:shd w:val="clear" w:color="auto" w:fill="auto"/>
            <w:vAlign w:val="center"/>
          </w:tcPr>
          <w:p w14:paraId="1800E667">
            <w:pPr>
              <w:spacing w:line="300" w:lineRule="exact"/>
              <w:jc w:val="left"/>
              <w:rPr>
                <w:rFonts w:hint="default" w:ascii="Times New Roman" w:hAnsi="Times New Roman" w:eastAsia="仿宋_GB2312" w:cs="Times New Roman"/>
                <w:lang w:val="en-US" w:eastAsia="zh-CN"/>
              </w:rPr>
            </w:pPr>
            <w:r>
              <w:rPr>
                <w:rFonts w:hint="eastAsia" w:ascii="Times New Roman" w:hAnsi="Times New Roman" w:eastAsia="仿宋_GB2312" w:cs="Times New Roman"/>
                <w:lang w:eastAsia="zh-CN"/>
              </w:rPr>
              <w:t>≥</w:t>
            </w:r>
            <w:r>
              <w:rPr>
                <w:rFonts w:hint="eastAsia" w:ascii="Times New Roman" w:hAnsi="Times New Roman" w:eastAsia="仿宋_GB2312" w:cs="Times New Roman"/>
                <w:lang w:val="en-US" w:eastAsia="zh-CN"/>
              </w:rPr>
              <w:t>4次</w:t>
            </w:r>
          </w:p>
        </w:tc>
        <w:tc>
          <w:tcPr>
            <w:tcW w:w="2155" w:type="dxa"/>
            <w:shd w:val="clear" w:color="auto" w:fill="auto"/>
            <w:vAlign w:val="center"/>
          </w:tcPr>
          <w:p w14:paraId="0BE3723B">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工作计划</w:t>
            </w:r>
          </w:p>
        </w:tc>
      </w:tr>
      <w:tr w14:paraId="1F8BB7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2F409897"/>
        </w:tc>
        <w:tc>
          <w:tcPr>
            <w:tcW w:w="2268" w:type="dxa"/>
            <w:shd w:val="clear" w:color="auto" w:fill="auto"/>
            <w:vAlign w:val="center"/>
          </w:tcPr>
          <w:p w14:paraId="09BEB7D2">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质量指标</w:t>
            </w:r>
          </w:p>
        </w:tc>
        <w:tc>
          <w:tcPr>
            <w:tcW w:w="1985" w:type="dxa"/>
            <w:shd w:val="clear" w:color="auto" w:fill="auto"/>
            <w:vAlign w:val="center"/>
          </w:tcPr>
          <w:p w14:paraId="3277EB88">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培训合格率</w:t>
            </w:r>
          </w:p>
        </w:tc>
        <w:tc>
          <w:tcPr>
            <w:tcW w:w="3402" w:type="dxa"/>
            <w:shd w:val="clear" w:color="auto" w:fill="auto"/>
            <w:vAlign w:val="center"/>
          </w:tcPr>
          <w:p w14:paraId="2B52F7E4">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培训合格情况</w:t>
            </w:r>
          </w:p>
        </w:tc>
        <w:tc>
          <w:tcPr>
            <w:tcW w:w="1843" w:type="dxa"/>
            <w:shd w:val="clear" w:color="auto" w:fill="auto"/>
            <w:vAlign w:val="center"/>
          </w:tcPr>
          <w:p w14:paraId="623DD59A">
            <w:pPr>
              <w:spacing w:line="300" w:lineRule="exact"/>
              <w:jc w:val="left"/>
              <w:rPr>
                <w:rFonts w:hint="default" w:ascii="Times New Roman" w:hAnsi="Times New Roman" w:eastAsia="仿宋_GB2312" w:cs="Times New Roman"/>
                <w:lang w:val="en-US" w:eastAsia="zh-CN"/>
              </w:rPr>
            </w:pPr>
            <w:r>
              <w:rPr>
                <w:rFonts w:hint="eastAsia" w:ascii="Times New Roman" w:hAnsi="Times New Roman" w:eastAsia="仿宋_GB2312" w:cs="Times New Roman"/>
                <w:lang w:eastAsia="zh-CN"/>
              </w:rPr>
              <w:t>≥</w:t>
            </w:r>
            <w:r>
              <w:rPr>
                <w:rFonts w:hint="eastAsia" w:ascii="Times New Roman" w:hAnsi="Times New Roman" w:eastAsia="仿宋_GB2312" w:cs="Times New Roman"/>
                <w:lang w:val="en-US" w:eastAsia="zh-CN"/>
              </w:rPr>
              <w:t>95%</w:t>
            </w:r>
          </w:p>
        </w:tc>
        <w:tc>
          <w:tcPr>
            <w:tcW w:w="2155" w:type="dxa"/>
            <w:shd w:val="clear" w:color="auto" w:fill="auto"/>
            <w:vAlign w:val="center"/>
          </w:tcPr>
          <w:p w14:paraId="0F8F797D">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工作计划</w:t>
            </w:r>
          </w:p>
        </w:tc>
      </w:tr>
      <w:tr w14:paraId="518F2C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7E05FD4"/>
        </w:tc>
        <w:tc>
          <w:tcPr>
            <w:tcW w:w="2268" w:type="dxa"/>
            <w:shd w:val="clear" w:color="auto" w:fill="auto"/>
            <w:vAlign w:val="center"/>
          </w:tcPr>
          <w:p w14:paraId="2C8A69AB">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时效指标</w:t>
            </w:r>
          </w:p>
        </w:tc>
        <w:tc>
          <w:tcPr>
            <w:tcW w:w="1985" w:type="dxa"/>
            <w:shd w:val="clear" w:color="auto" w:fill="auto"/>
            <w:vAlign w:val="center"/>
          </w:tcPr>
          <w:p w14:paraId="3F0DA3C3">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培训及时性</w:t>
            </w:r>
          </w:p>
        </w:tc>
        <w:tc>
          <w:tcPr>
            <w:tcW w:w="3402" w:type="dxa"/>
            <w:shd w:val="clear" w:color="auto" w:fill="auto"/>
            <w:vAlign w:val="center"/>
          </w:tcPr>
          <w:p w14:paraId="6111BA9E">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培训及时性</w:t>
            </w:r>
          </w:p>
        </w:tc>
        <w:tc>
          <w:tcPr>
            <w:tcW w:w="1843" w:type="dxa"/>
            <w:shd w:val="clear" w:color="auto" w:fill="auto"/>
            <w:vAlign w:val="center"/>
          </w:tcPr>
          <w:p w14:paraId="1BA67D4F">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及时开展</w:t>
            </w:r>
          </w:p>
        </w:tc>
        <w:tc>
          <w:tcPr>
            <w:tcW w:w="2155" w:type="dxa"/>
            <w:shd w:val="clear" w:color="auto" w:fill="auto"/>
            <w:vAlign w:val="center"/>
          </w:tcPr>
          <w:p w14:paraId="1C4191EC">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工作计划</w:t>
            </w:r>
          </w:p>
        </w:tc>
      </w:tr>
      <w:tr w14:paraId="2CC715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D7845E0"/>
        </w:tc>
        <w:tc>
          <w:tcPr>
            <w:tcW w:w="2268" w:type="dxa"/>
            <w:shd w:val="clear" w:color="auto" w:fill="auto"/>
            <w:vAlign w:val="center"/>
          </w:tcPr>
          <w:p w14:paraId="00E87032">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成本指标</w:t>
            </w:r>
          </w:p>
        </w:tc>
        <w:tc>
          <w:tcPr>
            <w:tcW w:w="1985" w:type="dxa"/>
            <w:shd w:val="clear" w:color="auto" w:fill="auto"/>
            <w:vAlign w:val="center"/>
          </w:tcPr>
          <w:p w14:paraId="2950CCB9">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培训成本控制</w:t>
            </w:r>
          </w:p>
        </w:tc>
        <w:tc>
          <w:tcPr>
            <w:tcW w:w="3402" w:type="dxa"/>
            <w:shd w:val="clear" w:color="auto" w:fill="auto"/>
            <w:vAlign w:val="center"/>
          </w:tcPr>
          <w:p w14:paraId="1CA5253E">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培训成本控制</w:t>
            </w:r>
          </w:p>
        </w:tc>
        <w:tc>
          <w:tcPr>
            <w:tcW w:w="1843" w:type="dxa"/>
            <w:shd w:val="clear" w:color="auto" w:fill="auto"/>
            <w:vAlign w:val="center"/>
          </w:tcPr>
          <w:p w14:paraId="2DD64F60">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预算安排成本</w:t>
            </w:r>
          </w:p>
        </w:tc>
        <w:tc>
          <w:tcPr>
            <w:tcW w:w="2155" w:type="dxa"/>
            <w:shd w:val="clear" w:color="auto" w:fill="auto"/>
            <w:vAlign w:val="center"/>
          </w:tcPr>
          <w:p w14:paraId="7BD5C030">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预算安排成本</w:t>
            </w:r>
          </w:p>
        </w:tc>
      </w:tr>
      <w:tr w14:paraId="22EBFA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64836231">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05969E63">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社会效益指标</w:t>
            </w:r>
          </w:p>
        </w:tc>
        <w:tc>
          <w:tcPr>
            <w:tcW w:w="1985" w:type="dxa"/>
            <w:shd w:val="clear" w:color="auto" w:fill="auto"/>
            <w:vAlign w:val="center"/>
          </w:tcPr>
          <w:p w14:paraId="4A2236CB">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统战队伍政治素质提升，业务能力增强</w:t>
            </w:r>
          </w:p>
        </w:tc>
        <w:tc>
          <w:tcPr>
            <w:tcW w:w="3402" w:type="dxa"/>
            <w:shd w:val="clear" w:color="auto" w:fill="auto"/>
            <w:vAlign w:val="center"/>
          </w:tcPr>
          <w:p w14:paraId="60F4E64E">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统战队伍政治素质提升，业务能力增强</w:t>
            </w:r>
          </w:p>
        </w:tc>
        <w:tc>
          <w:tcPr>
            <w:tcW w:w="1843" w:type="dxa"/>
            <w:shd w:val="clear" w:color="auto" w:fill="auto"/>
            <w:vAlign w:val="center"/>
          </w:tcPr>
          <w:p w14:paraId="243226F2">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提升</w:t>
            </w:r>
          </w:p>
        </w:tc>
        <w:tc>
          <w:tcPr>
            <w:tcW w:w="2155" w:type="dxa"/>
            <w:shd w:val="clear" w:color="auto" w:fill="auto"/>
            <w:vAlign w:val="center"/>
          </w:tcPr>
          <w:p w14:paraId="01EF1B3D">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工作要求</w:t>
            </w:r>
          </w:p>
        </w:tc>
      </w:tr>
      <w:tr w14:paraId="6A8271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19617253">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10C247DF">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服务对象满意度指标</w:t>
            </w:r>
          </w:p>
        </w:tc>
        <w:tc>
          <w:tcPr>
            <w:tcW w:w="1985" w:type="dxa"/>
            <w:shd w:val="clear" w:color="auto" w:fill="auto"/>
            <w:vAlign w:val="center"/>
          </w:tcPr>
          <w:p w14:paraId="447E03E1">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参加培训人员满意度</w:t>
            </w:r>
          </w:p>
        </w:tc>
        <w:tc>
          <w:tcPr>
            <w:tcW w:w="3402" w:type="dxa"/>
            <w:shd w:val="clear" w:color="auto" w:fill="auto"/>
            <w:vAlign w:val="center"/>
          </w:tcPr>
          <w:p w14:paraId="69AAEF13">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参加培训人员满意度</w:t>
            </w:r>
          </w:p>
        </w:tc>
        <w:tc>
          <w:tcPr>
            <w:tcW w:w="1843" w:type="dxa"/>
            <w:shd w:val="clear" w:color="auto" w:fill="auto"/>
            <w:vAlign w:val="center"/>
          </w:tcPr>
          <w:p w14:paraId="0EB1EF3D">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w:t>
            </w:r>
            <w:r>
              <w:rPr>
                <w:rFonts w:hint="eastAsia" w:ascii="Times New Roman" w:hAnsi="Times New Roman" w:eastAsia="仿宋_GB2312" w:cs="Times New Roman"/>
                <w:lang w:val="en-US" w:eastAsia="zh-CN"/>
              </w:rPr>
              <w:t>95%</w:t>
            </w:r>
          </w:p>
        </w:tc>
        <w:tc>
          <w:tcPr>
            <w:tcW w:w="2155" w:type="dxa"/>
            <w:shd w:val="clear" w:color="auto" w:fill="auto"/>
            <w:vAlign w:val="center"/>
          </w:tcPr>
          <w:p w14:paraId="7C654C12">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工作要求</w:t>
            </w:r>
          </w:p>
        </w:tc>
      </w:tr>
    </w:tbl>
    <w:p w14:paraId="51D7F593">
      <w:pPr>
        <w:numPr>
          <w:ilvl w:val="0"/>
          <w:numId w:val="1"/>
        </w:numPr>
        <w:autoSpaceDE w:val="0"/>
        <w:autoSpaceDN w:val="0"/>
        <w:adjustRightInd w:val="0"/>
        <w:spacing w:line="584" w:lineRule="exact"/>
        <w:ind w:firstLine="560" w:firstLineChars="200"/>
        <w:jc w:val="left"/>
        <w:rPr>
          <w:rFonts w:hint="eastAsia" w:ascii="Times New Roman" w:hAnsi="Times New Roman" w:eastAsia="仿宋_GB2312" w:cs="Times New Roman"/>
          <w:b w:val="0"/>
          <w:kern w:val="2"/>
          <w:sz w:val="28"/>
          <w:szCs w:val="22"/>
          <w:lang w:val="en-US" w:eastAsia="zh-CN" w:bidi="ar-SA"/>
        </w:rPr>
      </w:pPr>
      <w:r>
        <w:rPr>
          <w:rFonts w:hint="eastAsia" w:ascii="Times New Roman" w:hAnsi="Times New Roman" w:eastAsia="仿宋_GB2312" w:cs="Times New Roman"/>
          <w:b w:val="0"/>
          <w:kern w:val="2"/>
          <w:sz w:val="28"/>
          <w:szCs w:val="22"/>
          <w:lang w:val="en-US" w:eastAsia="zh-CN" w:bidi="ar-SA"/>
        </w:rPr>
        <w:t>宗教工作专项经费绩效目标表</w:t>
      </w:r>
    </w:p>
    <w:tbl>
      <w:tblPr>
        <w:tblStyle w:val="9"/>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3ECC16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397" w:hRule="atLeast"/>
          <w:tblHeader/>
          <w:jc w:val="center"/>
        </w:trPr>
        <w:tc>
          <w:tcPr>
            <w:tcW w:w="2409" w:type="dxa"/>
            <w:shd w:val="clear" w:color="auto" w:fill="auto"/>
            <w:vAlign w:val="center"/>
          </w:tcPr>
          <w:p w14:paraId="27D1E4DB">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3786125C">
            <w:pPr>
              <w:spacing w:line="300" w:lineRule="exact"/>
              <w:rPr>
                <w:rFonts w:hint="eastAsia" w:ascii="Times New Roman" w:hAnsi="Times New Roman" w:eastAsia="仿宋_GB2312" w:cs="Times New Roman"/>
                <w:b/>
                <w:lang w:eastAsia="zh-CN"/>
              </w:rPr>
            </w:pPr>
            <w:r>
              <w:rPr>
                <w:rFonts w:hint="eastAsia" w:ascii="Times New Roman" w:hAnsi="Times New Roman" w:eastAsia="仿宋_GB2312" w:cs="Times New Roman"/>
                <w:lang w:eastAsia="zh-CN"/>
              </w:rPr>
              <w:t>保密</w:t>
            </w:r>
          </w:p>
        </w:tc>
      </w:tr>
      <w:tr w14:paraId="05385E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564951F9">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50CE26A7">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23CF4ADB">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0A98BC63">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101A1017">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5C409088">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6566D3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39" w:hRule="atLeast"/>
          <w:jc w:val="center"/>
        </w:trPr>
        <w:tc>
          <w:tcPr>
            <w:tcW w:w="2409" w:type="dxa"/>
            <w:vMerge w:val="restart"/>
            <w:shd w:val="clear" w:color="auto" w:fill="auto"/>
            <w:vAlign w:val="center"/>
          </w:tcPr>
          <w:p w14:paraId="11DB1014">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55FA18ED">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数量指标</w:t>
            </w:r>
          </w:p>
        </w:tc>
        <w:tc>
          <w:tcPr>
            <w:tcW w:w="1985" w:type="dxa"/>
            <w:shd w:val="clear" w:color="auto" w:fill="auto"/>
            <w:vAlign w:val="center"/>
          </w:tcPr>
          <w:p w14:paraId="7CF7E64D">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保密</w:t>
            </w:r>
          </w:p>
        </w:tc>
        <w:tc>
          <w:tcPr>
            <w:tcW w:w="3402" w:type="dxa"/>
            <w:shd w:val="clear" w:color="auto" w:fill="auto"/>
            <w:vAlign w:val="center"/>
          </w:tcPr>
          <w:p w14:paraId="4AD853F7">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保密</w:t>
            </w:r>
          </w:p>
        </w:tc>
        <w:tc>
          <w:tcPr>
            <w:tcW w:w="1843" w:type="dxa"/>
            <w:shd w:val="clear" w:color="auto" w:fill="auto"/>
            <w:vAlign w:val="center"/>
          </w:tcPr>
          <w:p w14:paraId="4D6E165D">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保密</w:t>
            </w:r>
          </w:p>
        </w:tc>
        <w:tc>
          <w:tcPr>
            <w:tcW w:w="2155" w:type="dxa"/>
            <w:shd w:val="clear" w:color="auto" w:fill="auto"/>
            <w:vAlign w:val="center"/>
          </w:tcPr>
          <w:p w14:paraId="1D22598F">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工作要求</w:t>
            </w:r>
          </w:p>
        </w:tc>
      </w:tr>
      <w:tr w14:paraId="7B33C8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5078203C"/>
        </w:tc>
        <w:tc>
          <w:tcPr>
            <w:tcW w:w="2268" w:type="dxa"/>
            <w:shd w:val="clear" w:color="auto" w:fill="auto"/>
            <w:vAlign w:val="center"/>
          </w:tcPr>
          <w:p w14:paraId="38C11F41">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质量指标</w:t>
            </w:r>
          </w:p>
        </w:tc>
        <w:tc>
          <w:tcPr>
            <w:tcW w:w="1985" w:type="dxa"/>
            <w:shd w:val="clear" w:color="auto" w:fill="auto"/>
            <w:vAlign w:val="center"/>
          </w:tcPr>
          <w:p w14:paraId="456292AD">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保密</w:t>
            </w:r>
          </w:p>
        </w:tc>
        <w:tc>
          <w:tcPr>
            <w:tcW w:w="3402" w:type="dxa"/>
            <w:shd w:val="clear" w:color="auto" w:fill="auto"/>
            <w:vAlign w:val="center"/>
          </w:tcPr>
          <w:p w14:paraId="12BF55AF">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保密</w:t>
            </w:r>
          </w:p>
        </w:tc>
        <w:tc>
          <w:tcPr>
            <w:tcW w:w="1843" w:type="dxa"/>
            <w:shd w:val="clear" w:color="auto" w:fill="auto"/>
            <w:vAlign w:val="center"/>
          </w:tcPr>
          <w:p w14:paraId="62461EFA">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保密</w:t>
            </w:r>
          </w:p>
        </w:tc>
        <w:tc>
          <w:tcPr>
            <w:tcW w:w="2155" w:type="dxa"/>
            <w:shd w:val="clear" w:color="auto" w:fill="auto"/>
            <w:vAlign w:val="center"/>
          </w:tcPr>
          <w:p w14:paraId="427F5177">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工作要求</w:t>
            </w:r>
          </w:p>
        </w:tc>
      </w:tr>
      <w:tr w14:paraId="03D662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2AA30A7B"/>
        </w:tc>
        <w:tc>
          <w:tcPr>
            <w:tcW w:w="2268" w:type="dxa"/>
            <w:shd w:val="clear" w:color="auto" w:fill="auto"/>
            <w:vAlign w:val="center"/>
          </w:tcPr>
          <w:p w14:paraId="6351024D">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时效指标</w:t>
            </w:r>
          </w:p>
        </w:tc>
        <w:tc>
          <w:tcPr>
            <w:tcW w:w="1985" w:type="dxa"/>
            <w:shd w:val="clear" w:color="auto" w:fill="auto"/>
            <w:vAlign w:val="center"/>
          </w:tcPr>
          <w:p w14:paraId="7095990C">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及时性</w:t>
            </w:r>
          </w:p>
        </w:tc>
        <w:tc>
          <w:tcPr>
            <w:tcW w:w="3402" w:type="dxa"/>
            <w:shd w:val="clear" w:color="auto" w:fill="auto"/>
            <w:vAlign w:val="center"/>
          </w:tcPr>
          <w:p w14:paraId="667E4447">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工作及时开展</w:t>
            </w:r>
          </w:p>
        </w:tc>
        <w:tc>
          <w:tcPr>
            <w:tcW w:w="1843" w:type="dxa"/>
            <w:shd w:val="clear" w:color="auto" w:fill="auto"/>
            <w:vAlign w:val="center"/>
          </w:tcPr>
          <w:p w14:paraId="2D5D2BAF">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及时性</w:t>
            </w:r>
          </w:p>
        </w:tc>
        <w:tc>
          <w:tcPr>
            <w:tcW w:w="2155" w:type="dxa"/>
            <w:shd w:val="clear" w:color="auto" w:fill="auto"/>
            <w:vAlign w:val="center"/>
          </w:tcPr>
          <w:p w14:paraId="5F4340C9">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工作要求</w:t>
            </w:r>
          </w:p>
        </w:tc>
      </w:tr>
      <w:tr w14:paraId="3ADC47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0F8A0620"/>
        </w:tc>
        <w:tc>
          <w:tcPr>
            <w:tcW w:w="2268" w:type="dxa"/>
            <w:shd w:val="clear" w:color="auto" w:fill="auto"/>
            <w:vAlign w:val="center"/>
          </w:tcPr>
          <w:p w14:paraId="765A715B">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成本指标</w:t>
            </w:r>
          </w:p>
        </w:tc>
        <w:tc>
          <w:tcPr>
            <w:tcW w:w="1985" w:type="dxa"/>
            <w:shd w:val="clear" w:color="auto" w:fill="auto"/>
            <w:vAlign w:val="center"/>
          </w:tcPr>
          <w:p w14:paraId="205F87E0">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成本控制</w:t>
            </w:r>
          </w:p>
        </w:tc>
        <w:tc>
          <w:tcPr>
            <w:tcW w:w="3402" w:type="dxa"/>
            <w:shd w:val="clear" w:color="auto" w:fill="auto"/>
            <w:vAlign w:val="center"/>
          </w:tcPr>
          <w:p w14:paraId="475ABE9C">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成本控制</w:t>
            </w:r>
          </w:p>
        </w:tc>
        <w:tc>
          <w:tcPr>
            <w:tcW w:w="1843" w:type="dxa"/>
            <w:shd w:val="clear" w:color="auto" w:fill="auto"/>
            <w:vAlign w:val="center"/>
          </w:tcPr>
          <w:p w14:paraId="3D0AC4AB">
            <w:pPr>
              <w:spacing w:line="300" w:lineRule="exact"/>
              <w:jc w:val="left"/>
              <w:rPr>
                <w:rFonts w:hint="default" w:ascii="Times New Roman" w:hAnsi="Times New Roman" w:eastAsia="仿宋_GB2312" w:cs="Times New Roman"/>
                <w:lang w:val="en-US" w:eastAsia="zh-CN"/>
              </w:rPr>
            </w:pPr>
            <w:r>
              <w:rPr>
                <w:rFonts w:hint="eastAsia" w:ascii="Times New Roman" w:hAnsi="Times New Roman" w:eastAsia="仿宋_GB2312" w:cs="Times New Roman"/>
                <w:lang w:eastAsia="zh-CN"/>
              </w:rPr>
              <w:t>≤</w:t>
            </w:r>
            <w:r>
              <w:rPr>
                <w:rFonts w:hint="eastAsia" w:ascii="Times New Roman" w:hAnsi="Times New Roman" w:eastAsia="仿宋_GB2312" w:cs="Times New Roman"/>
                <w:lang w:val="en-US" w:eastAsia="zh-CN"/>
              </w:rPr>
              <w:t>40万元</w:t>
            </w:r>
          </w:p>
        </w:tc>
        <w:tc>
          <w:tcPr>
            <w:tcW w:w="2155" w:type="dxa"/>
            <w:shd w:val="clear" w:color="auto" w:fill="auto"/>
            <w:vAlign w:val="center"/>
          </w:tcPr>
          <w:p w14:paraId="301F2632">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预算安排</w:t>
            </w:r>
          </w:p>
        </w:tc>
      </w:tr>
      <w:tr w14:paraId="242926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4707C296">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432FA7A0">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社会效益指标</w:t>
            </w:r>
          </w:p>
        </w:tc>
        <w:tc>
          <w:tcPr>
            <w:tcW w:w="1985" w:type="dxa"/>
            <w:shd w:val="clear" w:color="auto" w:fill="auto"/>
            <w:vAlign w:val="center"/>
          </w:tcPr>
          <w:p w14:paraId="24A9F977">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保密</w:t>
            </w:r>
          </w:p>
        </w:tc>
        <w:tc>
          <w:tcPr>
            <w:tcW w:w="3402" w:type="dxa"/>
            <w:shd w:val="clear" w:color="auto" w:fill="auto"/>
            <w:vAlign w:val="center"/>
          </w:tcPr>
          <w:p w14:paraId="4BA40C58">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保密</w:t>
            </w:r>
          </w:p>
        </w:tc>
        <w:tc>
          <w:tcPr>
            <w:tcW w:w="1843" w:type="dxa"/>
            <w:shd w:val="clear" w:color="auto" w:fill="auto"/>
            <w:vAlign w:val="center"/>
          </w:tcPr>
          <w:p w14:paraId="2B14E025">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保密</w:t>
            </w:r>
          </w:p>
        </w:tc>
        <w:tc>
          <w:tcPr>
            <w:tcW w:w="2155" w:type="dxa"/>
            <w:shd w:val="clear" w:color="auto" w:fill="auto"/>
            <w:vAlign w:val="center"/>
          </w:tcPr>
          <w:p w14:paraId="572F6287">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工作要求</w:t>
            </w:r>
          </w:p>
        </w:tc>
      </w:tr>
      <w:tr w14:paraId="6034C0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3BE7F196">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3FF9F685">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服务对象满意度指标</w:t>
            </w:r>
          </w:p>
        </w:tc>
        <w:tc>
          <w:tcPr>
            <w:tcW w:w="1985" w:type="dxa"/>
            <w:shd w:val="clear" w:color="auto" w:fill="auto"/>
            <w:vAlign w:val="center"/>
          </w:tcPr>
          <w:p w14:paraId="08BD04F4">
            <w:pPr>
              <w:spacing w:line="300" w:lineRule="exact"/>
              <w:jc w:val="left"/>
              <w:rPr>
                <w:rFonts w:hint="eastAsia" w:ascii="Times New Roman" w:hAnsi="Times New Roman" w:eastAsia="仿宋_GB2312" w:cs="Times New Roman"/>
                <w:lang w:eastAsia="zh-CN"/>
              </w:rPr>
            </w:pPr>
            <w:r>
              <w:rPr>
                <w:rFonts w:hint="eastAsia" w:ascii="Times New Roman" w:hAnsi="Times New Roman" w:eastAsia="仿宋_GB2312" w:cs="Times New Roman"/>
                <w:lang w:eastAsia="zh-CN"/>
              </w:rPr>
              <w:t>保密</w:t>
            </w:r>
          </w:p>
        </w:tc>
        <w:tc>
          <w:tcPr>
            <w:tcW w:w="3402" w:type="dxa"/>
            <w:shd w:val="clear" w:color="auto" w:fill="auto"/>
            <w:vAlign w:val="center"/>
          </w:tcPr>
          <w:p w14:paraId="730443D7">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保密</w:t>
            </w:r>
          </w:p>
        </w:tc>
        <w:tc>
          <w:tcPr>
            <w:tcW w:w="1843" w:type="dxa"/>
            <w:shd w:val="clear" w:color="auto" w:fill="auto"/>
            <w:vAlign w:val="center"/>
          </w:tcPr>
          <w:p w14:paraId="2BCA3E12">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保密</w:t>
            </w:r>
          </w:p>
        </w:tc>
        <w:tc>
          <w:tcPr>
            <w:tcW w:w="2155" w:type="dxa"/>
            <w:shd w:val="clear" w:color="auto" w:fill="auto"/>
            <w:vAlign w:val="center"/>
          </w:tcPr>
          <w:p w14:paraId="6F686B31">
            <w:pPr>
              <w:spacing w:line="300" w:lineRule="exact"/>
              <w:jc w:val="left"/>
              <w:rPr>
                <w:rFonts w:ascii="Times New Roman" w:hAnsi="Times New Roman" w:eastAsia="仿宋_GB2312" w:cs="Times New Roman"/>
              </w:rPr>
            </w:pPr>
            <w:r>
              <w:rPr>
                <w:rFonts w:hint="eastAsia" w:ascii="Times New Roman" w:hAnsi="Times New Roman" w:eastAsia="仿宋_GB2312" w:cs="Times New Roman"/>
                <w:lang w:eastAsia="zh-CN"/>
              </w:rPr>
              <w:t>工作要求</w:t>
            </w:r>
          </w:p>
        </w:tc>
      </w:tr>
    </w:tbl>
    <w:p w14:paraId="51CEAAD8">
      <w:pPr>
        <w:autoSpaceDE w:val="0"/>
        <w:autoSpaceDN w:val="0"/>
        <w:adjustRightInd w:val="0"/>
        <w:spacing w:line="584" w:lineRule="exact"/>
        <w:ind w:firstLine="640" w:firstLineChars="200"/>
        <w:jc w:val="left"/>
        <w:rPr>
          <w:rFonts w:ascii="Times New Roman" w:hAnsi="Times New Roman" w:eastAsia="黑体" w:cs="Times New Roman"/>
          <w:sz w:val="32"/>
          <w:szCs w:val="32"/>
        </w:rPr>
      </w:pPr>
    </w:p>
    <w:p w14:paraId="70D852A1">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六、政府采购预算情况</w:t>
      </w:r>
    </w:p>
    <w:p w14:paraId="21E64F4F">
      <w:pPr>
        <w:spacing w:line="584" w:lineRule="exact"/>
        <w:ind w:firstLine="640" w:firstLineChars="200"/>
        <w:outlineLvl w:val="0"/>
        <w:rPr>
          <w:rFonts w:ascii="Times New Roman" w:hAnsi="Times New Roman" w:eastAsia="仿宋_GB2312" w:cs="Times New Roman"/>
          <w:sz w:val="32"/>
          <w:szCs w:val="24"/>
        </w:rPr>
      </w:pPr>
      <w:bookmarkStart w:id="1" w:name="_Toc471398468"/>
      <w:r>
        <w:rPr>
          <w:rFonts w:ascii="Times New Roman" w:hAnsi="Times New Roman" w:eastAsia="仿宋_GB2312" w:cs="Times New Roman"/>
          <w:sz w:val="32"/>
          <w:szCs w:val="24"/>
        </w:rPr>
        <w:t>20</w:t>
      </w:r>
      <w:r>
        <w:rPr>
          <w:rFonts w:hint="eastAsia" w:ascii="Times New Roman" w:hAnsi="Times New Roman" w:eastAsia="仿宋_GB2312" w:cs="Times New Roman"/>
          <w:sz w:val="32"/>
          <w:szCs w:val="24"/>
        </w:rPr>
        <w:t>2</w:t>
      </w:r>
      <w:r>
        <w:rPr>
          <w:rFonts w:ascii="Times New Roman" w:hAnsi="Times New Roman" w:eastAsia="仿宋_GB2312" w:cs="Times New Roman"/>
          <w:sz w:val="32"/>
          <w:szCs w:val="24"/>
        </w:rPr>
        <w:t>2年我部门安排政府采购预算</w:t>
      </w:r>
      <w:r>
        <w:rPr>
          <w:rFonts w:hint="eastAsia" w:ascii="Times New Roman" w:hAnsi="Times New Roman" w:eastAsia="仿宋_GB2312" w:cs="Times New Roman"/>
          <w:sz w:val="32"/>
          <w:szCs w:val="24"/>
          <w:lang w:val="en-US" w:eastAsia="zh-CN"/>
        </w:rPr>
        <w:t>0</w:t>
      </w:r>
      <w:r>
        <w:rPr>
          <w:rFonts w:ascii="Times New Roman" w:hAnsi="Times New Roman" w:eastAsia="仿宋_GB2312" w:cs="Times New Roman"/>
          <w:sz w:val="32"/>
          <w:szCs w:val="24"/>
        </w:rPr>
        <w:t>万元。</w:t>
      </w:r>
    </w:p>
    <w:bookmarkEnd w:id="1"/>
    <w:p w14:paraId="523A709C">
      <w:pPr>
        <w:jc w:val="center"/>
        <w:outlineLvl w:val="1"/>
        <w:rPr>
          <w:rFonts w:ascii="方正小标宋_GBK" w:eastAsia="方正小标宋_GBK" w:cs="Times New Roman"/>
          <w:sz w:val="32"/>
        </w:rPr>
      </w:pPr>
      <w:bookmarkStart w:id="2" w:name="_Toc64920910"/>
      <w:r>
        <w:rPr>
          <w:rFonts w:hint="eastAsia" w:ascii="方正小标宋_GBK" w:eastAsia="方正小标宋_GBK" w:cs="Times New Roman"/>
          <w:sz w:val="32"/>
        </w:rPr>
        <w:t>部门政府采购预算</w:t>
      </w:r>
      <w:bookmarkEnd w:id="2"/>
    </w:p>
    <w:p w14:paraId="4B661222">
      <w:pPr>
        <w:outlineLvl w:val="1"/>
        <w:rPr>
          <w:rFonts w:hint="eastAsia" w:ascii="方正小标宋_GBK" w:eastAsia="方正小标宋_GBK" w:cs="Times New Roman"/>
          <w:sz w:val="32"/>
        </w:rPr>
      </w:pPr>
      <w:r>
        <w:rPr>
          <w:rFonts w:hint="eastAsia"/>
          <w:lang w:eastAsia="zh-CN"/>
        </w:rPr>
        <w:t>中共</w:t>
      </w:r>
      <w:r>
        <w:t>廊坊</w:t>
      </w:r>
      <w:r>
        <w:rPr>
          <w:rFonts w:hint="eastAsia"/>
          <w:lang w:eastAsia="zh-CN"/>
        </w:rPr>
        <w:t>市委统一战线工作部</w:t>
      </w:r>
      <w:r>
        <w:t xml:space="preserve">                                                                                               单位：万元</w:t>
      </w:r>
    </w:p>
    <w:tbl>
      <w:tblPr>
        <w:tblStyle w:val="9"/>
        <w:tblW w:w="1541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97"/>
        <w:gridCol w:w="964"/>
        <w:gridCol w:w="1134"/>
        <w:gridCol w:w="1134"/>
        <w:gridCol w:w="709"/>
        <w:gridCol w:w="850"/>
        <w:gridCol w:w="850"/>
        <w:gridCol w:w="964"/>
        <w:gridCol w:w="964"/>
        <w:gridCol w:w="964"/>
        <w:gridCol w:w="964"/>
        <w:gridCol w:w="964"/>
        <w:gridCol w:w="964"/>
        <w:gridCol w:w="964"/>
        <w:gridCol w:w="964"/>
        <w:gridCol w:w="964"/>
      </w:tblGrid>
      <w:tr w14:paraId="38D610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061" w:type="dxa"/>
            <w:gridSpan w:val="2"/>
            <w:vAlign w:val="center"/>
          </w:tcPr>
          <w:p w14:paraId="7D8072D6">
            <w:pPr>
              <w:pStyle w:val="13"/>
            </w:pPr>
            <w:r>
              <w:t>政府采购项目来源</w:t>
            </w:r>
          </w:p>
        </w:tc>
        <w:tc>
          <w:tcPr>
            <w:tcW w:w="1134" w:type="dxa"/>
            <w:vMerge w:val="restart"/>
            <w:vAlign w:val="center"/>
          </w:tcPr>
          <w:p w14:paraId="09A3B609">
            <w:pPr>
              <w:pStyle w:val="13"/>
            </w:pPr>
            <w:r>
              <w:t>采购物品名称</w:t>
            </w:r>
          </w:p>
        </w:tc>
        <w:tc>
          <w:tcPr>
            <w:tcW w:w="1134" w:type="dxa"/>
            <w:vMerge w:val="restart"/>
            <w:vAlign w:val="center"/>
          </w:tcPr>
          <w:p w14:paraId="53F1C5B7">
            <w:pPr>
              <w:pStyle w:val="13"/>
            </w:pPr>
            <w:r>
              <w:t>政府采购目录序号</w:t>
            </w:r>
          </w:p>
        </w:tc>
        <w:tc>
          <w:tcPr>
            <w:tcW w:w="709" w:type="dxa"/>
            <w:vMerge w:val="restart"/>
            <w:vAlign w:val="center"/>
          </w:tcPr>
          <w:p w14:paraId="33B1DE54">
            <w:pPr>
              <w:pStyle w:val="13"/>
            </w:pPr>
            <w:r>
              <w:t>计量  单位</w:t>
            </w:r>
          </w:p>
        </w:tc>
        <w:tc>
          <w:tcPr>
            <w:tcW w:w="850" w:type="dxa"/>
            <w:vMerge w:val="restart"/>
            <w:vAlign w:val="center"/>
          </w:tcPr>
          <w:p w14:paraId="56AC34F2">
            <w:pPr>
              <w:pStyle w:val="13"/>
            </w:pPr>
            <w:r>
              <w:t>数量</w:t>
            </w:r>
          </w:p>
        </w:tc>
        <w:tc>
          <w:tcPr>
            <w:tcW w:w="850" w:type="dxa"/>
            <w:vMerge w:val="restart"/>
            <w:vAlign w:val="center"/>
          </w:tcPr>
          <w:p w14:paraId="6DD59B46">
            <w:pPr>
              <w:pStyle w:val="13"/>
            </w:pPr>
            <w:r>
              <w:t>单价</w:t>
            </w:r>
          </w:p>
        </w:tc>
        <w:tc>
          <w:tcPr>
            <w:tcW w:w="7712" w:type="dxa"/>
            <w:gridSpan w:val="8"/>
            <w:vAlign w:val="center"/>
          </w:tcPr>
          <w:p w14:paraId="5C470075">
            <w:pPr>
              <w:pStyle w:val="13"/>
            </w:pPr>
            <w:r>
              <w:t>政府采购金额（当年部门预算安排资金）</w:t>
            </w:r>
          </w:p>
        </w:tc>
        <w:tc>
          <w:tcPr>
            <w:tcW w:w="964" w:type="dxa"/>
            <w:vMerge w:val="restart"/>
            <w:vAlign w:val="center"/>
          </w:tcPr>
          <w:p w14:paraId="05911749">
            <w:pPr>
              <w:pStyle w:val="13"/>
            </w:pPr>
            <w:r>
              <w:t>2022年  预留中  小微企  业份额</w:t>
            </w:r>
          </w:p>
        </w:tc>
      </w:tr>
      <w:tr w14:paraId="2CCFCC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097" w:type="dxa"/>
            <w:vAlign w:val="center"/>
          </w:tcPr>
          <w:p w14:paraId="35FD26F2">
            <w:pPr>
              <w:pStyle w:val="13"/>
            </w:pPr>
            <w:r>
              <w:t>项目名称</w:t>
            </w:r>
          </w:p>
        </w:tc>
        <w:tc>
          <w:tcPr>
            <w:tcW w:w="964" w:type="dxa"/>
            <w:vAlign w:val="center"/>
          </w:tcPr>
          <w:p w14:paraId="5CD4595C">
            <w:pPr>
              <w:pStyle w:val="13"/>
            </w:pPr>
            <w:r>
              <w:t>预算    资金</w:t>
            </w:r>
          </w:p>
        </w:tc>
        <w:tc>
          <w:tcPr>
            <w:tcW w:w="1134" w:type="dxa"/>
            <w:vMerge w:val="continue"/>
          </w:tcPr>
          <w:p w14:paraId="19AD1975"/>
        </w:tc>
        <w:tc>
          <w:tcPr>
            <w:tcW w:w="1134" w:type="dxa"/>
            <w:vMerge w:val="continue"/>
          </w:tcPr>
          <w:p w14:paraId="69845273"/>
        </w:tc>
        <w:tc>
          <w:tcPr>
            <w:tcW w:w="709" w:type="dxa"/>
            <w:vMerge w:val="continue"/>
          </w:tcPr>
          <w:p w14:paraId="16BA220D"/>
        </w:tc>
        <w:tc>
          <w:tcPr>
            <w:tcW w:w="850" w:type="dxa"/>
            <w:vMerge w:val="continue"/>
          </w:tcPr>
          <w:p w14:paraId="07EAB0F4"/>
        </w:tc>
        <w:tc>
          <w:tcPr>
            <w:tcW w:w="850" w:type="dxa"/>
            <w:vMerge w:val="continue"/>
          </w:tcPr>
          <w:p w14:paraId="040BB245"/>
        </w:tc>
        <w:tc>
          <w:tcPr>
            <w:tcW w:w="964" w:type="dxa"/>
            <w:vAlign w:val="center"/>
          </w:tcPr>
          <w:p w14:paraId="4B9EB449">
            <w:pPr>
              <w:pStyle w:val="13"/>
            </w:pPr>
            <w:r>
              <w:t>合计</w:t>
            </w:r>
          </w:p>
        </w:tc>
        <w:tc>
          <w:tcPr>
            <w:tcW w:w="964" w:type="dxa"/>
            <w:vAlign w:val="center"/>
          </w:tcPr>
          <w:p w14:paraId="46E516CC">
            <w:pPr>
              <w:pStyle w:val="13"/>
            </w:pPr>
            <w:r>
              <w:t>一般公共预算拨款</w:t>
            </w:r>
          </w:p>
        </w:tc>
        <w:tc>
          <w:tcPr>
            <w:tcW w:w="964" w:type="dxa"/>
            <w:vAlign w:val="center"/>
          </w:tcPr>
          <w:p w14:paraId="031CFA81">
            <w:pPr>
              <w:pStyle w:val="13"/>
            </w:pPr>
            <w:r>
              <w:t>基金预算拨款</w:t>
            </w:r>
          </w:p>
        </w:tc>
        <w:tc>
          <w:tcPr>
            <w:tcW w:w="964" w:type="dxa"/>
            <w:vAlign w:val="center"/>
          </w:tcPr>
          <w:p w14:paraId="4015403E">
            <w:pPr>
              <w:pStyle w:val="13"/>
            </w:pPr>
            <w:r>
              <w:t>国有资本经营预算拨款</w:t>
            </w:r>
          </w:p>
        </w:tc>
        <w:tc>
          <w:tcPr>
            <w:tcW w:w="964" w:type="dxa"/>
            <w:vAlign w:val="center"/>
          </w:tcPr>
          <w:p w14:paraId="239E57A5">
            <w:pPr>
              <w:pStyle w:val="13"/>
            </w:pPr>
            <w:r>
              <w:t>财政专户核拨</w:t>
            </w:r>
          </w:p>
        </w:tc>
        <w:tc>
          <w:tcPr>
            <w:tcW w:w="964" w:type="dxa"/>
            <w:vAlign w:val="center"/>
          </w:tcPr>
          <w:p w14:paraId="4C6E04E3">
            <w:pPr>
              <w:pStyle w:val="13"/>
            </w:pPr>
            <w:r>
              <w:t>单位    资金</w:t>
            </w:r>
          </w:p>
        </w:tc>
        <w:tc>
          <w:tcPr>
            <w:tcW w:w="964" w:type="dxa"/>
            <w:vAlign w:val="center"/>
          </w:tcPr>
          <w:p w14:paraId="5DB20375">
            <w:pPr>
              <w:pStyle w:val="13"/>
            </w:pPr>
            <w:r>
              <w:t>财政拨    款结转</w:t>
            </w:r>
          </w:p>
        </w:tc>
        <w:tc>
          <w:tcPr>
            <w:tcW w:w="964" w:type="dxa"/>
            <w:vAlign w:val="center"/>
          </w:tcPr>
          <w:p w14:paraId="6A259D9A">
            <w:pPr>
              <w:pStyle w:val="13"/>
            </w:pPr>
            <w:r>
              <w:t>非财政    拨款结    转结余</w:t>
            </w:r>
          </w:p>
        </w:tc>
        <w:tc>
          <w:tcPr>
            <w:tcW w:w="964" w:type="dxa"/>
            <w:vMerge w:val="continue"/>
          </w:tcPr>
          <w:p w14:paraId="7FA46CB1"/>
        </w:tc>
      </w:tr>
      <w:tr w14:paraId="167295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7" w:type="dxa"/>
            <w:vAlign w:val="center"/>
          </w:tcPr>
          <w:p w14:paraId="016A8FD6">
            <w:pPr>
              <w:pStyle w:val="17"/>
            </w:pPr>
          </w:p>
        </w:tc>
        <w:tc>
          <w:tcPr>
            <w:tcW w:w="964" w:type="dxa"/>
            <w:vAlign w:val="center"/>
          </w:tcPr>
          <w:p w14:paraId="48401E65">
            <w:pPr>
              <w:pStyle w:val="18"/>
            </w:pPr>
          </w:p>
        </w:tc>
        <w:tc>
          <w:tcPr>
            <w:tcW w:w="1134" w:type="dxa"/>
            <w:vAlign w:val="center"/>
          </w:tcPr>
          <w:p w14:paraId="2123E50D">
            <w:pPr>
              <w:pStyle w:val="19"/>
            </w:pPr>
          </w:p>
        </w:tc>
        <w:tc>
          <w:tcPr>
            <w:tcW w:w="1134" w:type="dxa"/>
            <w:vAlign w:val="center"/>
          </w:tcPr>
          <w:p w14:paraId="71B28A75">
            <w:pPr>
              <w:pStyle w:val="19"/>
            </w:pPr>
          </w:p>
        </w:tc>
        <w:tc>
          <w:tcPr>
            <w:tcW w:w="709" w:type="dxa"/>
            <w:vAlign w:val="center"/>
          </w:tcPr>
          <w:p w14:paraId="3BDA8FE4">
            <w:pPr>
              <w:pStyle w:val="17"/>
            </w:pPr>
          </w:p>
        </w:tc>
        <w:tc>
          <w:tcPr>
            <w:tcW w:w="850" w:type="dxa"/>
            <w:vAlign w:val="center"/>
          </w:tcPr>
          <w:p w14:paraId="30AB578F">
            <w:pPr>
              <w:pStyle w:val="18"/>
            </w:pPr>
          </w:p>
        </w:tc>
        <w:tc>
          <w:tcPr>
            <w:tcW w:w="850" w:type="dxa"/>
            <w:vAlign w:val="center"/>
          </w:tcPr>
          <w:p w14:paraId="0E543072">
            <w:pPr>
              <w:pStyle w:val="18"/>
            </w:pPr>
          </w:p>
        </w:tc>
        <w:tc>
          <w:tcPr>
            <w:tcW w:w="964" w:type="dxa"/>
            <w:vAlign w:val="center"/>
          </w:tcPr>
          <w:p w14:paraId="505E62FE">
            <w:pPr>
              <w:pStyle w:val="18"/>
            </w:pPr>
          </w:p>
        </w:tc>
        <w:tc>
          <w:tcPr>
            <w:tcW w:w="964" w:type="dxa"/>
            <w:vAlign w:val="center"/>
          </w:tcPr>
          <w:p w14:paraId="61C2DEF9">
            <w:pPr>
              <w:pStyle w:val="18"/>
            </w:pPr>
          </w:p>
        </w:tc>
        <w:tc>
          <w:tcPr>
            <w:tcW w:w="964" w:type="dxa"/>
            <w:vAlign w:val="center"/>
          </w:tcPr>
          <w:p w14:paraId="3D34ABE2">
            <w:pPr>
              <w:pStyle w:val="18"/>
            </w:pPr>
          </w:p>
        </w:tc>
        <w:tc>
          <w:tcPr>
            <w:tcW w:w="964" w:type="dxa"/>
            <w:vAlign w:val="center"/>
          </w:tcPr>
          <w:p w14:paraId="7491E4CF">
            <w:pPr>
              <w:pStyle w:val="18"/>
            </w:pPr>
          </w:p>
        </w:tc>
        <w:tc>
          <w:tcPr>
            <w:tcW w:w="964" w:type="dxa"/>
            <w:vAlign w:val="center"/>
          </w:tcPr>
          <w:p w14:paraId="680E9400">
            <w:pPr>
              <w:pStyle w:val="18"/>
            </w:pPr>
          </w:p>
        </w:tc>
        <w:tc>
          <w:tcPr>
            <w:tcW w:w="964" w:type="dxa"/>
            <w:vAlign w:val="center"/>
          </w:tcPr>
          <w:p w14:paraId="4CA23529">
            <w:pPr>
              <w:pStyle w:val="18"/>
            </w:pPr>
          </w:p>
        </w:tc>
        <w:tc>
          <w:tcPr>
            <w:tcW w:w="964" w:type="dxa"/>
            <w:vAlign w:val="center"/>
          </w:tcPr>
          <w:p w14:paraId="48DB2927">
            <w:pPr>
              <w:pStyle w:val="18"/>
            </w:pPr>
          </w:p>
        </w:tc>
        <w:tc>
          <w:tcPr>
            <w:tcW w:w="964" w:type="dxa"/>
            <w:vAlign w:val="center"/>
          </w:tcPr>
          <w:p w14:paraId="2DBACF62">
            <w:pPr>
              <w:pStyle w:val="18"/>
            </w:pPr>
          </w:p>
        </w:tc>
        <w:tc>
          <w:tcPr>
            <w:tcW w:w="964" w:type="dxa"/>
            <w:vAlign w:val="center"/>
          </w:tcPr>
          <w:p w14:paraId="7BE98B65">
            <w:pPr>
              <w:pStyle w:val="18"/>
            </w:pPr>
          </w:p>
        </w:tc>
      </w:tr>
      <w:tr w14:paraId="59EA20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7" w:type="dxa"/>
            <w:vAlign w:val="center"/>
          </w:tcPr>
          <w:p w14:paraId="7DFA2E84">
            <w:pPr>
              <w:pStyle w:val="17"/>
            </w:pPr>
          </w:p>
        </w:tc>
        <w:tc>
          <w:tcPr>
            <w:tcW w:w="964" w:type="dxa"/>
            <w:vAlign w:val="center"/>
          </w:tcPr>
          <w:p w14:paraId="628CD546">
            <w:pPr>
              <w:pStyle w:val="18"/>
            </w:pPr>
          </w:p>
        </w:tc>
        <w:tc>
          <w:tcPr>
            <w:tcW w:w="1134" w:type="dxa"/>
            <w:vAlign w:val="center"/>
          </w:tcPr>
          <w:p w14:paraId="0B4B3735">
            <w:pPr>
              <w:pStyle w:val="19"/>
            </w:pPr>
          </w:p>
        </w:tc>
        <w:tc>
          <w:tcPr>
            <w:tcW w:w="1134" w:type="dxa"/>
            <w:vAlign w:val="center"/>
          </w:tcPr>
          <w:p w14:paraId="7F94F05F">
            <w:pPr>
              <w:pStyle w:val="19"/>
            </w:pPr>
          </w:p>
        </w:tc>
        <w:tc>
          <w:tcPr>
            <w:tcW w:w="709" w:type="dxa"/>
            <w:vAlign w:val="center"/>
          </w:tcPr>
          <w:p w14:paraId="4B98AC89">
            <w:pPr>
              <w:pStyle w:val="17"/>
            </w:pPr>
          </w:p>
        </w:tc>
        <w:tc>
          <w:tcPr>
            <w:tcW w:w="850" w:type="dxa"/>
            <w:vAlign w:val="center"/>
          </w:tcPr>
          <w:p w14:paraId="46A5B078">
            <w:pPr>
              <w:pStyle w:val="18"/>
            </w:pPr>
          </w:p>
        </w:tc>
        <w:tc>
          <w:tcPr>
            <w:tcW w:w="850" w:type="dxa"/>
            <w:vAlign w:val="center"/>
          </w:tcPr>
          <w:p w14:paraId="05B632C0">
            <w:pPr>
              <w:pStyle w:val="18"/>
            </w:pPr>
          </w:p>
        </w:tc>
        <w:tc>
          <w:tcPr>
            <w:tcW w:w="964" w:type="dxa"/>
            <w:vAlign w:val="center"/>
          </w:tcPr>
          <w:p w14:paraId="20394C4F">
            <w:pPr>
              <w:pStyle w:val="18"/>
            </w:pPr>
          </w:p>
        </w:tc>
        <w:tc>
          <w:tcPr>
            <w:tcW w:w="964" w:type="dxa"/>
            <w:vAlign w:val="center"/>
          </w:tcPr>
          <w:p w14:paraId="6EB952E2">
            <w:pPr>
              <w:pStyle w:val="18"/>
            </w:pPr>
          </w:p>
        </w:tc>
        <w:tc>
          <w:tcPr>
            <w:tcW w:w="964" w:type="dxa"/>
            <w:vAlign w:val="center"/>
          </w:tcPr>
          <w:p w14:paraId="2B7F82C1">
            <w:pPr>
              <w:pStyle w:val="18"/>
            </w:pPr>
          </w:p>
        </w:tc>
        <w:tc>
          <w:tcPr>
            <w:tcW w:w="964" w:type="dxa"/>
            <w:vAlign w:val="center"/>
          </w:tcPr>
          <w:p w14:paraId="04EA6BEF">
            <w:pPr>
              <w:pStyle w:val="18"/>
            </w:pPr>
          </w:p>
        </w:tc>
        <w:tc>
          <w:tcPr>
            <w:tcW w:w="964" w:type="dxa"/>
            <w:vAlign w:val="center"/>
          </w:tcPr>
          <w:p w14:paraId="275BE539">
            <w:pPr>
              <w:pStyle w:val="18"/>
            </w:pPr>
          </w:p>
        </w:tc>
        <w:tc>
          <w:tcPr>
            <w:tcW w:w="964" w:type="dxa"/>
            <w:vAlign w:val="center"/>
          </w:tcPr>
          <w:p w14:paraId="644EC1ED">
            <w:pPr>
              <w:pStyle w:val="18"/>
            </w:pPr>
          </w:p>
        </w:tc>
        <w:tc>
          <w:tcPr>
            <w:tcW w:w="964" w:type="dxa"/>
            <w:vAlign w:val="center"/>
          </w:tcPr>
          <w:p w14:paraId="7826214B">
            <w:pPr>
              <w:pStyle w:val="18"/>
            </w:pPr>
          </w:p>
        </w:tc>
        <w:tc>
          <w:tcPr>
            <w:tcW w:w="964" w:type="dxa"/>
            <w:vAlign w:val="center"/>
          </w:tcPr>
          <w:p w14:paraId="239C6045">
            <w:pPr>
              <w:pStyle w:val="18"/>
            </w:pPr>
          </w:p>
        </w:tc>
        <w:tc>
          <w:tcPr>
            <w:tcW w:w="964" w:type="dxa"/>
            <w:vAlign w:val="center"/>
          </w:tcPr>
          <w:p w14:paraId="36EA941D">
            <w:pPr>
              <w:pStyle w:val="18"/>
            </w:pPr>
          </w:p>
        </w:tc>
      </w:tr>
      <w:tr w14:paraId="68E094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7" w:type="dxa"/>
            <w:vAlign w:val="center"/>
          </w:tcPr>
          <w:p w14:paraId="1E9483A9">
            <w:pPr>
              <w:pStyle w:val="15"/>
            </w:pPr>
          </w:p>
        </w:tc>
        <w:tc>
          <w:tcPr>
            <w:tcW w:w="964" w:type="dxa"/>
            <w:vAlign w:val="center"/>
          </w:tcPr>
          <w:p w14:paraId="36257964">
            <w:pPr>
              <w:pStyle w:val="14"/>
            </w:pPr>
          </w:p>
        </w:tc>
        <w:tc>
          <w:tcPr>
            <w:tcW w:w="1134" w:type="dxa"/>
            <w:vAlign w:val="center"/>
          </w:tcPr>
          <w:p w14:paraId="5DBD7225">
            <w:pPr>
              <w:pStyle w:val="15"/>
            </w:pPr>
          </w:p>
        </w:tc>
        <w:tc>
          <w:tcPr>
            <w:tcW w:w="1134" w:type="dxa"/>
            <w:vAlign w:val="center"/>
          </w:tcPr>
          <w:p w14:paraId="05E8309E">
            <w:pPr>
              <w:pStyle w:val="15"/>
            </w:pPr>
          </w:p>
        </w:tc>
        <w:tc>
          <w:tcPr>
            <w:tcW w:w="709" w:type="dxa"/>
            <w:vAlign w:val="center"/>
          </w:tcPr>
          <w:p w14:paraId="6C8BEAA9">
            <w:pPr>
              <w:pStyle w:val="16"/>
            </w:pPr>
          </w:p>
        </w:tc>
        <w:tc>
          <w:tcPr>
            <w:tcW w:w="850" w:type="dxa"/>
            <w:vAlign w:val="center"/>
          </w:tcPr>
          <w:p w14:paraId="1222CEF7">
            <w:pPr>
              <w:pStyle w:val="14"/>
            </w:pPr>
          </w:p>
        </w:tc>
        <w:tc>
          <w:tcPr>
            <w:tcW w:w="850" w:type="dxa"/>
            <w:vAlign w:val="center"/>
          </w:tcPr>
          <w:p w14:paraId="4BE06450">
            <w:pPr>
              <w:pStyle w:val="14"/>
            </w:pPr>
          </w:p>
        </w:tc>
        <w:tc>
          <w:tcPr>
            <w:tcW w:w="964" w:type="dxa"/>
            <w:vAlign w:val="center"/>
          </w:tcPr>
          <w:p w14:paraId="642D56A5">
            <w:pPr>
              <w:pStyle w:val="14"/>
            </w:pPr>
          </w:p>
        </w:tc>
        <w:tc>
          <w:tcPr>
            <w:tcW w:w="964" w:type="dxa"/>
            <w:vAlign w:val="center"/>
          </w:tcPr>
          <w:p w14:paraId="00E87BD9">
            <w:pPr>
              <w:pStyle w:val="14"/>
            </w:pPr>
          </w:p>
        </w:tc>
        <w:tc>
          <w:tcPr>
            <w:tcW w:w="964" w:type="dxa"/>
            <w:vAlign w:val="center"/>
          </w:tcPr>
          <w:p w14:paraId="23EEDF0C">
            <w:pPr>
              <w:pStyle w:val="14"/>
            </w:pPr>
          </w:p>
        </w:tc>
        <w:tc>
          <w:tcPr>
            <w:tcW w:w="964" w:type="dxa"/>
            <w:vAlign w:val="center"/>
          </w:tcPr>
          <w:p w14:paraId="2C91BAED">
            <w:pPr>
              <w:pStyle w:val="14"/>
            </w:pPr>
          </w:p>
        </w:tc>
        <w:tc>
          <w:tcPr>
            <w:tcW w:w="964" w:type="dxa"/>
            <w:vAlign w:val="center"/>
          </w:tcPr>
          <w:p w14:paraId="1C821333">
            <w:pPr>
              <w:pStyle w:val="14"/>
            </w:pPr>
          </w:p>
        </w:tc>
        <w:tc>
          <w:tcPr>
            <w:tcW w:w="964" w:type="dxa"/>
            <w:vAlign w:val="center"/>
          </w:tcPr>
          <w:p w14:paraId="260B8D54">
            <w:pPr>
              <w:pStyle w:val="14"/>
            </w:pPr>
          </w:p>
        </w:tc>
        <w:tc>
          <w:tcPr>
            <w:tcW w:w="964" w:type="dxa"/>
            <w:vAlign w:val="center"/>
          </w:tcPr>
          <w:p w14:paraId="44B661D9">
            <w:pPr>
              <w:pStyle w:val="14"/>
            </w:pPr>
          </w:p>
        </w:tc>
        <w:tc>
          <w:tcPr>
            <w:tcW w:w="964" w:type="dxa"/>
            <w:vAlign w:val="center"/>
          </w:tcPr>
          <w:p w14:paraId="2AE571DB">
            <w:pPr>
              <w:pStyle w:val="14"/>
            </w:pPr>
          </w:p>
        </w:tc>
        <w:tc>
          <w:tcPr>
            <w:tcW w:w="964" w:type="dxa"/>
            <w:vAlign w:val="center"/>
          </w:tcPr>
          <w:p w14:paraId="3CF07FF5">
            <w:pPr>
              <w:pStyle w:val="14"/>
            </w:pPr>
          </w:p>
        </w:tc>
      </w:tr>
      <w:tr w14:paraId="7474B5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7" w:type="dxa"/>
            <w:vAlign w:val="center"/>
          </w:tcPr>
          <w:p w14:paraId="36E66F27">
            <w:pPr>
              <w:pStyle w:val="15"/>
            </w:pPr>
          </w:p>
        </w:tc>
        <w:tc>
          <w:tcPr>
            <w:tcW w:w="964" w:type="dxa"/>
            <w:vAlign w:val="center"/>
          </w:tcPr>
          <w:p w14:paraId="611A8588">
            <w:pPr>
              <w:pStyle w:val="14"/>
            </w:pPr>
          </w:p>
        </w:tc>
        <w:tc>
          <w:tcPr>
            <w:tcW w:w="1134" w:type="dxa"/>
            <w:vAlign w:val="center"/>
          </w:tcPr>
          <w:p w14:paraId="069B6292">
            <w:pPr>
              <w:pStyle w:val="15"/>
            </w:pPr>
          </w:p>
        </w:tc>
        <w:tc>
          <w:tcPr>
            <w:tcW w:w="1134" w:type="dxa"/>
            <w:vAlign w:val="center"/>
          </w:tcPr>
          <w:p w14:paraId="58191227">
            <w:pPr>
              <w:pStyle w:val="15"/>
            </w:pPr>
          </w:p>
        </w:tc>
        <w:tc>
          <w:tcPr>
            <w:tcW w:w="709" w:type="dxa"/>
            <w:vAlign w:val="center"/>
          </w:tcPr>
          <w:p w14:paraId="377014F5">
            <w:pPr>
              <w:pStyle w:val="16"/>
            </w:pPr>
          </w:p>
        </w:tc>
        <w:tc>
          <w:tcPr>
            <w:tcW w:w="850" w:type="dxa"/>
            <w:vAlign w:val="center"/>
          </w:tcPr>
          <w:p w14:paraId="02A6D4E0">
            <w:pPr>
              <w:pStyle w:val="14"/>
            </w:pPr>
          </w:p>
        </w:tc>
        <w:tc>
          <w:tcPr>
            <w:tcW w:w="850" w:type="dxa"/>
            <w:vAlign w:val="center"/>
          </w:tcPr>
          <w:p w14:paraId="4391AFD4">
            <w:pPr>
              <w:pStyle w:val="14"/>
            </w:pPr>
          </w:p>
        </w:tc>
        <w:tc>
          <w:tcPr>
            <w:tcW w:w="964" w:type="dxa"/>
            <w:vAlign w:val="center"/>
          </w:tcPr>
          <w:p w14:paraId="7A4B0633">
            <w:pPr>
              <w:pStyle w:val="14"/>
            </w:pPr>
          </w:p>
        </w:tc>
        <w:tc>
          <w:tcPr>
            <w:tcW w:w="964" w:type="dxa"/>
            <w:vAlign w:val="center"/>
          </w:tcPr>
          <w:p w14:paraId="4C294BBF">
            <w:pPr>
              <w:pStyle w:val="14"/>
            </w:pPr>
          </w:p>
        </w:tc>
        <w:tc>
          <w:tcPr>
            <w:tcW w:w="964" w:type="dxa"/>
            <w:vAlign w:val="center"/>
          </w:tcPr>
          <w:p w14:paraId="11D944CA">
            <w:pPr>
              <w:pStyle w:val="14"/>
            </w:pPr>
          </w:p>
        </w:tc>
        <w:tc>
          <w:tcPr>
            <w:tcW w:w="964" w:type="dxa"/>
            <w:vAlign w:val="center"/>
          </w:tcPr>
          <w:p w14:paraId="53048395">
            <w:pPr>
              <w:pStyle w:val="14"/>
            </w:pPr>
          </w:p>
        </w:tc>
        <w:tc>
          <w:tcPr>
            <w:tcW w:w="964" w:type="dxa"/>
            <w:vAlign w:val="center"/>
          </w:tcPr>
          <w:p w14:paraId="6F1A5495">
            <w:pPr>
              <w:pStyle w:val="14"/>
            </w:pPr>
          </w:p>
        </w:tc>
        <w:tc>
          <w:tcPr>
            <w:tcW w:w="964" w:type="dxa"/>
            <w:vAlign w:val="center"/>
          </w:tcPr>
          <w:p w14:paraId="69857883">
            <w:pPr>
              <w:pStyle w:val="14"/>
            </w:pPr>
          </w:p>
        </w:tc>
        <w:tc>
          <w:tcPr>
            <w:tcW w:w="964" w:type="dxa"/>
            <w:vAlign w:val="center"/>
          </w:tcPr>
          <w:p w14:paraId="0CB2A619">
            <w:pPr>
              <w:pStyle w:val="14"/>
            </w:pPr>
          </w:p>
        </w:tc>
        <w:tc>
          <w:tcPr>
            <w:tcW w:w="964" w:type="dxa"/>
            <w:vAlign w:val="center"/>
          </w:tcPr>
          <w:p w14:paraId="68BE1174">
            <w:pPr>
              <w:pStyle w:val="14"/>
            </w:pPr>
          </w:p>
        </w:tc>
        <w:tc>
          <w:tcPr>
            <w:tcW w:w="964" w:type="dxa"/>
            <w:vAlign w:val="center"/>
          </w:tcPr>
          <w:p w14:paraId="5C0B510A">
            <w:pPr>
              <w:pStyle w:val="14"/>
            </w:pPr>
          </w:p>
        </w:tc>
      </w:tr>
      <w:tr w14:paraId="0BD2D8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7" w:type="dxa"/>
            <w:vAlign w:val="center"/>
          </w:tcPr>
          <w:p w14:paraId="0E26652B">
            <w:pPr>
              <w:pStyle w:val="15"/>
            </w:pPr>
          </w:p>
        </w:tc>
        <w:tc>
          <w:tcPr>
            <w:tcW w:w="964" w:type="dxa"/>
            <w:vAlign w:val="center"/>
          </w:tcPr>
          <w:p w14:paraId="3A5036E8">
            <w:pPr>
              <w:pStyle w:val="14"/>
            </w:pPr>
          </w:p>
        </w:tc>
        <w:tc>
          <w:tcPr>
            <w:tcW w:w="1134" w:type="dxa"/>
            <w:vAlign w:val="center"/>
          </w:tcPr>
          <w:p w14:paraId="2EA0CAF1">
            <w:pPr>
              <w:pStyle w:val="15"/>
            </w:pPr>
          </w:p>
        </w:tc>
        <w:tc>
          <w:tcPr>
            <w:tcW w:w="1134" w:type="dxa"/>
            <w:vAlign w:val="center"/>
          </w:tcPr>
          <w:p w14:paraId="65986F5C">
            <w:pPr>
              <w:pStyle w:val="15"/>
            </w:pPr>
          </w:p>
        </w:tc>
        <w:tc>
          <w:tcPr>
            <w:tcW w:w="709" w:type="dxa"/>
            <w:vAlign w:val="center"/>
          </w:tcPr>
          <w:p w14:paraId="41297C9A">
            <w:pPr>
              <w:pStyle w:val="16"/>
            </w:pPr>
          </w:p>
        </w:tc>
        <w:tc>
          <w:tcPr>
            <w:tcW w:w="850" w:type="dxa"/>
            <w:vAlign w:val="center"/>
          </w:tcPr>
          <w:p w14:paraId="02058389">
            <w:pPr>
              <w:pStyle w:val="14"/>
            </w:pPr>
          </w:p>
        </w:tc>
        <w:tc>
          <w:tcPr>
            <w:tcW w:w="850" w:type="dxa"/>
            <w:vAlign w:val="center"/>
          </w:tcPr>
          <w:p w14:paraId="3D1F7A2A">
            <w:pPr>
              <w:pStyle w:val="14"/>
            </w:pPr>
          </w:p>
        </w:tc>
        <w:tc>
          <w:tcPr>
            <w:tcW w:w="964" w:type="dxa"/>
            <w:vAlign w:val="center"/>
          </w:tcPr>
          <w:p w14:paraId="1056AC5D">
            <w:pPr>
              <w:pStyle w:val="14"/>
            </w:pPr>
          </w:p>
        </w:tc>
        <w:tc>
          <w:tcPr>
            <w:tcW w:w="964" w:type="dxa"/>
            <w:vAlign w:val="center"/>
          </w:tcPr>
          <w:p w14:paraId="70D4E92E">
            <w:pPr>
              <w:pStyle w:val="14"/>
            </w:pPr>
          </w:p>
        </w:tc>
        <w:tc>
          <w:tcPr>
            <w:tcW w:w="964" w:type="dxa"/>
            <w:vAlign w:val="center"/>
          </w:tcPr>
          <w:p w14:paraId="03075D75">
            <w:pPr>
              <w:pStyle w:val="14"/>
            </w:pPr>
          </w:p>
        </w:tc>
        <w:tc>
          <w:tcPr>
            <w:tcW w:w="964" w:type="dxa"/>
            <w:vAlign w:val="center"/>
          </w:tcPr>
          <w:p w14:paraId="685DA8A4">
            <w:pPr>
              <w:pStyle w:val="14"/>
            </w:pPr>
          </w:p>
        </w:tc>
        <w:tc>
          <w:tcPr>
            <w:tcW w:w="964" w:type="dxa"/>
            <w:vAlign w:val="center"/>
          </w:tcPr>
          <w:p w14:paraId="30DB1982">
            <w:pPr>
              <w:pStyle w:val="14"/>
            </w:pPr>
          </w:p>
        </w:tc>
        <w:tc>
          <w:tcPr>
            <w:tcW w:w="964" w:type="dxa"/>
            <w:vAlign w:val="center"/>
          </w:tcPr>
          <w:p w14:paraId="79A74BF3">
            <w:pPr>
              <w:pStyle w:val="14"/>
            </w:pPr>
          </w:p>
        </w:tc>
        <w:tc>
          <w:tcPr>
            <w:tcW w:w="964" w:type="dxa"/>
            <w:vAlign w:val="center"/>
          </w:tcPr>
          <w:p w14:paraId="28FD617C">
            <w:pPr>
              <w:pStyle w:val="14"/>
            </w:pPr>
          </w:p>
        </w:tc>
        <w:tc>
          <w:tcPr>
            <w:tcW w:w="964" w:type="dxa"/>
            <w:vAlign w:val="center"/>
          </w:tcPr>
          <w:p w14:paraId="2695A7E0">
            <w:pPr>
              <w:pStyle w:val="14"/>
            </w:pPr>
          </w:p>
        </w:tc>
        <w:tc>
          <w:tcPr>
            <w:tcW w:w="964" w:type="dxa"/>
            <w:vAlign w:val="center"/>
          </w:tcPr>
          <w:p w14:paraId="70778455">
            <w:pPr>
              <w:pStyle w:val="14"/>
            </w:pPr>
          </w:p>
        </w:tc>
      </w:tr>
    </w:tbl>
    <w:p w14:paraId="2A4938D4">
      <w:pPr>
        <w:spacing w:line="500" w:lineRule="exact"/>
        <w:ind w:firstLine="420"/>
        <w:rPr>
          <w:rFonts w:ascii="方正仿宋_GBK" w:hAnsi="方正仿宋_GBK" w:eastAsia="方正仿宋_GBK" w:cs="方正仿宋_GBK"/>
          <w:color w:val="000000"/>
        </w:rPr>
      </w:pPr>
      <w:r>
        <w:rPr>
          <w:rFonts w:ascii="方正仿宋_GBK" w:hAnsi="方正仿宋_GBK" w:eastAsia="方正仿宋_GBK" w:cs="方正仿宋_GBK"/>
          <w:color w:val="000000"/>
        </w:rPr>
        <w:t>注：同一采购目录序号的物品，其单价会因配置规格不同而变动，均符合资产配置标准。涉密采购事项按照相关规定执行。</w:t>
      </w:r>
    </w:p>
    <w:p w14:paraId="0E6446ED">
      <w:pPr>
        <w:spacing w:line="500" w:lineRule="exact"/>
        <w:ind w:firstLine="420"/>
        <w:rPr>
          <w:rFonts w:hint="eastAsia" w:ascii="方正仿宋_GBK" w:hAnsi="方正仿宋_GBK" w:eastAsia="方正仿宋_GBK" w:cs="方正仿宋_GBK"/>
          <w:color w:val="000000"/>
        </w:rPr>
      </w:pPr>
    </w:p>
    <w:p w14:paraId="54259BB7">
      <w:pPr>
        <w:spacing w:line="500" w:lineRule="exact"/>
        <w:ind w:firstLine="420"/>
        <w:rPr>
          <w:rFonts w:ascii="Times New Roman" w:hAnsi="Times New Roman" w:eastAsia="黑体" w:cs="Times New Roman"/>
          <w:sz w:val="32"/>
          <w:szCs w:val="32"/>
        </w:rPr>
      </w:pPr>
      <w:r>
        <w:rPr>
          <w:rFonts w:ascii="Times New Roman" w:hAnsi="Times New Roman" w:eastAsia="黑体" w:cs="Times New Roman"/>
          <w:sz w:val="32"/>
          <w:szCs w:val="32"/>
        </w:rPr>
        <w:t>七、国有资产信息</w:t>
      </w:r>
    </w:p>
    <w:p w14:paraId="605A7816">
      <w:pPr>
        <w:spacing w:line="584" w:lineRule="exact"/>
        <w:ind w:firstLine="64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中共</w:t>
      </w:r>
      <w:r>
        <w:rPr>
          <w:rFonts w:ascii="Times New Roman" w:hAnsi="Times New Roman" w:eastAsia="仿宋_GB2312" w:cs="Times New Roman"/>
          <w:sz w:val="32"/>
          <w:szCs w:val="32"/>
        </w:rPr>
        <w:t>廊坊</w:t>
      </w:r>
      <w:r>
        <w:rPr>
          <w:rFonts w:hint="eastAsia" w:ascii="Times New Roman" w:hAnsi="Times New Roman" w:eastAsia="仿宋_GB2312" w:cs="Times New Roman"/>
          <w:sz w:val="32"/>
          <w:szCs w:val="32"/>
          <w:lang w:eastAsia="zh-CN"/>
        </w:rPr>
        <w:t>市委统一战线工作部</w:t>
      </w:r>
      <w:r>
        <w:rPr>
          <w:rFonts w:ascii="Times New Roman" w:hAnsi="Times New Roman" w:eastAsia="仿宋_GB2312" w:cs="Times New Roman"/>
          <w:sz w:val="32"/>
          <w:szCs w:val="32"/>
        </w:rPr>
        <w:t>（含所属单位）上年末固定资产金额为</w:t>
      </w:r>
      <w:r>
        <w:rPr>
          <w:rFonts w:hint="eastAsia" w:ascii="Times New Roman" w:hAnsi="Times New Roman" w:eastAsia="仿宋_GB2312" w:cs="Times New Roman"/>
          <w:sz w:val="32"/>
          <w:szCs w:val="32"/>
          <w:lang w:val="en-US" w:eastAsia="zh-CN"/>
        </w:rPr>
        <w:t>216.49</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（详见下表）</w:t>
      </w:r>
      <w:r>
        <w:rPr>
          <w:rFonts w:ascii="Times New Roman" w:hAnsi="Times New Roman" w:eastAsia="仿宋_GB2312" w:cs="Times New Roman"/>
          <w:sz w:val="32"/>
          <w:szCs w:val="32"/>
        </w:rPr>
        <w:t>，本年度我部门拟购置固定资产</w:t>
      </w:r>
      <w:r>
        <w:rPr>
          <w:rFonts w:hint="eastAsia" w:ascii="Times New Roman" w:hAnsi="Times New Roman" w:eastAsia="仿宋_GB2312" w:cs="Times New Roman"/>
          <w:sz w:val="32"/>
          <w:szCs w:val="32"/>
        </w:rPr>
        <w:t>总额为</w:t>
      </w:r>
      <w:r>
        <w:rPr>
          <w:rFonts w:hint="eastAsia" w:ascii="Times New Roman" w:hAnsi="Times New Roman" w:eastAsia="仿宋_GB2312" w:cs="Times New Roman"/>
          <w:sz w:val="32"/>
          <w:szCs w:val="32"/>
          <w:lang w:val="en-US" w:eastAsia="zh-CN"/>
        </w:rPr>
        <w:t>0</w:t>
      </w:r>
      <w:r>
        <w:rPr>
          <w:rFonts w:hint="eastAsia"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p>
    <w:p w14:paraId="767F6CE2">
      <w:pPr>
        <w:spacing w:line="584" w:lineRule="exact"/>
        <w:ind w:firstLine="640"/>
        <w:rPr>
          <w:rFonts w:ascii="Times New Roman" w:hAnsi="Times New Roman" w:eastAsia="仿宋_GB2312" w:cs="Times New Roman"/>
          <w:sz w:val="32"/>
          <w:szCs w:val="32"/>
        </w:rPr>
      </w:pPr>
    </w:p>
    <w:tbl>
      <w:tblPr>
        <w:tblStyle w:val="9"/>
        <w:tblW w:w="13325" w:type="dxa"/>
        <w:tblInd w:w="93" w:type="dxa"/>
        <w:tblLayout w:type="autofit"/>
        <w:tblCellMar>
          <w:top w:w="0" w:type="dxa"/>
          <w:left w:w="108" w:type="dxa"/>
          <w:bottom w:w="0" w:type="dxa"/>
          <w:right w:w="108" w:type="dxa"/>
        </w:tblCellMar>
      </w:tblPr>
      <w:tblGrid>
        <w:gridCol w:w="5224"/>
        <w:gridCol w:w="3155"/>
        <w:gridCol w:w="5103"/>
      </w:tblGrid>
      <w:tr w14:paraId="6E8F398B">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shd w:val="clear" w:color="auto" w:fill="auto"/>
            <w:noWrap/>
            <w:vAlign w:val="center"/>
          </w:tcPr>
          <w:p w14:paraId="72392E92">
            <w:pPr>
              <w:widowControl/>
              <w:spacing w:line="584" w:lineRule="exact"/>
              <w:jc w:val="center"/>
              <w:rPr>
                <w:rFonts w:ascii="Times New Roman" w:hAnsi="Times New Roman" w:eastAsia="仿宋_GB2312" w:cs="Times New Roman"/>
                <w:b/>
                <w:bCs/>
                <w:kern w:val="0"/>
                <w:sz w:val="32"/>
                <w:szCs w:val="32"/>
              </w:rPr>
            </w:pPr>
            <w:r>
              <w:rPr>
                <w:rFonts w:ascii="Times New Roman" w:hAnsi="Times New Roman" w:eastAsia="仿宋_GB2312" w:cs="Times New Roman"/>
                <w:b/>
                <w:bCs/>
                <w:kern w:val="0"/>
                <w:sz w:val="32"/>
                <w:szCs w:val="32"/>
              </w:rPr>
              <w:t>廊坊市市直部门固定资产占用情况表</w:t>
            </w:r>
          </w:p>
        </w:tc>
      </w:tr>
      <w:tr w14:paraId="1C4C1127">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noWrap/>
            <w:vAlign w:val="center"/>
          </w:tcPr>
          <w:p w14:paraId="0A9E7020">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编制部门：</w:t>
            </w:r>
            <w:r>
              <w:rPr>
                <w:rFonts w:hint="eastAsia" w:ascii="Times New Roman" w:hAnsi="Times New Roman" w:eastAsia="仿宋_GB2312" w:cs="Times New Roman"/>
                <w:kern w:val="0"/>
                <w:sz w:val="22"/>
                <w:lang w:eastAsia="zh-CN"/>
              </w:rPr>
              <w:t>中共</w:t>
            </w:r>
            <w:r>
              <w:rPr>
                <w:rFonts w:ascii="Times New Roman" w:hAnsi="Times New Roman" w:eastAsia="仿宋_GB2312" w:cs="Times New Roman"/>
                <w:kern w:val="0"/>
                <w:sz w:val="22"/>
              </w:rPr>
              <w:t>廊坊</w:t>
            </w:r>
            <w:r>
              <w:rPr>
                <w:rFonts w:hint="eastAsia" w:ascii="Times New Roman" w:hAnsi="Times New Roman" w:eastAsia="仿宋_GB2312" w:cs="Times New Roman"/>
                <w:kern w:val="0"/>
                <w:sz w:val="22"/>
                <w:lang w:eastAsia="zh-CN"/>
              </w:rPr>
              <w:t>市委统一战线工作部</w:t>
            </w:r>
          </w:p>
        </w:tc>
        <w:tc>
          <w:tcPr>
            <w:tcW w:w="5103" w:type="dxa"/>
            <w:tcBorders>
              <w:top w:val="nil"/>
              <w:left w:val="nil"/>
              <w:bottom w:val="nil"/>
              <w:right w:val="nil"/>
            </w:tcBorders>
            <w:shd w:val="clear" w:color="auto" w:fill="auto"/>
            <w:noWrap/>
            <w:vAlign w:val="center"/>
          </w:tcPr>
          <w:p w14:paraId="41151D4E">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截止时间：20</w:t>
            </w:r>
            <w:r>
              <w:rPr>
                <w:rFonts w:hint="eastAsia" w:ascii="Times New Roman" w:hAnsi="Times New Roman" w:eastAsia="仿宋_GB2312" w:cs="Times New Roman"/>
                <w:kern w:val="0"/>
                <w:sz w:val="22"/>
              </w:rPr>
              <w:t>2</w:t>
            </w:r>
            <w:r>
              <w:rPr>
                <w:rFonts w:ascii="Times New Roman" w:hAnsi="Times New Roman" w:eastAsia="仿宋_GB2312" w:cs="Times New Roman"/>
                <w:kern w:val="0"/>
                <w:sz w:val="22"/>
              </w:rPr>
              <w:t xml:space="preserve">1年12月31日  </w:t>
            </w:r>
          </w:p>
        </w:tc>
      </w:tr>
      <w:tr w14:paraId="72FE4048">
        <w:tblPrEx>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83DF70">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项   目</w:t>
            </w:r>
          </w:p>
        </w:tc>
        <w:tc>
          <w:tcPr>
            <w:tcW w:w="3155" w:type="dxa"/>
            <w:tcBorders>
              <w:top w:val="single" w:color="auto" w:sz="4" w:space="0"/>
              <w:left w:val="nil"/>
              <w:bottom w:val="single" w:color="auto" w:sz="4" w:space="0"/>
              <w:right w:val="single" w:color="auto" w:sz="4" w:space="0"/>
            </w:tcBorders>
            <w:shd w:val="clear" w:color="auto" w:fill="auto"/>
            <w:noWrap/>
            <w:vAlign w:val="center"/>
          </w:tcPr>
          <w:p w14:paraId="7F4F2A4B">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noWrap/>
            <w:vAlign w:val="center"/>
          </w:tcPr>
          <w:p w14:paraId="1FE825D4">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价值（金额单位：万元）</w:t>
            </w:r>
          </w:p>
        </w:tc>
      </w:tr>
      <w:tr w14:paraId="44754824">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1964339A">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资产总额</w:t>
            </w:r>
          </w:p>
        </w:tc>
        <w:tc>
          <w:tcPr>
            <w:tcW w:w="3155" w:type="dxa"/>
            <w:tcBorders>
              <w:top w:val="nil"/>
              <w:left w:val="nil"/>
              <w:bottom w:val="single" w:color="auto" w:sz="4" w:space="0"/>
              <w:right w:val="single" w:color="auto" w:sz="4" w:space="0"/>
            </w:tcBorders>
            <w:shd w:val="clear" w:color="auto" w:fill="auto"/>
            <w:noWrap/>
            <w:vAlign w:val="center"/>
          </w:tcPr>
          <w:p w14:paraId="6FD96C7D">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w:t>
            </w:r>
          </w:p>
        </w:tc>
        <w:tc>
          <w:tcPr>
            <w:tcW w:w="5103" w:type="dxa"/>
            <w:tcBorders>
              <w:top w:val="nil"/>
              <w:left w:val="nil"/>
              <w:bottom w:val="single" w:color="auto" w:sz="4" w:space="0"/>
              <w:right w:val="single" w:color="auto" w:sz="4" w:space="0"/>
            </w:tcBorders>
            <w:shd w:val="clear" w:color="auto" w:fill="auto"/>
            <w:noWrap/>
            <w:vAlign w:val="center"/>
          </w:tcPr>
          <w:p w14:paraId="4FFC91EA">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216.49</w:t>
            </w:r>
          </w:p>
        </w:tc>
      </w:tr>
      <w:tr w14:paraId="17B8AFC4">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1B3AA03B">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1、房屋（平方米）</w:t>
            </w:r>
          </w:p>
        </w:tc>
        <w:tc>
          <w:tcPr>
            <w:tcW w:w="3155" w:type="dxa"/>
            <w:tcBorders>
              <w:top w:val="nil"/>
              <w:left w:val="nil"/>
              <w:bottom w:val="single" w:color="auto" w:sz="4" w:space="0"/>
              <w:right w:val="single" w:color="auto" w:sz="4" w:space="0"/>
            </w:tcBorders>
            <w:shd w:val="clear" w:color="auto" w:fill="auto"/>
            <w:noWrap/>
            <w:vAlign w:val="center"/>
          </w:tcPr>
          <w:p w14:paraId="23087243">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67865B21">
            <w:pPr>
              <w:spacing w:line="584" w:lineRule="exact"/>
              <w:jc w:val="center"/>
              <w:rPr>
                <w:rFonts w:ascii="Times New Roman" w:hAnsi="Times New Roman" w:eastAsia="仿宋_GB2312" w:cs="Times New Roman"/>
                <w:sz w:val="22"/>
              </w:rPr>
            </w:pPr>
          </w:p>
        </w:tc>
      </w:tr>
      <w:tr w14:paraId="31D282E7">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321F7A52">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其中：办公用房（平方米）</w:t>
            </w:r>
          </w:p>
        </w:tc>
        <w:tc>
          <w:tcPr>
            <w:tcW w:w="3155" w:type="dxa"/>
            <w:tcBorders>
              <w:top w:val="nil"/>
              <w:left w:val="nil"/>
              <w:bottom w:val="single" w:color="auto" w:sz="4" w:space="0"/>
              <w:right w:val="single" w:color="auto" w:sz="4" w:space="0"/>
            </w:tcBorders>
            <w:shd w:val="clear" w:color="auto" w:fill="auto"/>
            <w:noWrap/>
            <w:vAlign w:val="center"/>
          </w:tcPr>
          <w:p w14:paraId="3419EB97">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6622953F">
            <w:pPr>
              <w:spacing w:line="584" w:lineRule="exact"/>
              <w:jc w:val="center"/>
              <w:rPr>
                <w:rFonts w:ascii="Times New Roman" w:hAnsi="Times New Roman" w:eastAsia="仿宋_GB2312" w:cs="Times New Roman"/>
                <w:sz w:val="22"/>
              </w:rPr>
            </w:pPr>
          </w:p>
        </w:tc>
      </w:tr>
      <w:tr w14:paraId="3EA4E6D1">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26767DC5">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2、车辆（台、辆）</w:t>
            </w:r>
          </w:p>
        </w:tc>
        <w:tc>
          <w:tcPr>
            <w:tcW w:w="3155" w:type="dxa"/>
            <w:tcBorders>
              <w:top w:val="nil"/>
              <w:left w:val="nil"/>
              <w:bottom w:val="single" w:color="auto" w:sz="4" w:space="0"/>
              <w:right w:val="single" w:color="auto" w:sz="4" w:space="0"/>
            </w:tcBorders>
            <w:shd w:val="clear" w:color="auto" w:fill="auto"/>
            <w:noWrap/>
            <w:vAlign w:val="center"/>
          </w:tcPr>
          <w:p w14:paraId="35AC5D59">
            <w:pPr>
              <w:spacing w:line="584" w:lineRule="exact"/>
              <w:jc w:val="center"/>
              <w:rPr>
                <w:rFonts w:hint="eastAsia" w:ascii="Times New Roman" w:hAnsi="Times New Roman" w:eastAsia="仿宋_GB2312" w:cs="Times New Roman"/>
                <w:sz w:val="22"/>
                <w:lang w:val="en-US" w:eastAsia="zh-CN"/>
              </w:rPr>
            </w:pPr>
          </w:p>
        </w:tc>
        <w:tc>
          <w:tcPr>
            <w:tcW w:w="5103" w:type="dxa"/>
            <w:tcBorders>
              <w:top w:val="nil"/>
              <w:left w:val="nil"/>
              <w:bottom w:val="single" w:color="auto" w:sz="4" w:space="0"/>
              <w:right w:val="single" w:color="auto" w:sz="4" w:space="0"/>
            </w:tcBorders>
            <w:shd w:val="clear" w:color="auto" w:fill="auto"/>
            <w:noWrap/>
            <w:vAlign w:val="center"/>
          </w:tcPr>
          <w:p w14:paraId="7F5A27CC">
            <w:pPr>
              <w:spacing w:line="584" w:lineRule="exact"/>
              <w:jc w:val="center"/>
              <w:rPr>
                <w:rFonts w:ascii="Times New Roman" w:hAnsi="Times New Roman" w:eastAsia="仿宋_GB2312" w:cs="Times New Roman"/>
                <w:sz w:val="22"/>
              </w:rPr>
            </w:pPr>
          </w:p>
        </w:tc>
      </w:tr>
      <w:tr w14:paraId="65A864FD">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0374300C">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3、单价在20万元以上的设备</w:t>
            </w:r>
          </w:p>
        </w:tc>
        <w:tc>
          <w:tcPr>
            <w:tcW w:w="3155" w:type="dxa"/>
            <w:tcBorders>
              <w:top w:val="nil"/>
              <w:left w:val="nil"/>
              <w:bottom w:val="single" w:color="auto" w:sz="4" w:space="0"/>
              <w:right w:val="single" w:color="auto" w:sz="4" w:space="0"/>
            </w:tcBorders>
            <w:shd w:val="clear" w:color="auto" w:fill="auto"/>
            <w:noWrap/>
            <w:vAlign w:val="center"/>
          </w:tcPr>
          <w:p w14:paraId="0229EDD7">
            <w:pPr>
              <w:spacing w:line="584" w:lineRule="exact"/>
              <w:jc w:val="center"/>
              <w:rPr>
                <w:rFonts w:hint="eastAsia"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1</w:t>
            </w:r>
          </w:p>
        </w:tc>
        <w:tc>
          <w:tcPr>
            <w:tcW w:w="5103" w:type="dxa"/>
            <w:tcBorders>
              <w:top w:val="nil"/>
              <w:left w:val="nil"/>
              <w:bottom w:val="single" w:color="auto" w:sz="4" w:space="0"/>
              <w:right w:val="single" w:color="auto" w:sz="4" w:space="0"/>
            </w:tcBorders>
            <w:shd w:val="clear" w:color="auto" w:fill="auto"/>
            <w:noWrap/>
            <w:vAlign w:val="center"/>
          </w:tcPr>
          <w:p w14:paraId="7B1A7CA7">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97.13</w:t>
            </w:r>
          </w:p>
        </w:tc>
      </w:tr>
      <w:tr w14:paraId="48C895C3">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61639DAE">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4、其他固定资产</w:t>
            </w:r>
          </w:p>
        </w:tc>
        <w:tc>
          <w:tcPr>
            <w:tcW w:w="3155" w:type="dxa"/>
            <w:tcBorders>
              <w:top w:val="nil"/>
              <w:left w:val="nil"/>
              <w:bottom w:val="single" w:color="auto" w:sz="4" w:space="0"/>
              <w:right w:val="single" w:color="auto" w:sz="4" w:space="0"/>
            </w:tcBorders>
            <w:shd w:val="clear" w:color="auto" w:fill="auto"/>
            <w:noWrap/>
            <w:vAlign w:val="center"/>
          </w:tcPr>
          <w:p w14:paraId="4F686685">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121</w:t>
            </w:r>
          </w:p>
        </w:tc>
        <w:tc>
          <w:tcPr>
            <w:tcW w:w="5103" w:type="dxa"/>
            <w:tcBorders>
              <w:top w:val="nil"/>
              <w:left w:val="nil"/>
              <w:bottom w:val="single" w:color="auto" w:sz="4" w:space="0"/>
              <w:right w:val="single" w:color="auto" w:sz="4" w:space="0"/>
            </w:tcBorders>
            <w:shd w:val="clear" w:color="auto" w:fill="auto"/>
            <w:noWrap/>
            <w:vAlign w:val="center"/>
          </w:tcPr>
          <w:p w14:paraId="7D06576E">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119.36</w:t>
            </w:r>
          </w:p>
        </w:tc>
      </w:tr>
    </w:tbl>
    <w:p w14:paraId="3A43F641">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八、名词解释</w:t>
      </w:r>
    </w:p>
    <w:p w14:paraId="62CAC863">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1、一般公共预算拨款收入：</w:t>
      </w:r>
      <w:r>
        <w:rPr>
          <w:rFonts w:ascii="Times New Roman" w:hAnsi="Times New Roman" w:eastAsia="仿宋_GB2312" w:cs="Times New Roman"/>
          <w:sz w:val="32"/>
          <w:szCs w:val="32"/>
        </w:rPr>
        <w:t>指</w:t>
      </w:r>
      <w:r>
        <w:rPr>
          <w:rFonts w:hint="eastAsia" w:ascii="Times New Roman" w:hAnsi="Times New Roman" w:eastAsia="仿宋_GB2312" w:cs="Times New Roman"/>
          <w:sz w:val="32"/>
          <w:szCs w:val="32"/>
          <w:lang w:eastAsia="zh-CN"/>
        </w:rPr>
        <w:t>市</w:t>
      </w:r>
      <w:r>
        <w:rPr>
          <w:rFonts w:ascii="Times New Roman" w:hAnsi="Times New Roman" w:eastAsia="仿宋_GB2312" w:cs="Times New Roman"/>
          <w:sz w:val="32"/>
          <w:szCs w:val="32"/>
        </w:rPr>
        <w:t>级财政当年拨付的资金。</w:t>
      </w:r>
    </w:p>
    <w:p w14:paraId="702509DB">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2、事业收入：</w:t>
      </w:r>
      <w:r>
        <w:rPr>
          <w:rFonts w:ascii="Times New Roman" w:hAnsi="Times New Roman" w:eastAsia="仿宋_GB2312" w:cs="Times New Roman"/>
          <w:sz w:val="32"/>
          <w:szCs w:val="32"/>
        </w:rPr>
        <w:t>指事业单位开展专业业务活动及辅助活动所取得的收入。</w:t>
      </w:r>
    </w:p>
    <w:p w14:paraId="7148E5F3">
      <w:pPr>
        <w:tabs>
          <w:tab w:val="left" w:pos="11490"/>
        </w:tabs>
        <w:spacing w:line="584" w:lineRule="exact"/>
        <w:ind w:firstLine="643"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3、其他收入：</w:t>
      </w:r>
      <w:r>
        <w:rPr>
          <w:rFonts w:ascii="Times New Roman" w:hAnsi="Times New Roman" w:eastAsia="仿宋_GB2312" w:cs="Times New Roman"/>
          <w:sz w:val="32"/>
          <w:szCs w:val="32"/>
        </w:rPr>
        <w:t>指除“一般公共预算拨款收入”、“事业收入”等以外的收入。主要是按规定动用的租房收入、存款利息收入等。</w:t>
      </w:r>
    </w:p>
    <w:p w14:paraId="74AB1937">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4、基本支出：</w:t>
      </w:r>
      <w:r>
        <w:rPr>
          <w:rFonts w:ascii="Times New Roman" w:hAnsi="Times New Roman" w:eastAsia="仿宋_GB2312" w:cs="Times New Roman"/>
          <w:sz w:val="32"/>
          <w:szCs w:val="32"/>
        </w:rPr>
        <w:t>指为保障机构正常运转、完成日常工作任务而发生的人员支出和公用支出。</w:t>
      </w:r>
    </w:p>
    <w:p w14:paraId="47C8169B">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5、项目支出：</w:t>
      </w:r>
      <w:r>
        <w:rPr>
          <w:rFonts w:ascii="Times New Roman" w:hAnsi="Times New Roman" w:eastAsia="仿宋_GB2312" w:cs="Times New Roman"/>
          <w:sz w:val="32"/>
          <w:szCs w:val="32"/>
        </w:rPr>
        <w:t>指在基本支出之外为完成特定行政任务和事业发展目标所发生的支出。</w:t>
      </w:r>
    </w:p>
    <w:p w14:paraId="1D80EB51">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6、上缴上级支出：</w:t>
      </w:r>
      <w:r>
        <w:rPr>
          <w:rFonts w:ascii="Times New Roman" w:hAnsi="Times New Roman" w:eastAsia="仿宋_GB2312" w:cs="Times New Roman"/>
          <w:sz w:val="32"/>
          <w:szCs w:val="32"/>
        </w:rPr>
        <w:t>指下级单位上缴上级的支出。</w:t>
      </w:r>
    </w:p>
    <w:p w14:paraId="1B17F33A">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7、“三公”经费：</w:t>
      </w:r>
      <w:r>
        <w:rPr>
          <w:rFonts w:ascii="Times New Roman" w:hAnsi="Times New Roman" w:eastAsia="仿宋_GB2312" w:cs="Times New Roman"/>
          <w:sz w:val="32"/>
          <w:szCs w:val="32"/>
        </w:rPr>
        <w:t>纳入</w:t>
      </w:r>
      <w:r>
        <w:rPr>
          <w:rFonts w:hint="eastAsia" w:ascii="Times New Roman" w:hAnsi="Times New Roman" w:eastAsia="仿宋_GB2312" w:cs="Times New Roman"/>
          <w:sz w:val="32"/>
          <w:szCs w:val="32"/>
          <w:lang w:eastAsia="zh-CN"/>
        </w:rPr>
        <w:t>市</w:t>
      </w:r>
      <w:r>
        <w:rPr>
          <w:rFonts w:ascii="Times New Roman" w:hAnsi="Times New Roman" w:eastAsia="仿宋_GB2312" w:cs="Times New Roman"/>
          <w:sz w:val="32"/>
          <w:szCs w:val="32"/>
        </w:rPr>
        <w:t>级财政预算管理的“三公”经费，是指</w:t>
      </w:r>
      <w:r>
        <w:rPr>
          <w:rFonts w:hint="eastAsia" w:ascii="Times New Roman" w:hAnsi="Times New Roman" w:eastAsia="仿宋_GB2312" w:cs="Times New Roman"/>
          <w:sz w:val="32"/>
          <w:szCs w:val="32"/>
          <w:lang w:eastAsia="zh-CN"/>
        </w:rPr>
        <w:t>市</w:t>
      </w:r>
      <w:r>
        <w:rPr>
          <w:rFonts w:ascii="Times New Roman" w:hAnsi="Times New Roman" w:eastAsia="仿宋_GB2312" w:cs="Times New Roman"/>
          <w:sz w:val="32"/>
          <w:szCs w:val="32"/>
        </w:rPr>
        <w:t>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5496E791">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8、机关运行费：</w:t>
      </w:r>
      <w:r>
        <w:rPr>
          <w:rFonts w:ascii="Times New Roman"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27FF81D">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9、上年结转：</w:t>
      </w:r>
      <w:r>
        <w:rPr>
          <w:rFonts w:ascii="Times New Roman" w:hAnsi="Times New Roman" w:eastAsia="仿宋_GB2312" w:cs="Times New Roman"/>
          <w:sz w:val="32"/>
          <w:szCs w:val="32"/>
        </w:rPr>
        <w:t>指以前年度尚未完成、结转到本年仍按原规定用途继续使用的资金。</w:t>
      </w:r>
    </w:p>
    <w:p w14:paraId="27DB5D64">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10、事业单位经营支出：</w:t>
      </w:r>
      <w:r>
        <w:rPr>
          <w:rFonts w:ascii="Times New Roman" w:hAnsi="Times New Roman" w:eastAsia="仿宋_GB2312" w:cs="Times New Roman"/>
          <w:sz w:val="32"/>
          <w:szCs w:val="32"/>
        </w:rPr>
        <w:t>指事业单位在专业业务活动及其辅助活动之外开展非独立核算经营活动发生的支出。</w:t>
      </w:r>
    </w:p>
    <w:p w14:paraId="44666174">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九、其他需要说明的事项</w:t>
      </w:r>
    </w:p>
    <w:p w14:paraId="7179708F">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我部门无其他需要说明的事项。</w:t>
      </w:r>
    </w:p>
    <w:sectPr>
      <w:footerReference r:id="rId3" w:type="default"/>
      <w:pgSz w:w="16838" w:h="11906" w:orient="landscape"/>
      <w:pgMar w:top="1800" w:right="1440" w:bottom="1800" w:left="144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书宋_GBK">
    <w:altName w:val="Arial Unicode MS"/>
    <w:panose1 w:val="02000000000000000000"/>
    <w:charset w:val="86"/>
    <w:family w:val="roman"/>
    <w:pitch w:val="default"/>
    <w:sig w:usb0="00000000" w:usb1="00000000" w:usb2="00000000" w:usb3="00000000" w:csb0="00040000" w:csb1="00000000"/>
  </w:font>
  <w:font w:name="方正小标宋简体">
    <w:altName w:val="Arial Unicode MS"/>
    <w:panose1 w:val="02010601030101010101"/>
    <w:charset w:val="86"/>
    <w:family w:val="script"/>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_GBK">
    <w:altName w:val="Arial Unicode MS"/>
    <w:panose1 w:val="02000000000000000000"/>
    <w:charset w:val="86"/>
    <w:family w:val="script"/>
    <w:pitch w:val="default"/>
    <w:sig w:usb0="00000000" w:usb1="00000000" w:usb2="00000000" w:usb3="00000000" w:csb0="00040000" w:csb1="00000000"/>
  </w:font>
  <w:font w:name="CESI仿宋-GB13000">
    <w:altName w:val="仿宋"/>
    <w:panose1 w:val="02000500000000000000"/>
    <w:charset w:val="86"/>
    <w:family w:val="auto"/>
    <w:pitch w:val="default"/>
    <w:sig w:usb0="00000000" w:usb1="00000000" w:usb2="00000016" w:usb3="00000000" w:csb0="0004000F" w:csb1="00000000"/>
  </w:font>
  <w:font w:name="方正仿宋_GBK">
    <w:altName w:val="Arial Unicode MS"/>
    <w:panose1 w:val="02000000000000000000"/>
    <w:charset w:val="86"/>
    <w:family w:val="script"/>
    <w:pitch w:val="default"/>
    <w:sig w:usb0="00000000" w:usb1="00000000" w:usb2="00000000" w:usb3="00000000" w:csb0="00040000" w:csb1="00000000"/>
  </w:font>
  <w:font w:name="Noto Sans CJK SC">
    <w:altName w:val="宋体"/>
    <w:panose1 w:val="020B0500000000000000"/>
    <w:charset w:val="86"/>
    <w:family w:val="auto"/>
    <w:pitch w:val="default"/>
    <w:sig w:usb0="00000000" w:usb1="00000000" w:usb2="00000016" w:usb3="00000000" w:csb0="602E0107" w:csb1="00000000"/>
  </w:font>
  <w:font w:name="Arial Unicode MS">
    <w:panose1 w:val="020B0604020202020204"/>
    <w:charset w:val="86"/>
    <w:family w:val="auto"/>
    <w:pitch w:val="default"/>
    <w:sig w:usb0="FFFFFFFF" w:usb1="E9FFFFFF" w:usb2="0000003F" w:usb3="00000000" w:csb0="603F01FF" w:csb1="FFFF0000"/>
  </w:font>
  <w:font w:name="KSOFE44F9426">
    <w:panose1 w:val="0201060906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 w:name="KSOFAAFE89F0">
    <w:panose1 w:val="020B0604020202020204"/>
    <w:charset w:val="86"/>
    <w:family w:val="auto"/>
    <w:pitch w:val="default"/>
    <w:sig w:usb0="00000001" w:usb1="00000000" w:usb2="00000000" w:usb3="00000000" w:csb0="00040001" w:csb1="00000000"/>
  </w:font>
  <w:font w:name="KSOF6F906C0F">
    <w:panose1 w:val="020B0604020202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E2768">
    <w:pPr>
      <w:pStyle w:val="4"/>
      <w:jc w:val="center"/>
    </w:pPr>
    <w:r>
      <w:rPr>
        <w:rFonts w:hint="eastAsia"/>
      </w:rPr>
      <w:t>-</w:t>
    </w:r>
    <w:r>
      <w:fldChar w:fldCharType="begin"/>
    </w:r>
    <w:r>
      <w:instrText xml:space="preserve">PAGE   \* MERGEFORMAT</w:instrText>
    </w:r>
    <w:r>
      <w:fldChar w:fldCharType="separate"/>
    </w:r>
    <w:r>
      <w:rPr>
        <w:lang w:val="zh-CN"/>
      </w:rPr>
      <w:t>9</w:t>
    </w:r>
    <w:r>
      <w:rPr>
        <w:lang w:val="zh-CN"/>
      </w:rPr>
      <w:fldChar w:fldCharType="end"/>
    </w:r>
    <w:r>
      <w:rPr>
        <w:rFonts w:hint="eastAsia"/>
      </w:rPr>
      <w:t>-</w:t>
    </w:r>
  </w:p>
  <w:p w14:paraId="471A1CDC">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F95366"/>
    <w:multiLevelType w:val="singleLevel"/>
    <w:tmpl w:val="F2F95366"/>
    <w:lvl w:ilvl="0" w:tentative="0">
      <w:start w:val="5"/>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zZTZjYmUwMDA5NzJhOGI1M2Y4NmYwYTk1ZGNhZGEifQ=="/>
  </w:docVars>
  <w:rsids>
    <w:rsidRoot w:val="00D347CC"/>
    <w:rsid w:val="000230E6"/>
    <w:rsid w:val="0025632D"/>
    <w:rsid w:val="004A54AA"/>
    <w:rsid w:val="00944233"/>
    <w:rsid w:val="00B40732"/>
    <w:rsid w:val="00B80935"/>
    <w:rsid w:val="00D347CC"/>
    <w:rsid w:val="01D134FA"/>
    <w:rsid w:val="0458529A"/>
    <w:rsid w:val="07041C7C"/>
    <w:rsid w:val="075449B1"/>
    <w:rsid w:val="09BF72F9"/>
    <w:rsid w:val="0B2428ED"/>
    <w:rsid w:val="0CA43CE5"/>
    <w:rsid w:val="10F845FF"/>
    <w:rsid w:val="117F6ACF"/>
    <w:rsid w:val="118E6D12"/>
    <w:rsid w:val="13315BA7"/>
    <w:rsid w:val="13C702B9"/>
    <w:rsid w:val="149B4E8E"/>
    <w:rsid w:val="1514752E"/>
    <w:rsid w:val="157601E9"/>
    <w:rsid w:val="15CC605B"/>
    <w:rsid w:val="176C18A3"/>
    <w:rsid w:val="17BB1EE3"/>
    <w:rsid w:val="185760AF"/>
    <w:rsid w:val="194E48A9"/>
    <w:rsid w:val="19C21C4E"/>
    <w:rsid w:val="19E96131"/>
    <w:rsid w:val="1D6C254B"/>
    <w:rsid w:val="201E74B3"/>
    <w:rsid w:val="20BD6CCC"/>
    <w:rsid w:val="22034BB2"/>
    <w:rsid w:val="22A44F84"/>
    <w:rsid w:val="2429602E"/>
    <w:rsid w:val="25AF2865"/>
    <w:rsid w:val="25C74149"/>
    <w:rsid w:val="262B0B7B"/>
    <w:rsid w:val="266E7DCC"/>
    <w:rsid w:val="28812CD5"/>
    <w:rsid w:val="291F0EDE"/>
    <w:rsid w:val="2A4346E5"/>
    <w:rsid w:val="2A6C3E1C"/>
    <w:rsid w:val="2F6C479D"/>
    <w:rsid w:val="2FB67708"/>
    <w:rsid w:val="30BD4AC6"/>
    <w:rsid w:val="30D36097"/>
    <w:rsid w:val="32755658"/>
    <w:rsid w:val="33122EA7"/>
    <w:rsid w:val="34F5482E"/>
    <w:rsid w:val="355902E2"/>
    <w:rsid w:val="3567587C"/>
    <w:rsid w:val="361231BE"/>
    <w:rsid w:val="36D81FEE"/>
    <w:rsid w:val="377F2AD5"/>
    <w:rsid w:val="37CB28D8"/>
    <w:rsid w:val="383513E6"/>
    <w:rsid w:val="38521F98"/>
    <w:rsid w:val="39C21154"/>
    <w:rsid w:val="39D66B22"/>
    <w:rsid w:val="3A4174C2"/>
    <w:rsid w:val="3ADE3FB6"/>
    <w:rsid w:val="3B2C3741"/>
    <w:rsid w:val="3E285C74"/>
    <w:rsid w:val="3E921340"/>
    <w:rsid w:val="40154184"/>
    <w:rsid w:val="41F67E38"/>
    <w:rsid w:val="42460F98"/>
    <w:rsid w:val="4285237F"/>
    <w:rsid w:val="42C07875"/>
    <w:rsid w:val="43747266"/>
    <w:rsid w:val="466B2BA2"/>
    <w:rsid w:val="46D41A97"/>
    <w:rsid w:val="46DA3884"/>
    <w:rsid w:val="49494CF1"/>
    <w:rsid w:val="4B217CD3"/>
    <w:rsid w:val="4B6F5D47"/>
    <w:rsid w:val="4C0D0258"/>
    <w:rsid w:val="4D7221B5"/>
    <w:rsid w:val="4DAB7D28"/>
    <w:rsid w:val="4FDA48F5"/>
    <w:rsid w:val="521024BF"/>
    <w:rsid w:val="55511498"/>
    <w:rsid w:val="565C6063"/>
    <w:rsid w:val="565D1DDC"/>
    <w:rsid w:val="566C50E8"/>
    <w:rsid w:val="572052E3"/>
    <w:rsid w:val="581B3CFC"/>
    <w:rsid w:val="5E287173"/>
    <w:rsid w:val="5E391380"/>
    <w:rsid w:val="5F434264"/>
    <w:rsid w:val="600D4872"/>
    <w:rsid w:val="610C4B2A"/>
    <w:rsid w:val="62061579"/>
    <w:rsid w:val="63142D1E"/>
    <w:rsid w:val="63514A76"/>
    <w:rsid w:val="6611351E"/>
    <w:rsid w:val="66B519DF"/>
    <w:rsid w:val="692844CB"/>
    <w:rsid w:val="69406477"/>
    <w:rsid w:val="69765A4C"/>
    <w:rsid w:val="6D3F750F"/>
    <w:rsid w:val="6E041063"/>
    <w:rsid w:val="6ED07DE8"/>
    <w:rsid w:val="71946BA2"/>
    <w:rsid w:val="73C53042"/>
    <w:rsid w:val="75236DCA"/>
    <w:rsid w:val="75E4177A"/>
    <w:rsid w:val="769D02A6"/>
    <w:rsid w:val="76DD4B47"/>
    <w:rsid w:val="7718792D"/>
    <w:rsid w:val="776D3CF7"/>
    <w:rsid w:val="77A63E86"/>
    <w:rsid w:val="79BCD139"/>
    <w:rsid w:val="7A2B15E1"/>
    <w:rsid w:val="7A7632E8"/>
    <w:rsid w:val="7DC425BD"/>
    <w:rsid w:val="7EC14CCB"/>
    <w:rsid w:val="7F6F6188"/>
    <w:rsid w:val="7FB9D71D"/>
    <w:rsid w:val="DF5FC7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qFormat="1" w:unhideWhenUsed="0" w:uiPriority="99" w:semiHidden="0" w:name="index 9"/>
    <w:lsdException w:qFormat="1"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index 9"/>
    <w:basedOn w:val="1"/>
    <w:next w:val="1"/>
    <w:qFormat/>
    <w:uiPriority w:val="99"/>
    <w:pPr>
      <w:spacing w:line="600" w:lineRule="exact"/>
    </w:pPr>
    <w:rPr>
      <w:rFonts w:ascii="楷体_GB2312" w:hAnsi="黑体" w:eastAsia="楷体_GB2312"/>
      <w:b/>
      <w:sz w:val="36"/>
      <w:szCs w:val="32"/>
    </w:rPr>
  </w:style>
  <w:style w:type="paragraph" w:styleId="3">
    <w:name w:val="Balloon Text"/>
    <w:basedOn w:val="1"/>
    <w:qFormat/>
    <w:uiPriority w:val="0"/>
    <w:rPr>
      <w:sz w:val="18"/>
      <w:szCs w:val="18"/>
    </w:rPr>
  </w:style>
  <w:style w:type="paragraph" w:styleId="4">
    <w:name w:val="footer"/>
    <w:basedOn w:val="1"/>
    <w:qFormat/>
    <w:uiPriority w:val="0"/>
    <w:pPr>
      <w:tabs>
        <w:tab w:val="center" w:pos="4153"/>
        <w:tab w:val="right" w:pos="8306"/>
      </w:tabs>
      <w:snapToGrid w:val="0"/>
      <w:jc w:val="left"/>
    </w:pPr>
    <w:rPr>
      <w:rFonts w:ascii="Times New Roman" w:hAnsi="Times New Roman" w:cs="Times New Roman"/>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6">
    <w:name w:val="toc 1"/>
    <w:basedOn w:val="1"/>
    <w:next w:val="1"/>
    <w:qFormat/>
    <w:uiPriority w:val="0"/>
    <w:rPr>
      <w:rFonts w:ascii="Times New Roman" w:hAnsi="Times New Roman" w:cs="Times New Roman"/>
      <w:szCs w:val="24"/>
    </w:rPr>
  </w:style>
  <w:style w:type="paragraph" w:styleId="7">
    <w:name w:val="footnote text"/>
    <w:basedOn w:val="1"/>
    <w:qFormat/>
    <w:uiPriority w:val="0"/>
    <w:pPr>
      <w:snapToGrid w:val="0"/>
      <w:jc w:val="left"/>
    </w:pPr>
    <w:rPr>
      <w:rFonts w:cs="Times New Roman"/>
      <w:sz w:val="18"/>
      <w:szCs w:val="18"/>
    </w:rPr>
  </w:style>
  <w:style w:type="paragraph" w:styleId="8">
    <w:name w:val="toc 2"/>
    <w:basedOn w:val="1"/>
    <w:next w:val="1"/>
    <w:qFormat/>
    <w:uiPriority w:val="0"/>
    <w:pPr>
      <w:ind w:left="200" w:leftChars="200"/>
    </w:pPr>
    <w:rPr>
      <w:rFonts w:ascii="Times New Roman" w:hAnsi="Times New Roman" w:cs="Times New Roman"/>
      <w:szCs w:val="24"/>
    </w:rPr>
  </w:style>
  <w:style w:type="character" w:styleId="11">
    <w:name w:val="footnote reference"/>
    <w:qFormat/>
    <w:uiPriority w:val="0"/>
    <w:rPr>
      <w:vertAlign w:val="superscript"/>
    </w:rPr>
  </w:style>
  <w:style w:type="paragraph" w:customStyle="1" w:styleId="1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3">
    <w:name w:val="单元格样式1"/>
    <w:basedOn w:val="1"/>
    <w:qFormat/>
    <w:uiPriority w:val="0"/>
    <w:pPr>
      <w:widowControl/>
      <w:jc w:val="center"/>
    </w:pPr>
    <w:rPr>
      <w:rFonts w:ascii="方正书宋_GBK" w:hAnsi="方正书宋_GBK" w:eastAsia="方正书宋_GBK" w:cs="方正书宋_GBK"/>
      <w:b/>
      <w:kern w:val="0"/>
      <w:szCs w:val="24"/>
      <w:lang w:eastAsia="uk-UA"/>
    </w:rPr>
  </w:style>
  <w:style w:type="paragraph" w:customStyle="1" w:styleId="14">
    <w:name w:val="单元格样式4"/>
    <w:basedOn w:val="1"/>
    <w:qFormat/>
    <w:uiPriority w:val="0"/>
    <w:pPr>
      <w:widowControl/>
      <w:jc w:val="right"/>
    </w:pPr>
    <w:rPr>
      <w:rFonts w:ascii="方正书宋_GBK" w:hAnsi="方正书宋_GBK" w:eastAsia="方正书宋_GBK" w:cs="方正书宋_GBK"/>
      <w:kern w:val="0"/>
      <w:szCs w:val="24"/>
      <w:lang w:eastAsia="uk-UA"/>
    </w:rPr>
  </w:style>
  <w:style w:type="paragraph" w:customStyle="1" w:styleId="15">
    <w:name w:val="单元格样式2"/>
    <w:basedOn w:val="1"/>
    <w:qFormat/>
    <w:uiPriority w:val="0"/>
    <w:pPr>
      <w:widowControl/>
      <w:jc w:val="left"/>
    </w:pPr>
    <w:rPr>
      <w:rFonts w:ascii="方正书宋_GBK" w:hAnsi="方正书宋_GBK" w:eastAsia="方正书宋_GBK" w:cs="方正书宋_GBK"/>
      <w:kern w:val="0"/>
      <w:szCs w:val="24"/>
      <w:lang w:eastAsia="uk-UA"/>
    </w:rPr>
  </w:style>
  <w:style w:type="paragraph" w:customStyle="1" w:styleId="16">
    <w:name w:val="单元格样式3"/>
    <w:basedOn w:val="1"/>
    <w:qFormat/>
    <w:uiPriority w:val="0"/>
    <w:pPr>
      <w:widowControl/>
      <w:jc w:val="center"/>
    </w:pPr>
    <w:rPr>
      <w:rFonts w:ascii="方正书宋_GBK" w:hAnsi="方正书宋_GBK" w:eastAsia="方正书宋_GBK" w:cs="方正书宋_GBK"/>
      <w:kern w:val="0"/>
      <w:szCs w:val="24"/>
      <w:lang w:eastAsia="uk-UA"/>
    </w:rPr>
  </w:style>
  <w:style w:type="paragraph" w:customStyle="1" w:styleId="17">
    <w:name w:val="单元格样式6"/>
    <w:basedOn w:val="1"/>
    <w:qFormat/>
    <w:uiPriority w:val="0"/>
    <w:pPr>
      <w:widowControl/>
      <w:jc w:val="center"/>
    </w:pPr>
    <w:rPr>
      <w:rFonts w:ascii="方正书宋_GBK" w:hAnsi="方正书宋_GBK" w:eastAsia="方正书宋_GBK" w:cs="方正书宋_GBK"/>
      <w:b/>
      <w:kern w:val="0"/>
      <w:szCs w:val="24"/>
      <w:lang w:eastAsia="uk-UA"/>
    </w:rPr>
  </w:style>
  <w:style w:type="paragraph" w:customStyle="1" w:styleId="18">
    <w:name w:val="单元格样式7"/>
    <w:basedOn w:val="1"/>
    <w:qFormat/>
    <w:uiPriority w:val="0"/>
    <w:pPr>
      <w:widowControl/>
      <w:jc w:val="right"/>
    </w:pPr>
    <w:rPr>
      <w:rFonts w:ascii="方正书宋_GBK" w:hAnsi="方正书宋_GBK" w:eastAsia="方正书宋_GBK" w:cs="方正书宋_GBK"/>
      <w:b/>
      <w:kern w:val="0"/>
      <w:szCs w:val="24"/>
      <w:lang w:eastAsia="uk-UA"/>
    </w:rPr>
  </w:style>
  <w:style w:type="paragraph" w:customStyle="1" w:styleId="19">
    <w:name w:val="单元格样式5"/>
    <w:basedOn w:val="1"/>
    <w:qFormat/>
    <w:uiPriority w:val="0"/>
    <w:pPr>
      <w:widowControl/>
      <w:jc w:val="left"/>
    </w:pPr>
    <w:rPr>
      <w:rFonts w:ascii="方正书宋_GBK" w:hAnsi="方正书宋_GBK" w:eastAsia="方正书宋_GBK" w:cs="方正书宋_GBK"/>
      <w:b/>
      <w:kern w:val="0"/>
      <w:szCs w:val="24"/>
      <w:lang w:eastAsia="uk-U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18</Pages>
  <Words>5139</Words>
  <Characters>5321</Characters>
  <Lines>24</Lines>
  <Paragraphs>6</Paragraphs>
  <TotalTime>3</TotalTime>
  <ScaleCrop>false</ScaleCrop>
  <LinksUpToDate>false</LinksUpToDate>
  <CharactersWithSpaces>5353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2020-01-14T11:27:00Z</dcterms:created>
  <dc:creator>guest</dc:creator>
  <cp:lastModifiedBy>BianL</cp:lastModifiedBy>
  <cp:lastPrinted>2018-01-31T14:12:00Z</cp:lastPrinted>
  <dcterms:modified xsi:type="dcterms:W3CDTF">2022-01-25T08:36:33Z</dcterms:modifi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5A89110C400A43E9931D785CCA3855C3</vt:lpwstr>
  </property>
  <property fmtid="{D5CDD505-2E9C-101B-9397-08002B2CF9AE}" pid="4" name="KSOTemplateDocerSaveRecord">
    <vt:lpwstr>eyJoZGlkIjoiOTY1NDE1NDI3YWU5MWQ5YTlkN2Q3ZjQyZmM0N2I3ZDEifQ==</vt:lpwstr>
  </property>
</Properties>
</file>