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AF607">
      <w:pPr>
        <w:ind w:firstLine="880" w:firstLineChars="200"/>
        <w:jc w:val="center"/>
        <w:rPr>
          <w:rFonts w:ascii="仿宋_GB2312" w:hAnsi="Times New Roman" w:eastAsia="仿宋_GB2312"/>
          <w:sz w:val="44"/>
          <w:szCs w:val="44"/>
        </w:rPr>
      </w:pPr>
    </w:p>
    <w:p w14:paraId="718B888B">
      <w:pPr>
        <w:ind w:firstLine="880" w:firstLineChars="200"/>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廊坊市档案局</w:t>
      </w:r>
      <w:r>
        <w:rPr>
          <w:rFonts w:ascii="方正小标宋简体" w:hAnsi="Times New Roman" w:eastAsia="方正小标宋简体"/>
          <w:sz w:val="44"/>
          <w:szCs w:val="44"/>
        </w:rPr>
        <w:t>201</w:t>
      </w:r>
      <w:r>
        <w:rPr>
          <w:rFonts w:hint="eastAsia" w:ascii="方正小标宋简体" w:hAnsi="Times New Roman" w:eastAsia="方正小标宋简体"/>
          <w:sz w:val="44"/>
          <w:szCs w:val="44"/>
        </w:rPr>
        <w:t>9年部门预算信息公开</w:t>
      </w:r>
    </w:p>
    <w:p w14:paraId="40022E34">
      <w:pPr>
        <w:ind w:firstLine="880" w:firstLineChars="200"/>
        <w:jc w:val="center"/>
        <w:rPr>
          <w:rFonts w:ascii="仿宋_GB2312" w:hAnsi="Times New Roman" w:eastAsia="仿宋_GB2312"/>
          <w:sz w:val="44"/>
          <w:szCs w:val="44"/>
        </w:rPr>
      </w:pPr>
    </w:p>
    <w:p w14:paraId="2030F517">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按照《预算法》、《地方预决算公开操作规程》和《河北省省级预算公开办法》规定，现将廊坊市档案局</w:t>
      </w:r>
      <w:r>
        <w:rPr>
          <w:rFonts w:ascii="仿宋_GB2312" w:hAnsi="Times New Roman" w:eastAsia="仿宋_GB2312"/>
          <w:sz w:val="32"/>
          <w:szCs w:val="32"/>
        </w:rPr>
        <w:t>201</w:t>
      </w:r>
      <w:r>
        <w:rPr>
          <w:rFonts w:hint="eastAsia" w:ascii="仿宋_GB2312" w:hAnsi="Times New Roman" w:eastAsia="仿宋_GB2312"/>
          <w:sz w:val="32"/>
          <w:szCs w:val="32"/>
        </w:rPr>
        <w:t>9年部门预算公开如下：</w:t>
      </w:r>
    </w:p>
    <w:p w14:paraId="302A2718">
      <w:pPr>
        <w:ind w:firstLine="640" w:firstLineChars="200"/>
        <w:rPr>
          <w:rFonts w:ascii="黑体" w:hAnsi="黑体" w:eastAsia="黑体"/>
          <w:sz w:val="32"/>
          <w:szCs w:val="32"/>
        </w:rPr>
      </w:pPr>
      <w:r>
        <w:rPr>
          <w:rFonts w:hint="eastAsia" w:ascii="黑体" w:hAnsi="黑体" w:eastAsia="黑体"/>
          <w:sz w:val="32"/>
          <w:szCs w:val="32"/>
        </w:rPr>
        <w:t>一、部门职责及机构设置情况</w:t>
      </w:r>
    </w:p>
    <w:p w14:paraId="5FEFEED1">
      <w:pPr>
        <w:ind w:firstLine="643" w:firstLineChars="200"/>
        <w:rPr>
          <w:rFonts w:ascii="楷体_GB2312" w:hAnsi="Times New Roman" w:eastAsia="楷体_GB2312"/>
          <w:b/>
          <w:sz w:val="32"/>
          <w:szCs w:val="32"/>
        </w:rPr>
      </w:pPr>
      <w:r>
        <w:rPr>
          <w:rFonts w:hint="eastAsia" w:ascii="楷体_GB2312" w:hAnsi="Times New Roman" w:eastAsia="楷体_GB2312"/>
          <w:b/>
          <w:sz w:val="32"/>
          <w:szCs w:val="32"/>
        </w:rPr>
        <w:t>部门职责：</w:t>
      </w:r>
    </w:p>
    <w:p w14:paraId="4B517E10">
      <w:pPr>
        <w:spacing w:line="560" w:lineRule="exact"/>
        <w:ind w:firstLine="803" w:firstLineChars="250"/>
        <w:rPr>
          <w:rFonts w:ascii="仿宋_GB2312" w:eastAsia="仿宋_GB2312"/>
          <w:sz w:val="32"/>
          <w:szCs w:val="32"/>
        </w:rPr>
      </w:pPr>
      <w:r>
        <w:rPr>
          <w:rFonts w:ascii="仿宋_GB2312" w:eastAsia="仿宋_GB2312"/>
          <w:b/>
          <w:bCs/>
          <w:sz w:val="32"/>
          <w:szCs w:val="32"/>
        </w:rPr>
        <w:t>1</w:t>
      </w:r>
      <w:r>
        <w:rPr>
          <w:rFonts w:hint="eastAsia" w:ascii="仿宋_GB2312" w:eastAsia="仿宋_GB2312" w:cs="FZFangSong-Z02"/>
          <w:sz w:val="32"/>
          <w:szCs w:val="32"/>
        </w:rPr>
        <w:t>、</w:t>
      </w:r>
      <w:r>
        <w:rPr>
          <w:rFonts w:hint="eastAsia" w:ascii="仿宋_GB2312" w:eastAsia="仿宋_GB2312"/>
          <w:color w:val="000000"/>
          <w:sz w:val="32"/>
          <w:szCs w:val="32"/>
        </w:rPr>
        <w:t>贯彻执行《中华人民共和国档案法》、《河北省档案工作条例》等国家、省和市关于档案管理方面的方针、政策和法律、法规、规章。</w:t>
      </w:r>
      <w:r>
        <w:rPr>
          <w:rFonts w:ascii="仿宋_GB2312" w:eastAsia="仿宋_GB2312"/>
          <w:color w:val="000000"/>
          <w:sz w:val="32"/>
          <w:szCs w:val="32"/>
        </w:rPr>
        <w:t xml:space="preserve">                            </w:t>
      </w:r>
    </w:p>
    <w:p w14:paraId="591BD202">
      <w:pPr>
        <w:adjustRightInd w:val="0"/>
        <w:spacing w:line="560" w:lineRule="exact"/>
        <w:ind w:right="-17" w:rightChars="-8" w:firstLine="643" w:firstLineChars="200"/>
        <w:rPr>
          <w:rFonts w:ascii="仿宋_GB2312" w:eastAsia="仿宋_GB2312"/>
          <w:color w:val="000000"/>
          <w:sz w:val="32"/>
          <w:szCs w:val="32"/>
        </w:rPr>
      </w:pPr>
      <w:r>
        <w:rPr>
          <w:rFonts w:ascii="仿宋_GB2312" w:eastAsia="仿宋_GB2312"/>
          <w:b/>
          <w:bCs/>
          <w:sz w:val="32"/>
          <w:szCs w:val="32"/>
        </w:rPr>
        <w:t xml:space="preserve"> 2</w:t>
      </w:r>
      <w:r>
        <w:rPr>
          <w:rFonts w:hint="eastAsia" w:ascii="仿宋_GB2312" w:eastAsia="仿宋_GB2312" w:cs="FZFangSong-Z02"/>
          <w:sz w:val="32"/>
          <w:szCs w:val="32"/>
        </w:rPr>
        <w:t>、</w:t>
      </w:r>
      <w:r>
        <w:rPr>
          <w:rFonts w:hint="eastAsia" w:ascii="仿宋_GB2312" w:eastAsia="仿宋_GB2312"/>
          <w:color w:val="000000"/>
          <w:sz w:val="32"/>
          <w:szCs w:val="32"/>
        </w:rPr>
        <w:t>指导全市档案工作，制定全市档案事业发展的综合规划和专项计划，并依法实行宏观管理与监督指导。</w:t>
      </w:r>
    </w:p>
    <w:p w14:paraId="2D2512B0">
      <w:pPr>
        <w:adjustRightInd w:val="0"/>
        <w:spacing w:line="560" w:lineRule="exact"/>
        <w:ind w:right="-17" w:rightChars="-8" w:firstLine="643" w:firstLineChars="200"/>
        <w:rPr>
          <w:rFonts w:ascii="仿宋_GB2312" w:eastAsia="仿宋_GB2312"/>
          <w:color w:val="000000"/>
          <w:sz w:val="32"/>
          <w:szCs w:val="32"/>
        </w:rPr>
      </w:pPr>
      <w:r>
        <w:rPr>
          <w:rFonts w:ascii="仿宋_GB2312" w:eastAsia="仿宋_GB2312"/>
          <w:b/>
          <w:bCs/>
          <w:sz w:val="32"/>
          <w:szCs w:val="32"/>
        </w:rPr>
        <w:t xml:space="preserve"> 3</w:t>
      </w:r>
      <w:r>
        <w:rPr>
          <w:rFonts w:hint="eastAsia" w:ascii="仿宋_GB2312" w:eastAsia="仿宋_GB2312" w:cs="FZFangSong-Z02"/>
          <w:sz w:val="32"/>
          <w:szCs w:val="32"/>
        </w:rPr>
        <w:t>、</w:t>
      </w:r>
      <w:r>
        <w:rPr>
          <w:rFonts w:hint="eastAsia" w:ascii="仿宋_GB2312" w:eastAsia="仿宋_GB2312"/>
          <w:color w:val="000000"/>
          <w:sz w:val="32"/>
          <w:szCs w:val="32"/>
        </w:rPr>
        <w:t>拟定档案工作地方性制度和办法，依据有关法律、法规进行档案行政执法和监督。</w:t>
      </w:r>
    </w:p>
    <w:p w14:paraId="7484404B">
      <w:pPr>
        <w:adjustRightInd w:val="0"/>
        <w:spacing w:line="560" w:lineRule="exact"/>
        <w:ind w:right="-17" w:rightChars="-8" w:firstLine="643" w:firstLineChars="200"/>
        <w:rPr>
          <w:rFonts w:ascii="仿宋_GB2312" w:eastAsia="仿宋_GB2312"/>
          <w:color w:val="000000"/>
          <w:sz w:val="32"/>
          <w:szCs w:val="32"/>
        </w:rPr>
      </w:pPr>
      <w:r>
        <w:rPr>
          <w:rFonts w:ascii="仿宋_GB2312" w:eastAsia="仿宋_GB2312"/>
          <w:b/>
          <w:bCs/>
          <w:sz w:val="32"/>
          <w:szCs w:val="32"/>
        </w:rPr>
        <w:t xml:space="preserve"> 4</w:t>
      </w:r>
      <w:r>
        <w:rPr>
          <w:rFonts w:hint="eastAsia" w:ascii="仿宋_GB2312" w:eastAsia="仿宋_GB2312" w:cs="FZFangSong-Z02"/>
          <w:sz w:val="32"/>
          <w:szCs w:val="32"/>
        </w:rPr>
        <w:t>、</w:t>
      </w:r>
      <w:r>
        <w:rPr>
          <w:rFonts w:hint="eastAsia" w:ascii="仿宋_GB2312" w:eastAsia="仿宋_GB2312"/>
          <w:color w:val="000000"/>
          <w:sz w:val="32"/>
          <w:szCs w:val="32"/>
        </w:rPr>
        <w:t>利用档案为市委、市政府工作服务，向社会公众提供档案查阅、咨询；承担《中华人民共和国政府信息</w:t>
      </w:r>
      <w:bookmarkStart w:id="4" w:name="_GoBack"/>
      <w:bookmarkEnd w:id="4"/>
      <w:r>
        <w:rPr>
          <w:rFonts w:hint="eastAsia" w:ascii="仿宋_GB2312" w:eastAsia="仿宋_GB2312"/>
          <w:color w:val="000000"/>
          <w:sz w:val="32"/>
          <w:szCs w:val="32"/>
        </w:rPr>
        <w:t>公开条例》和市政府规定的有关政府信息公开的各项任务。</w:t>
      </w:r>
    </w:p>
    <w:p w14:paraId="79B4808D">
      <w:pPr>
        <w:adjustRightInd w:val="0"/>
        <w:spacing w:line="560" w:lineRule="exact"/>
        <w:ind w:right="-17" w:rightChars="-8" w:firstLine="643" w:firstLineChars="200"/>
        <w:rPr>
          <w:rFonts w:ascii="仿宋_GB2312" w:eastAsia="仿宋_GB2312"/>
          <w:color w:val="000000"/>
          <w:sz w:val="32"/>
          <w:szCs w:val="32"/>
        </w:rPr>
      </w:pPr>
      <w:r>
        <w:rPr>
          <w:rFonts w:ascii="仿宋_GB2312" w:eastAsia="仿宋_GB2312"/>
          <w:b/>
          <w:bCs/>
          <w:sz w:val="32"/>
          <w:szCs w:val="32"/>
        </w:rPr>
        <w:t xml:space="preserve"> 5</w:t>
      </w:r>
      <w:r>
        <w:rPr>
          <w:rFonts w:hint="eastAsia" w:ascii="仿宋_GB2312" w:eastAsia="仿宋_GB2312" w:cs="FZFangSong-Z02"/>
          <w:sz w:val="32"/>
          <w:szCs w:val="32"/>
        </w:rPr>
        <w:t>、</w:t>
      </w:r>
      <w:r>
        <w:rPr>
          <w:rFonts w:hint="eastAsia" w:ascii="仿宋_GB2312" w:eastAsia="仿宋_GB2312"/>
          <w:color w:val="000000"/>
          <w:sz w:val="32"/>
          <w:szCs w:val="32"/>
        </w:rPr>
        <w:t>按照国家统一规定及《河北省档案接收和收集管理办法》，负责市直机关档案系统化管理和接收；负责撤并单位的档案处置和接收工作；有计划地开展档案征集。</w:t>
      </w:r>
    </w:p>
    <w:p w14:paraId="14314783">
      <w:pPr>
        <w:adjustRightInd w:val="0"/>
        <w:spacing w:line="560" w:lineRule="exact"/>
        <w:ind w:right="-17" w:rightChars="-8" w:firstLine="643" w:firstLineChars="200"/>
        <w:rPr>
          <w:rFonts w:ascii="仿宋_GB2312" w:eastAsia="仿宋_GB2312"/>
          <w:color w:val="000000"/>
          <w:sz w:val="32"/>
          <w:szCs w:val="32"/>
        </w:rPr>
      </w:pPr>
      <w:r>
        <w:rPr>
          <w:rFonts w:ascii="仿宋_GB2312" w:eastAsia="仿宋_GB2312"/>
          <w:b/>
          <w:bCs/>
          <w:sz w:val="32"/>
          <w:szCs w:val="32"/>
        </w:rPr>
        <w:t xml:space="preserve"> 6</w:t>
      </w:r>
      <w:r>
        <w:rPr>
          <w:rFonts w:hint="eastAsia" w:ascii="仿宋_GB2312" w:eastAsia="仿宋_GB2312" w:cs="FZFangSong-Z02"/>
          <w:sz w:val="32"/>
          <w:szCs w:val="32"/>
        </w:rPr>
        <w:t>、</w:t>
      </w:r>
      <w:r>
        <w:rPr>
          <w:rFonts w:hint="eastAsia" w:ascii="仿宋_GB2312" w:eastAsia="仿宋_GB2312"/>
          <w:color w:val="000000"/>
          <w:sz w:val="32"/>
          <w:szCs w:val="32"/>
        </w:rPr>
        <w:t>依法管理全市档案资料对外交流工作；依法管理全市档案鉴定、档案开放和目录公布。</w:t>
      </w:r>
    </w:p>
    <w:p w14:paraId="7BE7B9EB">
      <w:pPr>
        <w:adjustRightInd w:val="0"/>
        <w:spacing w:line="560" w:lineRule="exact"/>
        <w:ind w:right="-17" w:rightChars="-8" w:firstLine="643" w:firstLineChars="200"/>
        <w:rPr>
          <w:rFonts w:ascii="仿宋_GB2312" w:eastAsia="仿宋_GB2312"/>
          <w:color w:val="000000"/>
          <w:sz w:val="32"/>
          <w:szCs w:val="32"/>
        </w:rPr>
      </w:pPr>
      <w:r>
        <w:rPr>
          <w:rFonts w:ascii="仿宋_GB2312" w:eastAsia="仿宋_GB2312"/>
          <w:b/>
          <w:bCs/>
          <w:sz w:val="32"/>
          <w:szCs w:val="32"/>
        </w:rPr>
        <w:t xml:space="preserve"> 7</w:t>
      </w:r>
      <w:r>
        <w:rPr>
          <w:rFonts w:hint="eastAsia" w:ascii="仿宋_GB2312" w:eastAsia="仿宋_GB2312" w:cs="FZFangSong-Z02"/>
          <w:sz w:val="32"/>
          <w:szCs w:val="32"/>
        </w:rPr>
        <w:t>、</w:t>
      </w:r>
      <w:r>
        <w:rPr>
          <w:rFonts w:hint="eastAsia" w:ascii="仿宋_GB2312" w:eastAsia="仿宋_GB2312"/>
          <w:color w:val="000000"/>
          <w:sz w:val="32"/>
          <w:szCs w:val="32"/>
        </w:rPr>
        <w:t>负责市管企业、重点建设项目档案的监督与指导，会同有关部门对全市重点建设项目档案进行验收，保证重点建设项目档案齐全、完整。</w:t>
      </w:r>
    </w:p>
    <w:p w14:paraId="47629DEA">
      <w:pPr>
        <w:adjustRightInd w:val="0"/>
        <w:spacing w:line="560" w:lineRule="exact"/>
        <w:ind w:right="-17" w:rightChars="-8" w:firstLine="643" w:firstLineChars="200"/>
        <w:rPr>
          <w:rFonts w:ascii="仿宋_GB2312" w:eastAsia="仿宋_GB2312"/>
          <w:color w:val="000000"/>
          <w:sz w:val="32"/>
          <w:szCs w:val="32"/>
        </w:rPr>
      </w:pPr>
      <w:r>
        <w:rPr>
          <w:rFonts w:ascii="仿宋_GB2312" w:eastAsia="仿宋_GB2312"/>
          <w:b/>
          <w:bCs/>
          <w:sz w:val="32"/>
          <w:szCs w:val="32"/>
        </w:rPr>
        <w:t xml:space="preserve"> 8</w:t>
      </w:r>
      <w:r>
        <w:rPr>
          <w:rFonts w:hint="eastAsia" w:ascii="仿宋_GB2312" w:eastAsia="仿宋_GB2312" w:cs="FZFangSong-Z02"/>
          <w:sz w:val="32"/>
          <w:szCs w:val="32"/>
        </w:rPr>
        <w:t>、</w:t>
      </w:r>
      <w:r>
        <w:rPr>
          <w:rFonts w:hint="eastAsia" w:ascii="仿宋_GB2312" w:eastAsia="仿宋_GB2312"/>
          <w:color w:val="000000"/>
          <w:sz w:val="32"/>
          <w:szCs w:val="32"/>
        </w:rPr>
        <w:t>制定全市档案干部队伍建设规划，组织档案专业教育和档案干部培训、表彰，协助做好档案专业技术职务评聘有关工作。</w:t>
      </w:r>
    </w:p>
    <w:p w14:paraId="744961D5">
      <w:pPr>
        <w:adjustRightInd w:val="0"/>
        <w:spacing w:line="560" w:lineRule="exact"/>
        <w:ind w:right="-17" w:rightChars="-8" w:firstLine="643" w:firstLineChars="200"/>
        <w:rPr>
          <w:rFonts w:ascii="仿宋_GB2312" w:eastAsia="仿宋_GB2312"/>
          <w:color w:val="000000"/>
          <w:sz w:val="32"/>
          <w:szCs w:val="32"/>
        </w:rPr>
      </w:pPr>
      <w:r>
        <w:rPr>
          <w:rFonts w:ascii="仿宋_GB2312" w:eastAsia="仿宋_GB2312"/>
          <w:b/>
          <w:bCs/>
          <w:sz w:val="32"/>
          <w:szCs w:val="32"/>
        </w:rPr>
        <w:t xml:space="preserve"> 9</w:t>
      </w:r>
      <w:r>
        <w:rPr>
          <w:rFonts w:hint="eastAsia" w:ascii="仿宋_GB2312" w:eastAsia="仿宋_GB2312" w:cs="FZFangSong-Z02"/>
          <w:sz w:val="32"/>
          <w:szCs w:val="32"/>
        </w:rPr>
        <w:t>、</w:t>
      </w:r>
      <w:r>
        <w:rPr>
          <w:rFonts w:hint="eastAsia" w:ascii="仿宋_GB2312" w:eastAsia="仿宋_GB2312"/>
          <w:color w:val="000000"/>
          <w:sz w:val="32"/>
          <w:szCs w:val="32"/>
        </w:rPr>
        <w:t>依照国家档案行业标准，制定配套技术规范，组织档案科技和学术交流，提高全市档案工作现代化管理水平。</w:t>
      </w:r>
    </w:p>
    <w:p w14:paraId="37012204">
      <w:pPr>
        <w:adjustRightInd w:val="0"/>
        <w:spacing w:line="560" w:lineRule="exact"/>
        <w:ind w:right="-17" w:rightChars="-8" w:firstLine="643" w:firstLineChars="200"/>
        <w:rPr>
          <w:rFonts w:ascii="仿宋_GB2312" w:eastAsia="仿宋_GB2312"/>
          <w:color w:val="000000"/>
          <w:sz w:val="32"/>
          <w:szCs w:val="32"/>
        </w:rPr>
      </w:pPr>
      <w:r>
        <w:rPr>
          <w:rFonts w:ascii="仿宋_GB2312" w:eastAsia="仿宋_GB2312"/>
          <w:b/>
          <w:bCs/>
          <w:sz w:val="32"/>
          <w:szCs w:val="32"/>
        </w:rPr>
        <w:t xml:space="preserve"> 10</w:t>
      </w:r>
      <w:r>
        <w:rPr>
          <w:rFonts w:hint="eastAsia" w:ascii="仿宋_GB2312" w:eastAsia="仿宋_GB2312" w:cs="FZFangSong-Z02"/>
          <w:sz w:val="32"/>
          <w:szCs w:val="32"/>
        </w:rPr>
        <w:t>、</w:t>
      </w:r>
      <w:r>
        <w:rPr>
          <w:rFonts w:hint="eastAsia" w:ascii="仿宋_GB2312" w:eastAsia="仿宋_GB2312"/>
          <w:color w:val="000000"/>
          <w:sz w:val="32"/>
          <w:szCs w:val="32"/>
        </w:rPr>
        <w:t>集中统一管理市直机关、原天津地区、原廊坊地区重要档案资料和历史档案，保守党和国家机密，维护档案完整，确保档案资料安全。</w:t>
      </w:r>
    </w:p>
    <w:p w14:paraId="3957B68D">
      <w:pPr>
        <w:adjustRightInd w:val="0"/>
        <w:spacing w:line="560" w:lineRule="exact"/>
        <w:ind w:right="-17" w:rightChars="-8" w:firstLine="643" w:firstLineChars="200"/>
        <w:rPr>
          <w:rFonts w:ascii="仿宋_GB2312" w:eastAsia="仿宋_GB2312"/>
          <w:color w:val="000000"/>
          <w:sz w:val="32"/>
          <w:szCs w:val="32"/>
        </w:rPr>
      </w:pPr>
      <w:r>
        <w:rPr>
          <w:rFonts w:ascii="仿宋_GB2312" w:eastAsia="仿宋_GB2312"/>
          <w:b/>
          <w:bCs/>
          <w:sz w:val="32"/>
          <w:szCs w:val="32"/>
        </w:rPr>
        <w:t xml:space="preserve"> 11</w:t>
      </w:r>
      <w:r>
        <w:rPr>
          <w:rFonts w:hint="eastAsia" w:ascii="仿宋_GB2312" w:eastAsia="仿宋_GB2312" w:cs="FZFangSong-Z02"/>
          <w:sz w:val="32"/>
          <w:szCs w:val="32"/>
        </w:rPr>
        <w:t>、</w:t>
      </w:r>
      <w:r>
        <w:rPr>
          <w:rFonts w:hint="eastAsia" w:ascii="仿宋_GB2312" w:eastAsia="仿宋_GB2312"/>
          <w:color w:val="000000"/>
          <w:sz w:val="32"/>
          <w:szCs w:val="32"/>
        </w:rPr>
        <w:t>承办市委、市政府交办的其他事项。</w:t>
      </w:r>
    </w:p>
    <w:p w14:paraId="7B27C9AA">
      <w:pPr>
        <w:autoSpaceDE w:val="0"/>
        <w:autoSpaceDN w:val="0"/>
        <w:adjustRightInd w:val="0"/>
        <w:ind w:firstLine="630" w:firstLineChars="196"/>
        <w:jc w:val="left"/>
        <w:rPr>
          <w:rFonts w:ascii="楷体_GB2312" w:hAnsi="Times New Roman" w:eastAsia="楷体_GB2312"/>
          <w:b/>
          <w:sz w:val="32"/>
          <w:szCs w:val="32"/>
        </w:rPr>
      </w:pPr>
      <w:r>
        <w:rPr>
          <w:rFonts w:hint="eastAsia" w:ascii="楷体_GB2312" w:hAnsi="Times New Roman" w:eastAsia="楷体_GB2312"/>
          <w:b/>
          <w:sz w:val="32"/>
          <w:szCs w:val="32"/>
        </w:rPr>
        <w:t>机构设置：</w:t>
      </w:r>
    </w:p>
    <w:p w14:paraId="549B9D19">
      <w:pPr>
        <w:jc w:val="center"/>
        <w:outlineLvl w:val="0"/>
        <w:rPr>
          <w:rFonts w:ascii="仿宋_GB2312" w:hAnsi="Times New Roman" w:eastAsia="仿宋_GB2312"/>
          <w:b/>
          <w:sz w:val="32"/>
          <w:szCs w:val="24"/>
        </w:rPr>
      </w:pPr>
      <w:r>
        <w:rPr>
          <w:rFonts w:hint="eastAsia" w:ascii="仿宋_GB2312" w:hAnsi="Times New Roman" w:eastAsia="仿宋_GB2312"/>
          <w:b/>
          <w:sz w:val="32"/>
          <w:szCs w:val="24"/>
        </w:rPr>
        <w:t>部门机构设置情况</w:t>
      </w:r>
    </w:p>
    <w:tbl>
      <w:tblPr>
        <w:tblStyle w:val="9"/>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50AE9B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restart"/>
            <w:vAlign w:val="center"/>
          </w:tcPr>
          <w:p w14:paraId="33E16711">
            <w:pPr>
              <w:spacing w:line="300" w:lineRule="exact"/>
              <w:jc w:val="center"/>
              <w:rPr>
                <w:rFonts w:ascii="仿宋_GB2312" w:hAnsi="Times New Roman" w:eastAsia="仿宋_GB2312"/>
                <w:b/>
                <w:szCs w:val="24"/>
              </w:rPr>
            </w:pPr>
            <w:r>
              <w:rPr>
                <w:rFonts w:hint="eastAsia" w:ascii="仿宋_GB2312" w:hAnsi="Times New Roman" w:eastAsia="仿宋_GB2312"/>
                <w:b/>
                <w:szCs w:val="24"/>
              </w:rPr>
              <w:t>单位名称</w:t>
            </w:r>
          </w:p>
        </w:tc>
        <w:tc>
          <w:tcPr>
            <w:tcW w:w="1134" w:type="dxa"/>
            <w:vMerge w:val="restart"/>
            <w:vAlign w:val="center"/>
          </w:tcPr>
          <w:p w14:paraId="254C863D">
            <w:pPr>
              <w:spacing w:line="300" w:lineRule="exact"/>
              <w:jc w:val="center"/>
              <w:rPr>
                <w:rFonts w:ascii="仿宋_GB2312" w:hAnsi="Times New Roman" w:eastAsia="仿宋_GB2312"/>
                <w:b/>
                <w:szCs w:val="24"/>
              </w:rPr>
            </w:pPr>
            <w:r>
              <w:rPr>
                <w:rFonts w:hint="eastAsia" w:ascii="仿宋_GB2312" w:hAnsi="Times New Roman" w:eastAsia="仿宋_GB2312"/>
                <w:b/>
                <w:szCs w:val="24"/>
              </w:rPr>
              <w:t>单位性质</w:t>
            </w:r>
          </w:p>
        </w:tc>
        <w:tc>
          <w:tcPr>
            <w:tcW w:w="1276" w:type="dxa"/>
            <w:vMerge w:val="restart"/>
            <w:vAlign w:val="center"/>
          </w:tcPr>
          <w:p w14:paraId="4DB93FC4">
            <w:pPr>
              <w:spacing w:line="300" w:lineRule="exact"/>
              <w:jc w:val="center"/>
              <w:rPr>
                <w:rFonts w:ascii="仿宋_GB2312" w:hAnsi="Times New Roman" w:eastAsia="仿宋_GB2312"/>
                <w:b/>
                <w:szCs w:val="24"/>
              </w:rPr>
            </w:pPr>
            <w:r>
              <w:rPr>
                <w:rFonts w:hint="eastAsia" w:ascii="仿宋_GB2312" w:hAnsi="Times New Roman" w:eastAsia="仿宋_GB2312"/>
                <w:b/>
                <w:szCs w:val="24"/>
              </w:rPr>
              <w:t>单位规格</w:t>
            </w:r>
          </w:p>
        </w:tc>
        <w:tc>
          <w:tcPr>
            <w:tcW w:w="2902" w:type="dxa"/>
            <w:vMerge w:val="restart"/>
            <w:vAlign w:val="center"/>
          </w:tcPr>
          <w:p w14:paraId="28E199F5">
            <w:pPr>
              <w:spacing w:line="300" w:lineRule="exact"/>
              <w:jc w:val="center"/>
              <w:rPr>
                <w:rFonts w:ascii="仿宋_GB2312" w:hAnsi="Times New Roman" w:eastAsia="仿宋_GB2312"/>
                <w:b/>
                <w:szCs w:val="24"/>
              </w:rPr>
            </w:pPr>
            <w:r>
              <w:rPr>
                <w:rFonts w:hint="eastAsia" w:ascii="仿宋_GB2312" w:hAnsi="Times New Roman" w:eastAsia="仿宋_GB2312"/>
                <w:b/>
                <w:szCs w:val="24"/>
              </w:rPr>
              <w:t>经费保障形式</w:t>
            </w:r>
          </w:p>
        </w:tc>
      </w:tr>
      <w:tr w14:paraId="4C756C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continue"/>
            <w:vAlign w:val="center"/>
          </w:tcPr>
          <w:p w14:paraId="5BB7B8EE">
            <w:pPr>
              <w:spacing w:line="300" w:lineRule="exact"/>
              <w:jc w:val="left"/>
              <w:outlineLvl w:val="0"/>
              <w:rPr>
                <w:rFonts w:ascii="仿宋_GB2312" w:hAnsi="Times New Roman" w:eastAsia="仿宋_GB2312"/>
                <w:szCs w:val="24"/>
              </w:rPr>
            </w:pPr>
          </w:p>
        </w:tc>
        <w:tc>
          <w:tcPr>
            <w:tcW w:w="1134" w:type="dxa"/>
            <w:vMerge w:val="continue"/>
            <w:vAlign w:val="center"/>
          </w:tcPr>
          <w:p w14:paraId="08E6DE17">
            <w:pPr>
              <w:spacing w:line="300" w:lineRule="exact"/>
              <w:jc w:val="left"/>
              <w:outlineLvl w:val="0"/>
              <w:rPr>
                <w:rFonts w:ascii="仿宋_GB2312" w:hAnsi="Times New Roman" w:eastAsia="仿宋_GB2312"/>
                <w:szCs w:val="24"/>
              </w:rPr>
            </w:pPr>
          </w:p>
        </w:tc>
        <w:tc>
          <w:tcPr>
            <w:tcW w:w="1276" w:type="dxa"/>
            <w:vMerge w:val="continue"/>
            <w:vAlign w:val="center"/>
          </w:tcPr>
          <w:p w14:paraId="40CDA6B6">
            <w:pPr>
              <w:spacing w:line="300" w:lineRule="exact"/>
              <w:jc w:val="left"/>
              <w:outlineLvl w:val="0"/>
              <w:rPr>
                <w:rFonts w:ascii="仿宋_GB2312" w:hAnsi="Times New Roman" w:eastAsia="仿宋_GB2312"/>
                <w:szCs w:val="24"/>
              </w:rPr>
            </w:pPr>
          </w:p>
        </w:tc>
        <w:tc>
          <w:tcPr>
            <w:tcW w:w="2902" w:type="dxa"/>
            <w:vMerge w:val="continue"/>
            <w:vAlign w:val="center"/>
          </w:tcPr>
          <w:p w14:paraId="390C8D46">
            <w:pPr>
              <w:spacing w:line="300" w:lineRule="exact"/>
              <w:jc w:val="left"/>
              <w:outlineLvl w:val="0"/>
              <w:rPr>
                <w:rFonts w:ascii="仿宋_GB2312" w:hAnsi="Times New Roman" w:eastAsia="仿宋_GB2312"/>
                <w:szCs w:val="24"/>
              </w:rPr>
            </w:pPr>
          </w:p>
        </w:tc>
      </w:tr>
      <w:tr w14:paraId="229908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282061C1">
            <w:pPr>
              <w:spacing w:line="300" w:lineRule="exact"/>
              <w:jc w:val="center"/>
              <w:rPr>
                <w:rFonts w:ascii="仿宋_GB2312" w:eastAsia="仿宋_GB2312"/>
                <w:b/>
              </w:rPr>
            </w:pPr>
            <w:r>
              <w:rPr>
                <w:rFonts w:hint="eastAsia" w:ascii="仿宋_GB2312" w:eastAsia="仿宋_GB2312"/>
                <w:b/>
              </w:rPr>
              <w:t>廊坊市档案局</w:t>
            </w:r>
          </w:p>
        </w:tc>
        <w:tc>
          <w:tcPr>
            <w:tcW w:w="1134" w:type="dxa"/>
            <w:vAlign w:val="center"/>
          </w:tcPr>
          <w:p w14:paraId="29592F50">
            <w:pPr>
              <w:spacing w:line="300" w:lineRule="exact"/>
              <w:jc w:val="center"/>
              <w:rPr>
                <w:rFonts w:ascii="仿宋_GB2312" w:eastAsia="仿宋_GB2312"/>
                <w:b/>
              </w:rPr>
            </w:pPr>
            <w:r>
              <w:rPr>
                <w:rFonts w:hint="eastAsia" w:ascii="仿宋_GB2312" w:eastAsia="仿宋_GB2312"/>
                <w:b/>
              </w:rPr>
              <w:t>全额事业</w:t>
            </w:r>
          </w:p>
        </w:tc>
        <w:tc>
          <w:tcPr>
            <w:tcW w:w="1276" w:type="dxa"/>
            <w:vAlign w:val="center"/>
          </w:tcPr>
          <w:p w14:paraId="7D6107C0">
            <w:pPr>
              <w:spacing w:line="300" w:lineRule="exact"/>
              <w:jc w:val="center"/>
              <w:rPr>
                <w:rFonts w:ascii="仿宋_GB2312" w:eastAsia="仿宋_GB2312"/>
                <w:b/>
              </w:rPr>
            </w:pPr>
            <w:r>
              <w:rPr>
                <w:rFonts w:hint="eastAsia" w:ascii="仿宋_GB2312" w:eastAsia="仿宋_GB2312"/>
                <w:b/>
              </w:rPr>
              <w:t>正处级</w:t>
            </w:r>
          </w:p>
        </w:tc>
        <w:tc>
          <w:tcPr>
            <w:tcW w:w="2902" w:type="dxa"/>
            <w:vAlign w:val="center"/>
          </w:tcPr>
          <w:p w14:paraId="7203D02A">
            <w:pPr>
              <w:spacing w:line="300" w:lineRule="exact"/>
              <w:jc w:val="center"/>
              <w:rPr>
                <w:rFonts w:ascii="仿宋_GB2312" w:eastAsia="仿宋_GB2312"/>
                <w:b/>
              </w:rPr>
            </w:pPr>
            <w:r>
              <w:rPr>
                <w:rFonts w:hint="eastAsia" w:ascii="仿宋_GB2312" w:eastAsia="仿宋_GB2312"/>
                <w:b/>
              </w:rPr>
              <w:t>财政性资金基本保证</w:t>
            </w:r>
          </w:p>
        </w:tc>
      </w:tr>
      <w:tr w14:paraId="3CD709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3DAE10EA">
            <w:pPr>
              <w:spacing w:line="300" w:lineRule="exact"/>
              <w:jc w:val="left"/>
              <w:rPr>
                <w:rFonts w:ascii="仿宋_GB2312" w:eastAsia="仿宋_GB2312"/>
              </w:rPr>
            </w:pPr>
          </w:p>
        </w:tc>
        <w:tc>
          <w:tcPr>
            <w:tcW w:w="1134" w:type="dxa"/>
            <w:vAlign w:val="center"/>
          </w:tcPr>
          <w:p w14:paraId="3DDE2FA5">
            <w:pPr>
              <w:spacing w:line="300" w:lineRule="exact"/>
              <w:jc w:val="center"/>
              <w:rPr>
                <w:rFonts w:ascii="仿宋_GB2312" w:eastAsia="仿宋_GB2312"/>
              </w:rPr>
            </w:pPr>
          </w:p>
        </w:tc>
        <w:tc>
          <w:tcPr>
            <w:tcW w:w="1276" w:type="dxa"/>
            <w:vAlign w:val="center"/>
          </w:tcPr>
          <w:p w14:paraId="1DCE5BF3">
            <w:pPr>
              <w:spacing w:line="300" w:lineRule="exact"/>
              <w:jc w:val="center"/>
              <w:rPr>
                <w:rFonts w:ascii="仿宋_GB2312" w:eastAsia="仿宋_GB2312"/>
              </w:rPr>
            </w:pPr>
          </w:p>
        </w:tc>
        <w:tc>
          <w:tcPr>
            <w:tcW w:w="2902" w:type="dxa"/>
            <w:vAlign w:val="center"/>
          </w:tcPr>
          <w:p w14:paraId="5AAAD855">
            <w:pPr>
              <w:spacing w:line="300" w:lineRule="exact"/>
              <w:jc w:val="center"/>
              <w:rPr>
                <w:rFonts w:ascii="仿宋_GB2312" w:eastAsia="仿宋_GB2312"/>
              </w:rPr>
            </w:pPr>
          </w:p>
        </w:tc>
      </w:tr>
      <w:tr w14:paraId="7EF074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2AEEDBAA">
            <w:pPr>
              <w:spacing w:line="300" w:lineRule="exact"/>
              <w:jc w:val="left"/>
              <w:rPr>
                <w:rFonts w:ascii="仿宋_GB2312" w:eastAsia="仿宋_GB2312"/>
              </w:rPr>
            </w:pPr>
          </w:p>
        </w:tc>
        <w:tc>
          <w:tcPr>
            <w:tcW w:w="1134" w:type="dxa"/>
            <w:vAlign w:val="center"/>
          </w:tcPr>
          <w:p w14:paraId="5088F2F7">
            <w:pPr>
              <w:spacing w:line="300" w:lineRule="exact"/>
              <w:jc w:val="center"/>
              <w:rPr>
                <w:rFonts w:ascii="仿宋_GB2312" w:eastAsia="仿宋_GB2312"/>
              </w:rPr>
            </w:pPr>
          </w:p>
        </w:tc>
        <w:tc>
          <w:tcPr>
            <w:tcW w:w="1276" w:type="dxa"/>
            <w:vAlign w:val="center"/>
          </w:tcPr>
          <w:p w14:paraId="1C03C875">
            <w:pPr>
              <w:spacing w:line="300" w:lineRule="exact"/>
              <w:jc w:val="center"/>
              <w:rPr>
                <w:rFonts w:ascii="仿宋_GB2312" w:eastAsia="仿宋_GB2312"/>
              </w:rPr>
            </w:pPr>
          </w:p>
        </w:tc>
        <w:tc>
          <w:tcPr>
            <w:tcW w:w="2902" w:type="dxa"/>
            <w:vAlign w:val="center"/>
          </w:tcPr>
          <w:p w14:paraId="5B36BA82">
            <w:pPr>
              <w:spacing w:line="300" w:lineRule="exact"/>
              <w:jc w:val="center"/>
              <w:rPr>
                <w:rFonts w:ascii="仿宋_GB2312" w:eastAsia="仿宋_GB2312"/>
              </w:rPr>
            </w:pPr>
          </w:p>
        </w:tc>
      </w:tr>
    </w:tbl>
    <w:p w14:paraId="16B64393">
      <w:pPr>
        <w:rPr>
          <w:rFonts w:ascii="仿宋_GB2312" w:eastAsia="仿宋_GB2312"/>
        </w:rPr>
      </w:pPr>
    </w:p>
    <w:p w14:paraId="5C86F894">
      <w:pPr>
        <w:ind w:firstLine="640" w:firstLineChars="200"/>
        <w:rPr>
          <w:rFonts w:ascii="黑体" w:hAnsi="黑体" w:eastAsia="黑体"/>
          <w:sz w:val="32"/>
          <w:szCs w:val="32"/>
        </w:rPr>
      </w:pPr>
      <w:r>
        <w:rPr>
          <w:rFonts w:hint="eastAsia" w:ascii="黑体" w:hAnsi="黑体" w:eastAsia="黑体"/>
          <w:sz w:val="32"/>
          <w:szCs w:val="32"/>
        </w:rPr>
        <w:t>二、部门预算安排的总体情况</w:t>
      </w:r>
    </w:p>
    <w:p w14:paraId="33FA5E34">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按照预算管理有关规定，目前我市部门预算的编制实行综合预算制度，即全部收入和支出都反映在预算中。廊坊市档案局的收支包含在部门预算中。</w:t>
      </w:r>
    </w:p>
    <w:p w14:paraId="35FF8BDF">
      <w:pPr>
        <w:ind w:firstLine="640"/>
        <w:rPr>
          <w:rFonts w:ascii="仿宋_GB2312" w:hAnsi="Times New Roman" w:eastAsia="仿宋_GB2312"/>
          <w:b/>
          <w:sz w:val="32"/>
          <w:szCs w:val="32"/>
        </w:rPr>
      </w:pPr>
      <w:r>
        <w:rPr>
          <w:rFonts w:ascii="仿宋_GB2312" w:hAnsi="Times New Roman" w:eastAsia="仿宋_GB2312"/>
          <w:b/>
          <w:sz w:val="32"/>
          <w:szCs w:val="32"/>
        </w:rPr>
        <w:t>1</w:t>
      </w:r>
      <w:r>
        <w:rPr>
          <w:rFonts w:hint="eastAsia" w:ascii="仿宋_GB2312" w:hAnsi="Times New Roman" w:eastAsia="仿宋_GB2312"/>
          <w:b/>
          <w:sz w:val="32"/>
          <w:szCs w:val="32"/>
        </w:rPr>
        <w:t>、收入说明</w:t>
      </w:r>
    </w:p>
    <w:p w14:paraId="296593B4">
      <w:pPr>
        <w:ind w:firstLine="640"/>
        <w:rPr>
          <w:rFonts w:ascii="仿宋_GB2312" w:hAnsi="Times New Roman" w:eastAsia="仿宋_GB2312"/>
          <w:sz w:val="32"/>
          <w:szCs w:val="32"/>
        </w:rPr>
      </w:pPr>
      <w:r>
        <w:rPr>
          <w:rFonts w:hint="eastAsia" w:ascii="仿宋_GB2312" w:hAnsi="Times New Roman" w:eastAsia="仿宋_GB2312"/>
          <w:sz w:val="32"/>
          <w:szCs w:val="32"/>
        </w:rPr>
        <w:t>反映本部门当年全部收入。</w:t>
      </w:r>
      <w:r>
        <w:rPr>
          <w:rFonts w:ascii="仿宋_GB2312" w:hAnsi="Times New Roman" w:eastAsia="仿宋_GB2312"/>
          <w:sz w:val="32"/>
          <w:szCs w:val="32"/>
        </w:rPr>
        <w:t>201</w:t>
      </w:r>
      <w:r>
        <w:rPr>
          <w:rFonts w:hint="eastAsia" w:ascii="仿宋_GB2312" w:hAnsi="Times New Roman" w:eastAsia="仿宋_GB2312"/>
          <w:sz w:val="32"/>
          <w:szCs w:val="32"/>
        </w:rPr>
        <w:t>9年预算收入900</w:t>
      </w:r>
      <w:r>
        <w:rPr>
          <w:rFonts w:ascii="仿宋_GB2312" w:hAnsi="Times New Roman" w:eastAsia="仿宋_GB2312"/>
          <w:sz w:val="32"/>
          <w:szCs w:val="32"/>
        </w:rPr>
        <w:t>.</w:t>
      </w:r>
      <w:r>
        <w:rPr>
          <w:rFonts w:hint="eastAsia" w:ascii="仿宋_GB2312" w:hAnsi="Times New Roman" w:eastAsia="仿宋_GB2312"/>
          <w:sz w:val="32"/>
          <w:szCs w:val="32"/>
        </w:rPr>
        <w:t>93万元，其中：一般公共预算收入900</w:t>
      </w:r>
      <w:r>
        <w:rPr>
          <w:rFonts w:ascii="仿宋_GB2312" w:hAnsi="Times New Roman" w:eastAsia="仿宋_GB2312"/>
          <w:sz w:val="32"/>
          <w:szCs w:val="32"/>
        </w:rPr>
        <w:t>.</w:t>
      </w:r>
      <w:r>
        <w:rPr>
          <w:rFonts w:hint="eastAsia" w:ascii="仿宋_GB2312" w:hAnsi="Times New Roman" w:eastAsia="仿宋_GB2312"/>
          <w:sz w:val="32"/>
          <w:szCs w:val="32"/>
        </w:rPr>
        <w:t>93万元，基金预算收入</w:t>
      </w:r>
      <w:r>
        <w:rPr>
          <w:rFonts w:ascii="仿宋_GB2312" w:hAnsi="Times New Roman" w:eastAsia="仿宋_GB2312"/>
          <w:sz w:val="32"/>
          <w:szCs w:val="32"/>
        </w:rPr>
        <w:t>0</w:t>
      </w:r>
      <w:r>
        <w:rPr>
          <w:rFonts w:hint="eastAsia" w:ascii="仿宋_GB2312" w:hAnsi="Times New Roman" w:eastAsia="仿宋_GB2312"/>
          <w:sz w:val="32"/>
          <w:szCs w:val="32"/>
        </w:rPr>
        <w:t>万元，财政专户核拨收入</w:t>
      </w:r>
      <w:r>
        <w:rPr>
          <w:rFonts w:ascii="仿宋_GB2312" w:hAnsi="Times New Roman" w:eastAsia="仿宋_GB2312"/>
          <w:sz w:val="32"/>
          <w:szCs w:val="32"/>
        </w:rPr>
        <w:t>0</w:t>
      </w:r>
      <w:r>
        <w:rPr>
          <w:rFonts w:hint="eastAsia" w:ascii="仿宋_GB2312" w:hAnsi="Times New Roman" w:eastAsia="仿宋_GB2312"/>
          <w:sz w:val="32"/>
          <w:szCs w:val="32"/>
        </w:rPr>
        <w:t>万元，其他来源收入</w:t>
      </w:r>
      <w:r>
        <w:rPr>
          <w:rFonts w:ascii="仿宋_GB2312" w:hAnsi="Times New Roman" w:eastAsia="仿宋_GB2312"/>
          <w:sz w:val="32"/>
          <w:szCs w:val="32"/>
        </w:rPr>
        <w:t>0</w:t>
      </w:r>
      <w:r>
        <w:rPr>
          <w:rFonts w:hint="eastAsia" w:ascii="仿宋_GB2312" w:hAnsi="Times New Roman" w:eastAsia="仿宋_GB2312"/>
          <w:sz w:val="32"/>
          <w:szCs w:val="32"/>
        </w:rPr>
        <w:t>万元。</w:t>
      </w:r>
    </w:p>
    <w:p w14:paraId="63CC68A1">
      <w:pPr>
        <w:ind w:firstLine="640"/>
        <w:rPr>
          <w:rFonts w:ascii="仿宋_GB2312" w:hAnsi="Times New Roman" w:eastAsia="仿宋_GB2312"/>
          <w:b/>
          <w:sz w:val="32"/>
          <w:szCs w:val="32"/>
        </w:rPr>
      </w:pPr>
      <w:r>
        <w:rPr>
          <w:rFonts w:ascii="仿宋_GB2312" w:hAnsi="Times New Roman" w:eastAsia="仿宋_GB2312"/>
          <w:b/>
          <w:sz w:val="32"/>
          <w:szCs w:val="32"/>
        </w:rPr>
        <w:t>2</w:t>
      </w:r>
      <w:r>
        <w:rPr>
          <w:rFonts w:hint="eastAsia" w:ascii="仿宋_GB2312" w:hAnsi="Times New Roman" w:eastAsia="仿宋_GB2312"/>
          <w:b/>
          <w:sz w:val="32"/>
          <w:szCs w:val="32"/>
        </w:rPr>
        <w:t>、支出说明</w:t>
      </w:r>
    </w:p>
    <w:p w14:paraId="0AFD52E5">
      <w:pPr>
        <w:ind w:firstLine="640"/>
        <w:rPr>
          <w:rFonts w:ascii="仿宋_GB2312" w:hAnsi="Times New Roman" w:eastAsia="仿宋_GB2312"/>
          <w:sz w:val="32"/>
          <w:szCs w:val="32"/>
        </w:rPr>
      </w:pPr>
      <w:r>
        <w:rPr>
          <w:rFonts w:hint="eastAsia" w:ascii="仿宋_GB2312" w:hAnsi="Times New Roman" w:eastAsia="仿宋_GB2312"/>
          <w:sz w:val="32"/>
          <w:szCs w:val="32"/>
        </w:rPr>
        <w:t>收支预算总表支出栏、基本支出表、项目支出表按经济分类和支出功能分类科目编制，反映廊坊市</w:t>
      </w:r>
      <w:r>
        <w:rPr>
          <w:rFonts w:ascii="仿宋_GB2312" w:hAnsi="Times New Roman" w:eastAsia="仿宋_GB2312"/>
          <w:sz w:val="32"/>
          <w:szCs w:val="32"/>
        </w:rPr>
        <w:t>201</w:t>
      </w:r>
      <w:r>
        <w:rPr>
          <w:rFonts w:hint="eastAsia" w:ascii="仿宋_GB2312" w:hAnsi="Times New Roman" w:eastAsia="仿宋_GB2312"/>
          <w:sz w:val="32"/>
          <w:szCs w:val="32"/>
        </w:rPr>
        <w:t>9年度部门预算中支出预算的总体情况。</w:t>
      </w:r>
      <w:r>
        <w:rPr>
          <w:rFonts w:ascii="仿宋_GB2312" w:hAnsi="Times New Roman" w:eastAsia="仿宋_GB2312"/>
          <w:sz w:val="32"/>
          <w:szCs w:val="32"/>
        </w:rPr>
        <w:t>201</w:t>
      </w:r>
      <w:r>
        <w:rPr>
          <w:rFonts w:hint="eastAsia" w:ascii="仿宋_GB2312" w:hAnsi="Times New Roman" w:eastAsia="仿宋_GB2312"/>
          <w:sz w:val="32"/>
          <w:szCs w:val="32"/>
        </w:rPr>
        <w:t>9年支出预算900</w:t>
      </w:r>
      <w:r>
        <w:rPr>
          <w:rFonts w:ascii="仿宋_GB2312" w:hAnsi="Times New Roman" w:eastAsia="仿宋_GB2312"/>
          <w:sz w:val="32"/>
          <w:szCs w:val="32"/>
        </w:rPr>
        <w:t>.</w:t>
      </w:r>
      <w:r>
        <w:rPr>
          <w:rFonts w:hint="eastAsia" w:ascii="仿宋_GB2312" w:hAnsi="Times New Roman" w:eastAsia="仿宋_GB2312"/>
          <w:sz w:val="32"/>
          <w:szCs w:val="32"/>
        </w:rPr>
        <w:t>93万元，其中基本支出531</w:t>
      </w:r>
      <w:r>
        <w:rPr>
          <w:rFonts w:ascii="仿宋_GB2312" w:hAnsi="Times New Roman" w:eastAsia="仿宋_GB2312"/>
          <w:sz w:val="32"/>
          <w:szCs w:val="32"/>
        </w:rPr>
        <w:t>.1</w:t>
      </w:r>
      <w:r>
        <w:rPr>
          <w:rFonts w:hint="eastAsia" w:ascii="仿宋_GB2312" w:hAnsi="Times New Roman" w:eastAsia="仿宋_GB2312"/>
          <w:sz w:val="32"/>
          <w:szCs w:val="32"/>
        </w:rPr>
        <w:t>3万元，包括人员经费467</w:t>
      </w:r>
      <w:r>
        <w:rPr>
          <w:rFonts w:ascii="仿宋_GB2312" w:hAnsi="Times New Roman" w:eastAsia="仿宋_GB2312"/>
          <w:sz w:val="32"/>
          <w:szCs w:val="32"/>
        </w:rPr>
        <w:t>.</w:t>
      </w:r>
      <w:r>
        <w:rPr>
          <w:rFonts w:hint="eastAsia" w:ascii="仿宋_GB2312" w:hAnsi="Times New Roman" w:eastAsia="仿宋_GB2312"/>
          <w:sz w:val="32"/>
          <w:szCs w:val="32"/>
        </w:rPr>
        <w:t>17万元和日常公用经费63</w:t>
      </w:r>
      <w:r>
        <w:rPr>
          <w:rFonts w:ascii="仿宋_GB2312" w:hAnsi="Times New Roman" w:eastAsia="仿宋_GB2312"/>
          <w:sz w:val="32"/>
          <w:szCs w:val="32"/>
        </w:rPr>
        <w:t>.</w:t>
      </w:r>
      <w:r>
        <w:rPr>
          <w:rFonts w:hint="eastAsia" w:ascii="仿宋_GB2312" w:hAnsi="Times New Roman" w:eastAsia="仿宋_GB2312"/>
          <w:sz w:val="32"/>
          <w:szCs w:val="32"/>
        </w:rPr>
        <w:t>96万元；项目支出369</w:t>
      </w:r>
      <w:r>
        <w:rPr>
          <w:rFonts w:ascii="仿宋_GB2312" w:hAnsi="Times New Roman" w:eastAsia="仿宋_GB2312"/>
          <w:sz w:val="32"/>
          <w:szCs w:val="32"/>
        </w:rPr>
        <w:t>.80</w:t>
      </w:r>
      <w:r>
        <w:rPr>
          <w:rFonts w:hint="eastAsia" w:ascii="仿宋_GB2312" w:hAnsi="Times New Roman" w:eastAsia="仿宋_GB2312"/>
          <w:sz w:val="32"/>
          <w:szCs w:val="32"/>
        </w:rPr>
        <w:t>万元，主要为办公用房租金和档案馆专项经费。</w:t>
      </w:r>
    </w:p>
    <w:p w14:paraId="58D0678E">
      <w:pPr>
        <w:ind w:firstLine="640"/>
        <w:rPr>
          <w:rFonts w:ascii="仿宋_GB2312" w:hAnsi="Times New Roman" w:eastAsia="仿宋_GB2312"/>
          <w:b/>
          <w:sz w:val="32"/>
          <w:szCs w:val="32"/>
        </w:rPr>
      </w:pPr>
      <w:r>
        <w:rPr>
          <w:rFonts w:ascii="仿宋_GB2312" w:hAnsi="Times New Roman" w:eastAsia="仿宋_GB2312"/>
          <w:b/>
          <w:sz w:val="32"/>
          <w:szCs w:val="32"/>
        </w:rPr>
        <w:t>3</w:t>
      </w:r>
      <w:r>
        <w:rPr>
          <w:rFonts w:hint="eastAsia" w:ascii="仿宋_GB2312" w:hAnsi="Times New Roman" w:eastAsia="仿宋_GB2312"/>
          <w:b/>
          <w:sz w:val="32"/>
          <w:szCs w:val="32"/>
        </w:rPr>
        <w:t>、比上年增减情况</w:t>
      </w:r>
    </w:p>
    <w:p w14:paraId="07C145A1">
      <w:pPr>
        <w:ind w:firstLine="640"/>
        <w:rPr>
          <w:rFonts w:ascii="仿宋_GB2312" w:hAnsi="黑体" w:eastAsia="仿宋_GB2312"/>
          <w:sz w:val="32"/>
          <w:szCs w:val="32"/>
        </w:rPr>
      </w:pPr>
      <w:r>
        <w:rPr>
          <w:rFonts w:ascii="仿宋_GB2312" w:hAnsi="Times New Roman" w:eastAsia="仿宋_GB2312"/>
          <w:sz w:val="32"/>
          <w:szCs w:val="32"/>
        </w:rPr>
        <w:t>201</w:t>
      </w:r>
      <w:r>
        <w:rPr>
          <w:rFonts w:hint="eastAsia" w:ascii="仿宋_GB2312" w:hAnsi="Times New Roman" w:eastAsia="仿宋_GB2312"/>
          <w:sz w:val="32"/>
          <w:szCs w:val="32"/>
        </w:rPr>
        <w:t>9年预算收支安排900</w:t>
      </w:r>
      <w:r>
        <w:rPr>
          <w:rFonts w:ascii="仿宋_GB2312" w:hAnsi="Times New Roman" w:eastAsia="仿宋_GB2312"/>
          <w:sz w:val="32"/>
          <w:szCs w:val="32"/>
        </w:rPr>
        <w:t>.</w:t>
      </w:r>
      <w:r>
        <w:rPr>
          <w:rFonts w:hint="eastAsia" w:ascii="仿宋_GB2312" w:hAnsi="Times New Roman" w:eastAsia="仿宋_GB2312"/>
          <w:sz w:val="32"/>
          <w:szCs w:val="32"/>
        </w:rPr>
        <w:t>93万元，较</w:t>
      </w:r>
      <w:r>
        <w:rPr>
          <w:rFonts w:ascii="仿宋_GB2312" w:hAnsi="Times New Roman" w:eastAsia="仿宋_GB2312"/>
          <w:sz w:val="32"/>
          <w:szCs w:val="32"/>
        </w:rPr>
        <w:t>201</w:t>
      </w:r>
      <w:r>
        <w:rPr>
          <w:rFonts w:hint="eastAsia" w:ascii="仿宋_GB2312" w:hAnsi="Times New Roman" w:eastAsia="仿宋_GB2312"/>
          <w:sz w:val="32"/>
          <w:szCs w:val="32"/>
        </w:rPr>
        <w:t>8年预算增加307</w:t>
      </w:r>
      <w:r>
        <w:rPr>
          <w:rFonts w:ascii="仿宋_GB2312" w:hAnsi="Times New Roman" w:eastAsia="仿宋_GB2312"/>
          <w:sz w:val="32"/>
          <w:szCs w:val="32"/>
        </w:rPr>
        <w:t>.</w:t>
      </w:r>
      <w:r>
        <w:rPr>
          <w:rFonts w:hint="eastAsia" w:ascii="仿宋_GB2312" w:hAnsi="Times New Roman" w:eastAsia="仿宋_GB2312"/>
          <w:sz w:val="32"/>
          <w:szCs w:val="32"/>
        </w:rPr>
        <w:t>32万元，其中：基本支出增加59.32万元，主要为人员经费支出；项目支出增加</w:t>
      </w:r>
      <w:r>
        <w:rPr>
          <w:rFonts w:ascii="仿宋_GB2312" w:hAnsi="Times New Roman" w:eastAsia="仿宋_GB2312"/>
          <w:sz w:val="32"/>
          <w:szCs w:val="32"/>
        </w:rPr>
        <w:t>2</w:t>
      </w:r>
      <w:r>
        <w:rPr>
          <w:rFonts w:hint="eastAsia" w:ascii="仿宋_GB2312" w:hAnsi="Times New Roman" w:eastAsia="仿宋_GB2312"/>
          <w:sz w:val="32"/>
          <w:szCs w:val="32"/>
        </w:rPr>
        <w:t>48万元，主要为档案管理系统经费、传统载体档案数字化工程专项经费、物业费补差经费项目支出。</w:t>
      </w:r>
    </w:p>
    <w:p w14:paraId="68FBA598">
      <w:pPr>
        <w:autoSpaceDE w:val="0"/>
        <w:autoSpaceDN w:val="0"/>
        <w:adjustRightInd w:val="0"/>
        <w:ind w:left="198" w:firstLine="640" w:firstLineChars="200"/>
        <w:jc w:val="left"/>
        <w:rPr>
          <w:rFonts w:ascii="黑体" w:hAnsi="黑体" w:eastAsia="黑体"/>
          <w:sz w:val="32"/>
          <w:szCs w:val="32"/>
        </w:rPr>
      </w:pPr>
      <w:r>
        <w:rPr>
          <w:rFonts w:hint="eastAsia" w:ascii="黑体" w:hAnsi="黑体" w:eastAsia="黑体"/>
          <w:sz w:val="32"/>
          <w:szCs w:val="32"/>
        </w:rPr>
        <w:t>三、机关运行经费安排情况</w:t>
      </w:r>
    </w:p>
    <w:p w14:paraId="072D6442">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w:t>
      </w:r>
      <w:r>
        <w:rPr>
          <w:rFonts w:hint="eastAsia" w:ascii="仿宋_GB2312" w:hAnsi="Times New Roman" w:eastAsia="仿宋_GB2312"/>
          <w:sz w:val="32"/>
          <w:szCs w:val="32"/>
        </w:rPr>
        <w:t>9年，我部门机关运行经费共计安排</w:t>
      </w:r>
      <w:r>
        <w:rPr>
          <w:rFonts w:ascii="仿宋_GB2312" w:hAnsi="Times New Roman" w:eastAsia="仿宋_GB2312"/>
          <w:sz w:val="32"/>
          <w:szCs w:val="32"/>
        </w:rPr>
        <w:t>6</w:t>
      </w:r>
      <w:r>
        <w:rPr>
          <w:rFonts w:hint="eastAsia" w:ascii="仿宋_GB2312" w:hAnsi="Times New Roman" w:eastAsia="仿宋_GB2312"/>
          <w:sz w:val="32"/>
          <w:szCs w:val="32"/>
        </w:rPr>
        <w:t>3</w:t>
      </w:r>
      <w:r>
        <w:rPr>
          <w:rFonts w:ascii="仿宋_GB2312" w:hAnsi="Times New Roman" w:eastAsia="仿宋_GB2312"/>
          <w:sz w:val="32"/>
          <w:szCs w:val="32"/>
        </w:rPr>
        <w:t>.</w:t>
      </w:r>
      <w:r>
        <w:rPr>
          <w:rFonts w:hint="eastAsia" w:ascii="仿宋_GB2312" w:hAnsi="Times New Roman" w:eastAsia="仿宋_GB2312"/>
          <w:sz w:val="32"/>
          <w:szCs w:val="32"/>
        </w:rPr>
        <w:t>96万元，主要用于我部门的（办公费、印刷费、水费、电费、邮电费、办公取暖费、物业管理费、差旅费、维修（护）费、会议费、培训费、福利费、公务接待费、公务用车运行维护费、公务交通补贴、工会经费、离退休人员公用经费、离退休人员特需费、基层党组织活动经费）等日常运行支出。</w:t>
      </w:r>
    </w:p>
    <w:p w14:paraId="23F6CAAD">
      <w:pPr>
        <w:autoSpaceDE w:val="0"/>
        <w:autoSpaceDN w:val="0"/>
        <w:adjustRightInd w:val="0"/>
        <w:ind w:firstLine="630" w:firstLineChars="196"/>
        <w:jc w:val="left"/>
        <w:rPr>
          <w:rFonts w:ascii="仿宋_GB2312" w:hAnsi="黑体" w:eastAsia="仿宋_GB2312"/>
          <w:b/>
          <w:sz w:val="32"/>
          <w:szCs w:val="32"/>
        </w:rPr>
      </w:pPr>
      <w:r>
        <w:rPr>
          <w:rFonts w:hint="eastAsia" w:ascii="仿宋_GB2312" w:hAnsi="黑体" w:eastAsia="仿宋_GB2312"/>
          <w:b/>
          <w:sz w:val="32"/>
          <w:szCs w:val="32"/>
        </w:rPr>
        <w:t>四、财政拨款“三公”经费预算情况及增减变化原因</w:t>
      </w:r>
    </w:p>
    <w:p w14:paraId="2DA4C6BA">
      <w:pPr>
        <w:autoSpaceDE w:val="0"/>
        <w:autoSpaceDN w:val="0"/>
        <w:adjustRightInd w:val="0"/>
        <w:ind w:left="197" w:leftChars="94" w:firstLine="640" w:firstLineChars="200"/>
        <w:jc w:val="left"/>
        <w:rPr>
          <w:rFonts w:ascii="仿宋_GB2312" w:hAnsi="Times New Roman" w:eastAsia="仿宋_GB2312"/>
          <w:sz w:val="32"/>
          <w:szCs w:val="32"/>
        </w:rPr>
      </w:pPr>
      <w:r>
        <w:rPr>
          <w:rFonts w:ascii="仿宋_GB2312" w:hAnsi="Times New Roman" w:eastAsia="仿宋_GB2312"/>
          <w:sz w:val="32"/>
          <w:szCs w:val="32"/>
        </w:rPr>
        <w:t>201</w:t>
      </w:r>
      <w:r>
        <w:rPr>
          <w:rFonts w:hint="eastAsia" w:ascii="仿宋_GB2312" w:hAnsi="Times New Roman" w:eastAsia="仿宋_GB2312"/>
          <w:sz w:val="32"/>
          <w:szCs w:val="32"/>
        </w:rPr>
        <w:t>9年，我部门财政拨款“三公”经费预算安排</w:t>
      </w:r>
      <w:r>
        <w:rPr>
          <w:rFonts w:ascii="仿宋_GB2312" w:hAnsi="Times New Roman" w:eastAsia="仿宋_GB2312"/>
          <w:sz w:val="32"/>
          <w:szCs w:val="32"/>
        </w:rPr>
        <w:t>2.7</w:t>
      </w:r>
      <w:r>
        <w:rPr>
          <w:rFonts w:hint="eastAsia" w:ascii="仿宋_GB2312" w:hAnsi="Times New Roman" w:eastAsia="仿宋_GB2312"/>
          <w:sz w:val="32"/>
          <w:szCs w:val="32"/>
        </w:rPr>
        <w:t>3万元。其中，因公出国（境）费</w:t>
      </w:r>
      <w:r>
        <w:rPr>
          <w:rFonts w:ascii="仿宋_GB2312" w:hAnsi="Times New Roman" w:eastAsia="仿宋_GB2312"/>
          <w:sz w:val="32"/>
          <w:szCs w:val="32"/>
        </w:rPr>
        <w:t>0</w:t>
      </w:r>
      <w:r>
        <w:rPr>
          <w:rFonts w:hint="eastAsia" w:ascii="仿宋_GB2312" w:hAnsi="Times New Roman" w:eastAsia="仿宋_GB2312"/>
          <w:sz w:val="32"/>
          <w:szCs w:val="32"/>
        </w:rPr>
        <w:t>万元；公务用车购置及运维费</w:t>
      </w:r>
      <w:r>
        <w:rPr>
          <w:rFonts w:ascii="仿宋_GB2312" w:hAnsi="Times New Roman" w:eastAsia="仿宋_GB2312"/>
          <w:sz w:val="32"/>
          <w:szCs w:val="32"/>
        </w:rPr>
        <w:t>2.4</w:t>
      </w:r>
      <w:r>
        <w:rPr>
          <w:rFonts w:hint="eastAsia" w:ascii="仿宋_GB2312" w:hAnsi="Times New Roman" w:eastAsia="仿宋_GB2312"/>
          <w:sz w:val="32"/>
          <w:szCs w:val="32"/>
        </w:rPr>
        <w:t>万元（其中：公务用车购置费为</w:t>
      </w:r>
      <w:r>
        <w:rPr>
          <w:rFonts w:ascii="仿宋_GB2312" w:hAnsi="Times New Roman" w:eastAsia="仿宋_GB2312"/>
          <w:sz w:val="32"/>
          <w:szCs w:val="32"/>
        </w:rPr>
        <w:t>0</w:t>
      </w:r>
      <w:r>
        <w:rPr>
          <w:rFonts w:hint="eastAsia" w:ascii="仿宋_GB2312" w:hAnsi="Times New Roman" w:eastAsia="仿宋_GB2312"/>
          <w:sz w:val="32"/>
          <w:szCs w:val="32"/>
        </w:rPr>
        <w:t>万元，公务用车运维费</w:t>
      </w:r>
      <w:r>
        <w:rPr>
          <w:rFonts w:ascii="仿宋_GB2312" w:hAnsi="Times New Roman" w:eastAsia="仿宋_GB2312"/>
          <w:sz w:val="32"/>
          <w:szCs w:val="32"/>
        </w:rPr>
        <w:t>2.4</w:t>
      </w:r>
      <w:r>
        <w:rPr>
          <w:rFonts w:hint="eastAsia" w:ascii="仿宋_GB2312" w:hAnsi="Times New Roman" w:eastAsia="仿宋_GB2312"/>
          <w:sz w:val="32"/>
          <w:szCs w:val="32"/>
        </w:rPr>
        <w:t>万元</w:t>
      </w:r>
      <w:r>
        <w:rPr>
          <w:rFonts w:ascii="仿宋_GB2312" w:hAnsi="Times New Roman" w:eastAsia="仿宋_GB2312"/>
          <w:sz w:val="32"/>
          <w:szCs w:val="32"/>
        </w:rPr>
        <w:t>)</w:t>
      </w:r>
      <w:r>
        <w:rPr>
          <w:rFonts w:hint="eastAsia" w:ascii="仿宋_GB2312" w:hAnsi="Times New Roman" w:eastAsia="仿宋_GB2312"/>
          <w:sz w:val="32"/>
          <w:szCs w:val="32"/>
        </w:rPr>
        <w:t>；公务接待费</w:t>
      </w:r>
      <w:r>
        <w:rPr>
          <w:rFonts w:ascii="仿宋_GB2312" w:hAnsi="Times New Roman" w:eastAsia="仿宋_GB2312"/>
          <w:sz w:val="32"/>
          <w:szCs w:val="32"/>
        </w:rPr>
        <w:t>0.3</w:t>
      </w:r>
      <w:r>
        <w:rPr>
          <w:rFonts w:hint="eastAsia" w:ascii="仿宋_GB2312" w:hAnsi="Times New Roman" w:eastAsia="仿宋_GB2312"/>
          <w:sz w:val="32"/>
          <w:szCs w:val="32"/>
        </w:rPr>
        <w:t>3万元。与</w:t>
      </w:r>
      <w:r>
        <w:rPr>
          <w:rFonts w:ascii="仿宋_GB2312" w:hAnsi="Times New Roman" w:eastAsia="仿宋_GB2312"/>
          <w:sz w:val="32"/>
          <w:szCs w:val="32"/>
        </w:rPr>
        <w:t>201</w:t>
      </w:r>
      <w:r>
        <w:rPr>
          <w:rFonts w:hint="eastAsia" w:ascii="仿宋_GB2312" w:hAnsi="Times New Roman" w:eastAsia="仿宋_GB2312"/>
          <w:sz w:val="32"/>
          <w:szCs w:val="32"/>
        </w:rPr>
        <w:t>8年相比减少0</w:t>
      </w:r>
      <w:r>
        <w:rPr>
          <w:rFonts w:ascii="仿宋_GB2312" w:hAnsi="Times New Roman" w:eastAsia="仿宋_GB2312"/>
          <w:sz w:val="32"/>
          <w:szCs w:val="32"/>
        </w:rPr>
        <w:t>.0</w:t>
      </w:r>
      <w:r>
        <w:rPr>
          <w:rFonts w:hint="eastAsia" w:ascii="仿宋_GB2312" w:hAnsi="Times New Roman" w:eastAsia="仿宋_GB2312"/>
          <w:sz w:val="32"/>
          <w:szCs w:val="32"/>
        </w:rPr>
        <w:t>1万元，其中：公务接待费减少0.01万元，主要原因是我部门切实落实勤俭节约各项规定，严格控制公务接待费支出。</w:t>
      </w:r>
    </w:p>
    <w:p w14:paraId="0B707522">
      <w:pPr>
        <w:ind w:firstLine="640" w:firstLineChars="200"/>
        <w:rPr>
          <w:rFonts w:ascii="黑体" w:hAnsi="黑体" w:eastAsia="黑体"/>
          <w:sz w:val="32"/>
          <w:szCs w:val="32"/>
        </w:rPr>
      </w:pPr>
      <w:r>
        <w:rPr>
          <w:rFonts w:hint="eastAsia" w:ascii="黑体" w:hAnsi="黑体" w:eastAsia="黑体"/>
          <w:sz w:val="32"/>
          <w:szCs w:val="32"/>
        </w:rPr>
        <w:t>五、绩效预算信息</w:t>
      </w:r>
    </w:p>
    <w:p w14:paraId="50818819">
      <w:pPr>
        <w:ind w:firstLine="643" w:firstLineChars="200"/>
        <w:jc w:val="left"/>
        <w:rPr>
          <w:rFonts w:ascii="楷体_GB2312" w:hAnsi="Times New Roman" w:eastAsia="楷体_GB2312"/>
          <w:b/>
          <w:sz w:val="32"/>
          <w:szCs w:val="32"/>
        </w:rPr>
      </w:pPr>
      <w:bookmarkStart w:id="0" w:name="_Toc471398463"/>
      <w:r>
        <w:rPr>
          <w:rFonts w:hint="eastAsia" w:ascii="楷体_GB2312" w:hAnsi="Times New Roman" w:eastAsia="楷体_GB2312"/>
          <w:b/>
          <w:sz w:val="32"/>
          <w:szCs w:val="32"/>
        </w:rPr>
        <w:t>总体绩效目标：</w:t>
      </w:r>
    </w:p>
    <w:p w14:paraId="0360FEB2">
      <w:pPr>
        <w:ind w:firstLine="640" w:firstLineChars="200"/>
        <w:rPr>
          <w:rFonts w:ascii="仿宋_GB2312" w:eastAsia="仿宋_GB2312"/>
          <w:sz w:val="32"/>
          <w:szCs w:val="32"/>
        </w:rPr>
      </w:pPr>
      <w:r>
        <w:rPr>
          <w:rFonts w:hint="eastAsia" w:ascii="仿宋_GB2312" w:eastAsia="仿宋_GB2312"/>
          <w:sz w:val="32"/>
          <w:szCs w:val="32"/>
        </w:rPr>
        <w:t>根据省档案局部署，结合廊坊实际确定，2019年廊坊市档案局总体发展规划目标是深入贯彻落实党的十九大和习近平新时代中国特色社会主义思想，以习近平总书记系列重要讲话精神为指导，围绕全市经济社会发展大局，完善档案工作体制机制，提升档案工作服务社会、服务民生、服务发展的能力，构建全面覆盖的资源体系、服务人民群众的利用体系和确保档案安全保密的安全体系，不断开创管理体制科学、法规标准完备、基础设施优良、档案资源丰富、信息化程度高、服务功能完善、社会高度自觉的档案工作新局面。</w:t>
      </w:r>
    </w:p>
    <w:p w14:paraId="07A58379">
      <w:pPr>
        <w:ind w:firstLine="640" w:firstLineChars="200"/>
        <w:rPr>
          <w:rFonts w:ascii="仿宋_GB2312" w:eastAsia="仿宋_GB2312"/>
          <w:sz w:val="32"/>
          <w:szCs w:val="32"/>
        </w:rPr>
      </w:pPr>
      <w:r>
        <w:rPr>
          <w:rFonts w:hint="eastAsia" w:ascii="仿宋_GB2312" w:eastAsia="仿宋_GB2312"/>
          <w:sz w:val="32"/>
          <w:szCs w:val="32"/>
        </w:rPr>
        <w:t>重点完成档案馆新馆建设、档案信息化建设、档案资源体系建设、档案目标管理认定工作、档案开发利用体系建设、档案安全保障体系建设、档案法治建设、档案干部队伍建设和档案宣传工作，以加快推进新形势下全市档案事业实现更好更快发展。</w:t>
      </w:r>
    </w:p>
    <w:p w14:paraId="2DB1719E">
      <w:pPr>
        <w:ind w:firstLine="640" w:firstLineChars="200"/>
        <w:jc w:val="left"/>
        <w:rPr>
          <w:rFonts w:ascii="仿宋_GB2312" w:hAnsi="Times New Roman" w:eastAsia="仿宋_GB2312"/>
          <w:sz w:val="32"/>
          <w:szCs w:val="32"/>
        </w:rPr>
      </w:pPr>
    </w:p>
    <w:p w14:paraId="62ADA13F">
      <w:pPr>
        <w:ind w:firstLine="560"/>
        <w:rPr>
          <w:rFonts w:ascii="楷体_GB2312" w:hAnsi="Times New Roman" w:eastAsia="楷体_GB2312"/>
          <w:b/>
          <w:sz w:val="32"/>
          <w:szCs w:val="24"/>
        </w:rPr>
      </w:pPr>
      <w:r>
        <w:rPr>
          <w:rFonts w:hint="eastAsia" w:ascii="楷体_GB2312" w:hAnsi="黑体" w:eastAsia="楷体_GB2312"/>
          <w:b/>
          <w:sz w:val="32"/>
          <w:szCs w:val="32"/>
        </w:rPr>
        <w:t>部门职责及工作活动绩效目标指标：</w:t>
      </w:r>
    </w:p>
    <w:bookmarkEnd w:id="0"/>
    <w:p w14:paraId="6944B51C">
      <w:pPr>
        <w:jc w:val="center"/>
        <w:outlineLvl w:val="0"/>
        <w:rPr>
          <w:rFonts w:ascii="仿宋_GB2312" w:eastAsia="仿宋_GB2312"/>
          <w:b/>
          <w:sz w:val="32"/>
        </w:rPr>
      </w:pPr>
      <w:bookmarkStart w:id="1" w:name="_Toc504489147"/>
      <w:r>
        <w:rPr>
          <w:rFonts w:hint="eastAsia" w:ascii="仿宋_GB2312" w:eastAsia="仿宋_GB2312"/>
          <w:b/>
          <w:sz w:val="32"/>
        </w:rPr>
        <w:t>部门职责</w:t>
      </w:r>
      <w:r>
        <w:rPr>
          <w:rFonts w:ascii="仿宋_GB2312" w:eastAsia="仿宋_GB2312"/>
          <w:b/>
          <w:sz w:val="32"/>
        </w:rPr>
        <w:t>-</w:t>
      </w:r>
      <w:r>
        <w:rPr>
          <w:rFonts w:hint="eastAsia" w:ascii="仿宋_GB2312" w:eastAsia="仿宋_GB2312"/>
          <w:b/>
          <w:sz w:val="32"/>
        </w:rPr>
        <w:t>工作活动绩效目标</w:t>
      </w:r>
      <w:bookmarkEnd w:id="1"/>
    </w:p>
    <w:tbl>
      <w:tblPr>
        <w:tblStyle w:val="9"/>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4"/>
        <w:gridCol w:w="1293"/>
        <w:gridCol w:w="2802"/>
        <w:gridCol w:w="2835"/>
        <w:gridCol w:w="1470"/>
        <w:gridCol w:w="802"/>
        <w:gridCol w:w="803"/>
        <w:gridCol w:w="802"/>
        <w:gridCol w:w="803"/>
      </w:tblGrid>
      <w:tr w14:paraId="04B02E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27" w:hRule="atLeast"/>
          <w:tblHeader/>
          <w:jc w:val="center"/>
        </w:trPr>
        <w:tc>
          <w:tcPr>
            <w:tcW w:w="10724" w:type="dxa"/>
            <w:gridSpan w:val="5"/>
            <w:tcBorders>
              <w:top w:val="single" w:color="FFFFFF" w:sz="6" w:space="0"/>
              <w:left w:val="single" w:color="FFFFFF" w:sz="6" w:space="0"/>
              <w:right w:val="single" w:color="FFFFFF" w:sz="6" w:space="0"/>
            </w:tcBorders>
            <w:vAlign w:val="center"/>
          </w:tcPr>
          <w:p w14:paraId="471FCA95">
            <w:pPr>
              <w:spacing w:line="300" w:lineRule="exact"/>
              <w:jc w:val="left"/>
              <w:rPr>
                <w:rFonts w:ascii="仿宋_GB2312" w:eastAsia="仿宋_GB2312"/>
                <w:sz w:val="24"/>
              </w:rPr>
            </w:pPr>
            <w:r>
              <w:rPr>
                <w:rFonts w:ascii="仿宋_GB2312" w:eastAsia="仿宋_GB2312"/>
                <w:sz w:val="24"/>
              </w:rPr>
              <w:t>421</w:t>
            </w:r>
            <w:r>
              <w:rPr>
                <w:rFonts w:hint="eastAsia" w:ascii="仿宋_GB2312" w:eastAsia="仿宋_GB2312"/>
                <w:sz w:val="24"/>
              </w:rPr>
              <w:t>廊坊市档案局</w:t>
            </w:r>
          </w:p>
        </w:tc>
        <w:tc>
          <w:tcPr>
            <w:tcW w:w="3210" w:type="dxa"/>
            <w:gridSpan w:val="4"/>
            <w:tcBorders>
              <w:top w:val="single" w:color="FFFFFF" w:sz="6" w:space="0"/>
              <w:left w:val="single" w:color="FFFFFF" w:sz="6" w:space="0"/>
              <w:right w:val="single" w:color="FFFFFF" w:sz="6" w:space="0"/>
            </w:tcBorders>
            <w:vAlign w:val="center"/>
          </w:tcPr>
          <w:p w14:paraId="6EA4EB26">
            <w:pPr>
              <w:spacing w:line="300" w:lineRule="exact"/>
              <w:jc w:val="right"/>
              <w:rPr>
                <w:rFonts w:ascii="仿宋_GB2312" w:eastAsia="仿宋_GB2312"/>
                <w:sz w:val="24"/>
              </w:rPr>
            </w:pPr>
            <w:r>
              <w:rPr>
                <w:rFonts w:hint="eastAsia" w:ascii="仿宋_GB2312" w:eastAsia="仿宋_GB2312"/>
                <w:sz w:val="24"/>
              </w:rPr>
              <w:t>单位：万元</w:t>
            </w:r>
          </w:p>
        </w:tc>
      </w:tr>
      <w:tr w14:paraId="7A8C4B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24" w:type="dxa"/>
            <w:vMerge w:val="restart"/>
            <w:vAlign w:val="center"/>
          </w:tcPr>
          <w:p w14:paraId="35C0A144">
            <w:pPr>
              <w:spacing w:line="300" w:lineRule="exact"/>
              <w:jc w:val="center"/>
              <w:rPr>
                <w:rFonts w:ascii="仿宋_GB2312" w:eastAsia="仿宋_GB2312"/>
                <w:b/>
              </w:rPr>
            </w:pPr>
            <w:r>
              <w:rPr>
                <w:rFonts w:hint="eastAsia" w:ascii="仿宋_GB2312" w:eastAsia="仿宋_GB2312"/>
                <w:b/>
              </w:rPr>
              <w:t>职责活动</w:t>
            </w:r>
          </w:p>
        </w:tc>
        <w:tc>
          <w:tcPr>
            <w:tcW w:w="1293" w:type="dxa"/>
            <w:vMerge w:val="restart"/>
            <w:vAlign w:val="center"/>
          </w:tcPr>
          <w:p w14:paraId="0FFFBC21">
            <w:pPr>
              <w:spacing w:line="300" w:lineRule="exact"/>
              <w:jc w:val="center"/>
              <w:rPr>
                <w:rFonts w:ascii="仿宋_GB2312" w:eastAsia="仿宋_GB2312"/>
                <w:b/>
              </w:rPr>
            </w:pPr>
            <w:r>
              <w:rPr>
                <w:rFonts w:hint="eastAsia" w:ascii="仿宋_GB2312" w:eastAsia="仿宋_GB2312"/>
                <w:b/>
              </w:rPr>
              <w:t>年度预算数</w:t>
            </w:r>
          </w:p>
        </w:tc>
        <w:tc>
          <w:tcPr>
            <w:tcW w:w="2802" w:type="dxa"/>
            <w:vMerge w:val="restart"/>
            <w:vAlign w:val="center"/>
          </w:tcPr>
          <w:p w14:paraId="3E01B4C7">
            <w:pPr>
              <w:spacing w:line="300" w:lineRule="exact"/>
              <w:jc w:val="center"/>
              <w:rPr>
                <w:rFonts w:ascii="仿宋_GB2312" w:eastAsia="仿宋_GB2312"/>
                <w:b/>
              </w:rPr>
            </w:pPr>
            <w:r>
              <w:rPr>
                <w:rFonts w:hint="eastAsia" w:ascii="仿宋_GB2312" w:eastAsia="仿宋_GB2312"/>
                <w:b/>
              </w:rPr>
              <w:t>内容描述</w:t>
            </w:r>
          </w:p>
        </w:tc>
        <w:tc>
          <w:tcPr>
            <w:tcW w:w="2835" w:type="dxa"/>
            <w:vMerge w:val="restart"/>
            <w:vAlign w:val="center"/>
          </w:tcPr>
          <w:p w14:paraId="15C402B5">
            <w:pPr>
              <w:spacing w:line="300" w:lineRule="exact"/>
              <w:jc w:val="center"/>
              <w:rPr>
                <w:rFonts w:ascii="仿宋_GB2312" w:eastAsia="仿宋_GB2312"/>
                <w:b/>
              </w:rPr>
            </w:pPr>
            <w:r>
              <w:rPr>
                <w:rFonts w:hint="eastAsia" w:ascii="仿宋_GB2312" w:eastAsia="仿宋_GB2312"/>
                <w:b/>
              </w:rPr>
              <w:t>绩效目标</w:t>
            </w:r>
          </w:p>
        </w:tc>
        <w:tc>
          <w:tcPr>
            <w:tcW w:w="1470" w:type="dxa"/>
            <w:vMerge w:val="restart"/>
            <w:vAlign w:val="center"/>
          </w:tcPr>
          <w:p w14:paraId="0FCB658F">
            <w:pPr>
              <w:spacing w:line="300" w:lineRule="exact"/>
              <w:jc w:val="center"/>
              <w:rPr>
                <w:rFonts w:ascii="仿宋_GB2312" w:eastAsia="仿宋_GB2312"/>
                <w:b/>
              </w:rPr>
            </w:pPr>
            <w:r>
              <w:rPr>
                <w:rFonts w:hint="eastAsia" w:ascii="仿宋_GB2312" w:eastAsia="仿宋_GB2312"/>
                <w:b/>
              </w:rPr>
              <w:t>绩效指标</w:t>
            </w:r>
          </w:p>
        </w:tc>
        <w:tc>
          <w:tcPr>
            <w:tcW w:w="3210" w:type="dxa"/>
            <w:gridSpan w:val="4"/>
            <w:vAlign w:val="center"/>
          </w:tcPr>
          <w:p w14:paraId="71128E54">
            <w:pPr>
              <w:spacing w:line="300" w:lineRule="exact"/>
              <w:jc w:val="center"/>
              <w:rPr>
                <w:rFonts w:ascii="仿宋_GB2312" w:eastAsia="仿宋_GB2312"/>
                <w:b/>
              </w:rPr>
            </w:pPr>
            <w:r>
              <w:rPr>
                <w:rFonts w:hint="eastAsia" w:ascii="仿宋_GB2312" w:eastAsia="仿宋_GB2312"/>
                <w:b/>
              </w:rPr>
              <w:t>评价标准</w:t>
            </w:r>
          </w:p>
        </w:tc>
      </w:tr>
      <w:tr w14:paraId="205DC9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24" w:type="dxa"/>
            <w:vMerge w:val="continue"/>
            <w:vAlign w:val="center"/>
          </w:tcPr>
          <w:p w14:paraId="43F2FBEB">
            <w:pPr>
              <w:spacing w:line="300" w:lineRule="exact"/>
              <w:jc w:val="left"/>
              <w:outlineLvl w:val="0"/>
              <w:rPr>
                <w:rFonts w:ascii="仿宋_GB2312" w:eastAsia="仿宋_GB2312"/>
              </w:rPr>
            </w:pPr>
          </w:p>
        </w:tc>
        <w:tc>
          <w:tcPr>
            <w:tcW w:w="1293" w:type="dxa"/>
            <w:vMerge w:val="continue"/>
            <w:vAlign w:val="center"/>
          </w:tcPr>
          <w:p w14:paraId="7CC1153C">
            <w:pPr>
              <w:spacing w:line="300" w:lineRule="exact"/>
              <w:jc w:val="left"/>
              <w:outlineLvl w:val="0"/>
              <w:rPr>
                <w:rFonts w:ascii="仿宋_GB2312" w:eastAsia="仿宋_GB2312"/>
              </w:rPr>
            </w:pPr>
          </w:p>
        </w:tc>
        <w:tc>
          <w:tcPr>
            <w:tcW w:w="2802" w:type="dxa"/>
            <w:vMerge w:val="continue"/>
            <w:vAlign w:val="center"/>
          </w:tcPr>
          <w:p w14:paraId="78865386">
            <w:pPr>
              <w:spacing w:line="300" w:lineRule="exact"/>
              <w:jc w:val="left"/>
              <w:outlineLvl w:val="0"/>
              <w:rPr>
                <w:rFonts w:ascii="仿宋_GB2312" w:eastAsia="仿宋_GB2312"/>
              </w:rPr>
            </w:pPr>
          </w:p>
        </w:tc>
        <w:tc>
          <w:tcPr>
            <w:tcW w:w="2835" w:type="dxa"/>
            <w:vMerge w:val="continue"/>
            <w:vAlign w:val="center"/>
          </w:tcPr>
          <w:p w14:paraId="2BF08FA5">
            <w:pPr>
              <w:spacing w:line="300" w:lineRule="exact"/>
              <w:jc w:val="left"/>
              <w:outlineLvl w:val="0"/>
              <w:rPr>
                <w:rFonts w:ascii="仿宋_GB2312" w:eastAsia="仿宋_GB2312"/>
              </w:rPr>
            </w:pPr>
          </w:p>
        </w:tc>
        <w:tc>
          <w:tcPr>
            <w:tcW w:w="1470" w:type="dxa"/>
            <w:vMerge w:val="continue"/>
            <w:vAlign w:val="center"/>
          </w:tcPr>
          <w:p w14:paraId="1D000418">
            <w:pPr>
              <w:spacing w:line="300" w:lineRule="exact"/>
              <w:jc w:val="left"/>
              <w:outlineLvl w:val="0"/>
              <w:rPr>
                <w:rFonts w:ascii="仿宋_GB2312" w:eastAsia="仿宋_GB2312"/>
              </w:rPr>
            </w:pPr>
          </w:p>
        </w:tc>
        <w:tc>
          <w:tcPr>
            <w:tcW w:w="802" w:type="dxa"/>
            <w:vAlign w:val="center"/>
          </w:tcPr>
          <w:p w14:paraId="229F4004">
            <w:pPr>
              <w:spacing w:line="300" w:lineRule="exact"/>
              <w:jc w:val="center"/>
              <w:rPr>
                <w:rFonts w:ascii="仿宋_GB2312" w:eastAsia="仿宋_GB2312"/>
                <w:b/>
              </w:rPr>
            </w:pPr>
            <w:r>
              <w:rPr>
                <w:rFonts w:hint="eastAsia" w:ascii="仿宋_GB2312" w:eastAsia="仿宋_GB2312"/>
                <w:b/>
              </w:rPr>
              <w:t>优</w:t>
            </w:r>
          </w:p>
        </w:tc>
        <w:tc>
          <w:tcPr>
            <w:tcW w:w="803" w:type="dxa"/>
            <w:vAlign w:val="center"/>
          </w:tcPr>
          <w:p w14:paraId="1F5CAE46">
            <w:pPr>
              <w:spacing w:line="300" w:lineRule="exact"/>
              <w:jc w:val="center"/>
              <w:rPr>
                <w:rFonts w:ascii="仿宋_GB2312" w:eastAsia="仿宋_GB2312"/>
                <w:b/>
              </w:rPr>
            </w:pPr>
            <w:r>
              <w:rPr>
                <w:rFonts w:hint="eastAsia" w:ascii="仿宋_GB2312" w:eastAsia="仿宋_GB2312"/>
                <w:b/>
              </w:rPr>
              <w:t>良</w:t>
            </w:r>
          </w:p>
        </w:tc>
        <w:tc>
          <w:tcPr>
            <w:tcW w:w="802" w:type="dxa"/>
            <w:vAlign w:val="center"/>
          </w:tcPr>
          <w:p w14:paraId="146B8EFB">
            <w:pPr>
              <w:spacing w:line="300" w:lineRule="exact"/>
              <w:jc w:val="center"/>
              <w:rPr>
                <w:rFonts w:ascii="仿宋_GB2312" w:eastAsia="仿宋_GB2312"/>
                <w:b/>
              </w:rPr>
            </w:pPr>
            <w:r>
              <w:rPr>
                <w:rFonts w:hint="eastAsia" w:ascii="仿宋_GB2312" w:eastAsia="仿宋_GB2312"/>
                <w:b/>
              </w:rPr>
              <w:t>中</w:t>
            </w:r>
          </w:p>
        </w:tc>
        <w:tc>
          <w:tcPr>
            <w:tcW w:w="803" w:type="dxa"/>
            <w:vAlign w:val="center"/>
          </w:tcPr>
          <w:p w14:paraId="21085503">
            <w:pPr>
              <w:spacing w:line="300" w:lineRule="exact"/>
              <w:jc w:val="center"/>
              <w:rPr>
                <w:rFonts w:ascii="仿宋_GB2312" w:eastAsia="仿宋_GB2312"/>
                <w:b/>
              </w:rPr>
            </w:pPr>
            <w:r>
              <w:rPr>
                <w:rFonts w:hint="eastAsia" w:ascii="仿宋_GB2312" w:eastAsia="仿宋_GB2312"/>
                <w:b/>
              </w:rPr>
              <w:t>差</w:t>
            </w:r>
          </w:p>
        </w:tc>
      </w:tr>
      <w:tr w14:paraId="5E9048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13" w:hRule="atLeast"/>
          <w:jc w:val="center"/>
        </w:trPr>
        <w:tc>
          <w:tcPr>
            <w:tcW w:w="2324" w:type="dxa"/>
            <w:vAlign w:val="center"/>
          </w:tcPr>
          <w:p w14:paraId="3F0EC079">
            <w:pPr>
              <w:spacing w:line="300" w:lineRule="exact"/>
              <w:jc w:val="left"/>
              <w:rPr>
                <w:rFonts w:ascii="宋体"/>
                <w:b/>
                <w:sz w:val="24"/>
                <w:szCs w:val="24"/>
              </w:rPr>
            </w:pPr>
            <w:r>
              <w:rPr>
                <w:rFonts w:hint="eastAsia" w:ascii="宋体" w:hAnsi="宋体"/>
                <w:b/>
                <w:sz w:val="24"/>
                <w:szCs w:val="24"/>
              </w:rPr>
              <w:t>一、档案收集保管与开发利用</w:t>
            </w:r>
          </w:p>
        </w:tc>
        <w:tc>
          <w:tcPr>
            <w:tcW w:w="1293" w:type="dxa"/>
            <w:vAlign w:val="center"/>
          </w:tcPr>
          <w:p w14:paraId="77B8E8F4">
            <w:pPr>
              <w:spacing w:line="300" w:lineRule="exact"/>
              <w:jc w:val="left"/>
              <w:rPr>
                <w:rFonts w:ascii="宋体"/>
                <w:sz w:val="24"/>
                <w:szCs w:val="24"/>
              </w:rPr>
            </w:pPr>
            <w:r>
              <w:rPr>
                <w:rFonts w:hint="eastAsia" w:ascii="宋体" w:hAnsi="宋体"/>
                <w:sz w:val="24"/>
                <w:szCs w:val="24"/>
              </w:rPr>
              <w:t>313.9</w:t>
            </w:r>
          </w:p>
        </w:tc>
        <w:tc>
          <w:tcPr>
            <w:tcW w:w="2802" w:type="dxa"/>
            <w:vAlign w:val="center"/>
          </w:tcPr>
          <w:p w14:paraId="529D5A43">
            <w:r>
              <w:rPr>
                <w:rFonts w:hint="eastAsia"/>
              </w:rPr>
              <w:t>机关团体企事业单位档案工作目标管理认定，做好档案资源建设和保管，优化馆藏，做好重点档案抢救、保护、开发和信息化管理工作。提供档案查阅和利用，培育档案文化产业，推进全市档案信息化工作。</w:t>
            </w:r>
          </w:p>
        </w:tc>
        <w:tc>
          <w:tcPr>
            <w:tcW w:w="2835" w:type="dxa"/>
            <w:vAlign w:val="center"/>
          </w:tcPr>
          <w:p w14:paraId="03478D79">
            <w:r>
              <w:rPr>
                <w:rFonts w:hint="eastAsia"/>
              </w:rPr>
              <w:t>丰富馆藏内容，方便保管和利用，完成档案的托裱、修复、复制、开发等抢救保护工作，最大限度地延长档案寿命。实现对档案的数据化备份和保护。把</w:t>
            </w:r>
            <w:r>
              <w:t>“</w:t>
            </w:r>
            <w:r>
              <w:rPr>
                <w:rFonts w:hint="eastAsia"/>
              </w:rPr>
              <w:t>死档案</w:t>
            </w:r>
            <w:r>
              <w:t>”</w:t>
            </w:r>
            <w:r>
              <w:rPr>
                <w:rFonts w:hint="eastAsia"/>
              </w:rPr>
              <w:t>变成</w:t>
            </w:r>
            <w:r>
              <w:t>“</w:t>
            </w:r>
            <w:r>
              <w:rPr>
                <w:rFonts w:hint="eastAsia"/>
              </w:rPr>
              <w:t>活信息</w:t>
            </w:r>
            <w:r>
              <w:t>”</w:t>
            </w:r>
            <w:r>
              <w:rPr>
                <w:rFonts w:hint="eastAsia"/>
              </w:rPr>
              <w:t>，更好为各级党委和政府决策、管理服务。</w:t>
            </w:r>
          </w:p>
        </w:tc>
        <w:tc>
          <w:tcPr>
            <w:tcW w:w="1470" w:type="dxa"/>
            <w:vAlign w:val="center"/>
          </w:tcPr>
          <w:p w14:paraId="0AB8C535"/>
        </w:tc>
        <w:tc>
          <w:tcPr>
            <w:tcW w:w="802" w:type="dxa"/>
            <w:vAlign w:val="center"/>
          </w:tcPr>
          <w:p w14:paraId="78F7B0FD"/>
        </w:tc>
        <w:tc>
          <w:tcPr>
            <w:tcW w:w="803" w:type="dxa"/>
            <w:vAlign w:val="center"/>
          </w:tcPr>
          <w:p w14:paraId="2D18142F"/>
        </w:tc>
        <w:tc>
          <w:tcPr>
            <w:tcW w:w="802" w:type="dxa"/>
            <w:vAlign w:val="center"/>
          </w:tcPr>
          <w:p w14:paraId="7B501178"/>
        </w:tc>
        <w:tc>
          <w:tcPr>
            <w:tcW w:w="803" w:type="dxa"/>
            <w:vAlign w:val="center"/>
          </w:tcPr>
          <w:p w14:paraId="5CA61E97"/>
        </w:tc>
      </w:tr>
      <w:tr w14:paraId="420EC8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303" w:hRule="atLeast"/>
          <w:jc w:val="center"/>
        </w:trPr>
        <w:tc>
          <w:tcPr>
            <w:tcW w:w="2324" w:type="dxa"/>
            <w:vMerge w:val="restart"/>
            <w:vAlign w:val="center"/>
          </w:tcPr>
          <w:p w14:paraId="6178A2A8">
            <w:pPr>
              <w:spacing w:line="300" w:lineRule="exact"/>
              <w:jc w:val="left"/>
              <w:rPr>
                <w:rFonts w:ascii="宋体"/>
                <w:b/>
                <w:sz w:val="24"/>
                <w:szCs w:val="24"/>
              </w:rPr>
            </w:pPr>
            <w:r>
              <w:rPr>
                <w:rFonts w:ascii="宋体" w:hAnsi="宋体"/>
                <w:b/>
                <w:sz w:val="24"/>
                <w:szCs w:val="24"/>
              </w:rPr>
              <w:t>1</w:t>
            </w:r>
            <w:r>
              <w:rPr>
                <w:rFonts w:hint="eastAsia" w:ascii="宋体" w:hAnsi="宋体"/>
                <w:b/>
                <w:sz w:val="24"/>
                <w:szCs w:val="24"/>
              </w:rPr>
              <w:t>、档案收集与整理</w:t>
            </w:r>
          </w:p>
        </w:tc>
        <w:tc>
          <w:tcPr>
            <w:tcW w:w="1293" w:type="dxa"/>
            <w:vMerge w:val="restart"/>
            <w:vAlign w:val="center"/>
          </w:tcPr>
          <w:p w14:paraId="38E86FEE">
            <w:pPr>
              <w:spacing w:line="300" w:lineRule="exact"/>
              <w:jc w:val="left"/>
              <w:rPr>
                <w:rFonts w:ascii="宋体"/>
                <w:sz w:val="24"/>
                <w:szCs w:val="24"/>
              </w:rPr>
            </w:pPr>
            <w:r>
              <w:rPr>
                <w:rFonts w:hint="eastAsia" w:ascii="宋体" w:hAnsi="宋体"/>
                <w:sz w:val="24"/>
                <w:szCs w:val="24"/>
              </w:rPr>
              <w:t>1.5</w:t>
            </w:r>
          </w:p>
        </w:tc>
        <w:tc>
          <w:tcPr>
            <w:tcW w:w="2802" w:type="dxa"/>
            <w:vMerge w:val="restart"/>
            <w:vAlign w:val="center"/>
          </w:tcPr>
          <w:p w14:paraId="319E482B">
            <w:r>
              <w:rPr>
                <w:rFonts w:hint="eastAsia"/>
              </w:rPr>
              <w:t>依据规定对档案进行征集、接收和整理，对相关单位纸质、电子、专题档案进行收集、整理和保存。</w:t>
            </w:r>
          </w:p>
        </w:tc>
        <w:tc>
          <w:tcPr>
            <w:tcW w:w="2835" w:type="dxa"/>
            <w:vMerge w:val="restart"/>
            <w:vAlign w:val="center"/>
          </w:tcPr>
          <w:p w14:paraId="41597EDB">
            <w:r>
              <w:rPr>
                <w:rFonts w:hint="eastAsia"/>
              </w:rPr>
              <w:t>丰富馆藏内容，满足工作考察、历史研究、编史修志等方面的需求，提高档案利用价值。</w:t>
            </w:r>
          </w:p>
        </w:tc>
        <w:tc>
          <w:tcPr>
            <w:tcW w:w="1470" w:type="dxa"/>
            <w:tcBorders>
              <w:bottom w:val="single" w:color="auto" w:sz="4" w:space="0"/>
            </w:tcBorders>
            <w:vAlign w:val="center"/>
          </w:tcPr>
          <w:p w14:paraId="50E67532">
            <w:r>
              <w:rPr>
                <w:rFonts w:hint="eastAsia"/>
              </w:rPr>
              <w:t>档案整理、移交、接收、管理、保存工作完成率</w:t>
            </w:r>
          </w:p>
        </w:tc>
        <w:tc>
          <w:tcPr>
            <w:tcW w:w="802" w:type="dxa"/>
            <w:tcBorders>
              <w:bottom w:val="single" w:color="auto" w:sz="4" w:space="0"/>
            </w:tcBorders>
            <w:vAlign w:val="center"/>
          </w:tcPr>
          <w:p w14:paraId="72CD3EAD">
            <w:r>
              <w:rPr>
                <w:rFonts w:hint="eastAsia"/>
              </w:rPr>
              <w:t>≥</w:t>
            </w:r>
            <w:r>
              <w:t>100%</w:t>
            </w:r>
          </w:p>
        </w:tc>
        <w:tc>
          <w:tcPr>
            <w:tcW w:w="803" w:type="dxa"/>
            <w:tcBorders>
              <w:bottom w:val="single" w:color="auto" w:sz="4" w:space="0"/>
            </w:tcBorders>
            <w:vAlign w:val="center"/>
          </w:tcPr>
          <w:p w14:paraId="39A633C4">
            <w:r>
              <w:rPr>
                <w:rFonts w:hint="eastAsia"/>
              </w:rPr>
              <w:t>≥</w:t>
            </w:r>
          </w:p>
          <w:p w14:paraId="43ABBE74">
            <w:r>
              <w:t>95%</w:t>
            </w:r>
          </w:p>
        </w:tc>
        <w:tc>
          <w:tcPr>
            <w:tcW w:w="802" w:type="dxa"/>
            <w:tcBorders>
              <w:bottom w:val="single" w:color="auto" w:sz="4" w:space="0"/>
            </w:tcBorders>
            <w:vAlign w:val="center"/>
          </w:tcPr>
          <w:p w14:paraId="3DEBFCFB">
            <w:r>
              <w:rPr>
                <w:rFonts w:hint="eastAsia"/>
              </w:rPr>
              <w:t>≥</w:t>
            </w:r>
          </w:p>
          <w:p w14:paraId="4113D9CC">
            <w:r>
              <w:t>90%</w:t>
            </w:r>
          </w:p>
        </w:tc>
        <w:tc>
          <w:tcPr>
            <w:tcW w:w="803" w:type="dxa"/>
            <w:tcBorders>
              <w:bottom w:val="single" w:color="auto" w:sz="4" w:space="0"/>
            </w:tcBorders>
            <w:vAlign w:val="center"/>
          </w:tcPr>
          <w:p w14:paraId="64B1E65D">
            <w:r>
              <w:rPr>
                <w:rFonts w:hint="eastAsia"/>
              </w:rPr>
              <w:t>＜</w:t>
            </w:r>
          </w:p>
          <w:p w14:paraId="1FF8202D">
            <w:r>
              <w:t>90%</w:t>
            </w:r>
          </w:p>
        </w:tc>
      </w:tr>
      <w:tr w14:paraId="4C0767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39" w:hRule="atLeast"/>
          <w:jc w:val="center"/>
        </w:trPr>
        <w:tc>
          <w:tcPr>
            <w:tcW w:w="2324" w:type="dxa"/>
            <w:vMerge w:val="continue"/>
            <w:vAlign w:val="center"/>
          </w:tcPr>
          <w:p w14:paraId="3BBE80C9">
            <w:pPr>
              <w:spacing w:line="300" w:lineRule="exact"/>
              <w:jc w:val="left"/>
              <w:rPr>
                <w:rFonts w:ascii="宋体"/>
                <w:b/>
                <w:sz w:val="24"/>
                <w:szCs w:val="24"/>
              </w:rPr>
            </w:pPr>
          </w:p>
        </w:tc>
        <w:tc>
          <w:tcPr>
            <w:tcW w:w="1293" w:type="dxa"/>
            <w:vMerge w:val="continue"/>
            <w:vAlign w:val="center"/>
          </w:tcPr>
          <w:p w14:paraId="54028D3C">
            <w:pPr>
              <w:spacing w:line="300" w:lineRule="exact"/>
              <w:jc w:val="left"/>
              <w:rPr>
                <w:rFonts w:ascii="宋体"/>
                <w:sz w:val="24"/>
                <w:szCs w:val="24"/>
              </w:rPr>
            </w:pPr>
          </w:p>
        </w:tc>
        <w:tc>
          <w:tcPr>
            <w:tcW w:w="2802" w:type="dxa"/>
            <w:vMerge w:val="continue"/>
            <w:vAlign w:val="center"/>
          </w:tcPr>
          <w:p w14:paraId="45464576"/>
        </w:tc>
        <w:tc>
          <w:tcPr>
            <w:tcW w:w="2835" w:type="dxa"/>
            <w:vMerge w:val="continue"/>
            <w:vAlign w:val="center"/>
          </w:tcPr>
          <w:p w14:paraId="47B39719"/>
        </w:tc>
        <w:tc>
          <w:tcPr>
            <w:tcW w:w="1470" w:type="dxa"/>
            <w:tcBorders>
              <w:top w:val="single" w:color="auto" w:sz="4" w:space="0"/>
              <w:bottom w:val="single" w:color="auto" w:sz="4" w:space="0"/>
            </w:tcBorders>
            <w:vAlign w:val="center"/>
          </w:tcPr>
          <w:p w14:paraId="5B94BDD9">
            <w:r>
              <w:rPr>
                <w:rFonts w:hint="eastAsia"/>
              </w:rPr>
              <w:t>文件级目录数据化工作完成率</w:t>
            </w:r>
          </w:p>
        </w:tc>
        <w:tc>
          <w:tcPr>
            <w:tcW w:w="802" w:type="dxa"/>
            <w:tcBorders>
              <w:top w:val="single" w:color="auto" w:sz="4" w:space="0"/>
              <w:bottom w:val="single" w:color="auto" w:sz="4" w:space="0"/>
            </w:tcBorders>
            <w:vAlign w:val="center"/>
          </w:tcPr>
          <w:p w14:paraId="2EF4AC72">
            <w:r>
              <w:rPr>
                <w:rFonts w:hint="eastAsia"/>
              </w:rPr>
              <w:t>≥</w:t>
            </w:r>
            <w:r>
              <w:t>100%</w:t>
            </w:r>
          </w:p>
        </w:tc>
        <w:tc>
          <w:tcPr>
            <w:tcW w:w="803" w:type="dxa"/>
            <w:tcBorders>
              <w:top w:val="single" w:color="auto" w:sz="4" w:space="0"/>
              <w:bottom w:val="single" w:color="auto" w:sz="4" w:space="0"/>
            </w:tcBorders>
            <w:vAlign w:val="center"/>
          </w:tcPr>
          <w:p w14:paraId="7C247A84">
            <w:r>
              <w:rPr>
                <w:rFonts w:hint="eastAsia"/>
              </w:rPr>
              <w:t>≥</w:t>
            </w:r>
          </w:p>
          <w:p w14:paraId="682F7C37">
            <w:r>
              <w:t>95%</w:t>
            </w:r>
          </w:p>
        </w:tc>
        <w:tc>
          <w:tcPr>
            <w:tcW w:w="802" w:type="dxa"/>
            <w:tcBorders>
              <w:top w:val="single" w:color="auto" w:sz="4" w:space="0"/>
              <w:bottom w:val="single" w:color="auto" w:sz="4" w:space="0"/>
            </w:tcBorders>
            <w:vAlign w:val="center"/>
          </w:tcPr>
          <w:p w14:paraId="07C95029">
            <w:r>
              <w:rPr>
                <w:rFonts w:hint="eastAsia"/>
              </w:rPr>
              <w:t>≥</w:t>
            </w:r>
          </w:p>
          <w:p w14:paraId="78E3B8E0">
            <w:r>
              <w:t>90%</w:t>
            </w:r>
          </w:p>
        </w:tc>
        <w:tc>
          <w:tcPr>
            <w:tcW w:w="803" w:type="dxa"/>
            <w:tcBorders>
              <w:top w:val="single" w:color="auto" w:sz="4" w:space="0"/>
              <w:bottom w:val="single" w:color="auto" w:sz="4" w:space="0"/>
            </w:tcBorders>
            <w:vAlign w:val="center"/>
          </w:tcPr>
          <w:p w14:paraId="6C817B8D">
            <w:r>
              <w:rPr>
                <w:rFonts w:hint="eastAsia"/>
              </w:rPr>
              <w:t>＜</w:t>
            </w:r>
          </w:p>
          <w:p w14:paraId="4DD79016">
            <w:r>
              <w:t>90%</w:t>
            </w:r>
          </w:p>
        </w:tc>
      </w:tr>
      <w:tr w14:paraId="2FBFA6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69" w:hRule="atLeast"/>
          <w:jc w:val="center"/>
        </w:trPr>
        <w:tc>
          <w:tcPr>
            <w:tcW w:w="2324" w:type="dxa"/>
            <w:vMerge w:val="continue"/>
            <w:vAlign w:val="center"/>
          </w:tcPr>
          <w:p w14:paraId="5AB88B65">
            <w:pPr>
              <w:spacing w:line="300" w:lineRule="exact"/>
              <w:jc w:val="left"/>
              <w:rPr>
                <w:rFonts w:ascii="宋体"/>
                <w:b/>
                <w:sz w:val="24"/>
                <w:szCs w:val="24"/>
              </w:rPr>
            </w:pPr>
          </w:p>
        </w:tc>
        <w:tc>
          <w:tcPr>
            <w:tcW w:w="1293" w:type="dxa"/>
            <w:vMerge w:val="continue"/>
            <w:vAlign w:val="center"/>
          </w:tcPr>
          <w:p w14:paraId="0CDDE071">
            <w:pPr>
              <w:spacing w:line="300" w:lineRule="exact"/>
              <w:jc w:val="left"/>
              <w:rPr>
                <w:rFonts w:ascii="宋体"/>
                <w:sz w:val="24"/>
                <w:szCs w:val="24"/>
              </w:rPr>
            </w:pPr>
          </w:p>
        </w:tc>
        <w:tc>
          <w:tcPr>
            <w:tcW w:w="2802" w:type="dxa"/>
            <w:vMerge w:val="continue"/>
            <w:vAlign w:val="center"/>
          </w:tcPr>
          <w:p w14:paraId="0D61C161"/>
        </w:tc>
        <w:tc>
          <w:tcPr>
            <w:tcW w:w="2835" w:type="dxa"/>
            <w:vMerge w:val="continue"/>
            <w:vAlign w:val="center"/>
          </w:tcPr>
          <w:p w14:paraId="61CF309E"/>
        </w:tc>
        <w:tc>
          <w:tcPr>
            <w:tcW w:w="1470" w:type="dxa"/>
            <w:tcBorders>
              <w:top w:val="single" w:color="auto" w:sz="4" w:space="0"/>
            </w:tcBorders>
            <w:vAlign w:val="center"/>
          </w:tcPr>
          <w:p w14:paraId="1335ABE4">
            <w:r>
              <w:rPr>
                <w:rFonts w:hint="eastAsia"/>
              </w:rPr>
              <w:t>征集国内外有关的档案进馆工作完成率</w:t>
            </w:r>
          </w:p>
        </w:tc>
        <w:tc>
          <w:tcPr>
            <w:tcW w:w="802" w:type="dxa"/>
            <w:tcBorders>
              <w:top w:val="single" w:color="auto" w:sz="4" w:space="0"/>
            </w:tcBorders>
            <w:vAlign w:val="center"/>
          </w:tcPr>
          <w:p w14:paraId="5F2B8683">
            <w:r>
              <w:rPr>
                <w:rFonts w:hint="eastAsia"/>
              </w:rPr>
              <w:t>≥</w:t>
            </w:r>
            <w:r>
              <w:t>100%</w:t>
            </w:r>
          </w:p>
        </w:tc>
        <w:tc>
          <w:tcPr>
            <w:tcW w:w="803" w:type="dxa"/>
            <w:tcBorders>
              <w:top w:val="single" w:color="auto" w:sz="4" w:space="0"/>
            </w:tcBorders>
            <w:vAlign w:val="center"/>
          </w:tcPr>
          <w:p w14:paraId="35058E37">
            <w:r>
              <w:rPr>
                <w:rFonts w:hint="eastAsia"/>
              </w:rPr>
              <w:t>≥</w:t>
            </w:r>
          </w:p>
          <w:p w14:paraId="1349AC46">
            <w:r>
              <w:t>95%</w:t>
            </w:r>
          </w:p>
        </w:tc>
        <w:tc>
          <w:tcPr>
            <w:tcW w:w="802" w:type="dxa"/>
            <w:tcBorders>
              <w:top w:val="single" w:color="auto" w:sz="4" w:space="0"/>
            </w:tcBorders>
            <w:vAlign w:val="center"/>
          </w:tcPr>
          <w:p w14:paraId="2BCF40E3">
            <w:r>
              <w:rPr>
                <w:rFonts w:hint="eastAsia"/>
              </w:rPr>
              <w:t>≥</w:t>
            </w:r>
          </w:p>
          <w:p w14:paraId="761F6241">
            <w:r>
              <w:t>90%</w:t>
            </w:r>
          </w:p>
        </w:tc>
        <w:tc>
          <w:tcPr>
            <w:tcW w:w="803" w:type="dxa"/>
            <w:tcBorders>
              <w:top w:val="single" w:color="auto" w:sz="4" w:space="0"/>
            </w:tcBorders>
            <w:vAlign w:val="center"/>
          </w:tcPr>
          <w:p w14:paraId="6EAC8134">
            <w:r>
              <w:rPr>
                <w:rFonts w:hint="eastAsia"/>
              </w:rPr>
              <w:t>＜</w:t>
            </w:r>
          </w:p>
          <w:p w14:paraId="1CAF55A3">
            <w:r>
              <w:t>90%</w:t>
            </w:r>
          </w:p>
        </w:tc>
      </w:tr>
      <w:tr w14:paraId="574BB5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371" w:hRule="atLeast"/>
          <w:jc w:val="center"/>
        </w:trPr>
        <w:tc>
          <w:tcPr>
            <w:tcW w:w="2324" w:type="dxa"/>
            <w:vMerge w:val="restart"/>
            <w:vAlign w:val="center"/>
          </w:tcPr>
          <w:p w14:paraId="2FD70EED">
            <w:pPr>
              <w:spacing w:line="300" w:lineRule="exact"/>
              <w:jc w:val="left"/>
              <w:rPr>
                <w:rFonts w:ascii="宋体"/>
                <w:b/>
                <w:sz w:val="24"/>
                <w:szCs w:val="24"/>
              </w:rPr>
            </w:pPr>
            <w:r>
              <w:rPr>
                <w:rFonts w:ascii="宋体" w:hAnsi="宋体"/>
                <w:b/>
                <w:sz w:val="24"/>
                <w:szCs w:val="24"/>
              </w:rPr>
              <w:t>2</w:t>
            </w:r>
            <w:r>
              <w:rPr>
                <w:rFonts w:hint="eastAsia" w:ascii="宋体" w:hAnsi="宋体"/>
                <w:b/>
                <w:sz w:val="24"/>
                <w:szCs w:val="24"/>
              </w:rPr>
              <w:t>、档案保管</w:t>
            </w:r>
          </w:p>
        </w:tc>
        <w:tc>
          <w:tcPr>
            <w:tcW w:w="1293" w:type="dxa"/>
            <w:vMerge w:val="restart"/>
            <w:vAlign w:val="center"/>
          </w:tcPr>
          <w:p w14:paraId="0C3E210B">
            <w:pPr>
              <w:spacing w:line="300" w:lineRule="exact"/>
              <w:jc w:val="left"/>
              <w:rPr>
                <w:rFonts w:ascii="宋体" w:hAnsi="宋体"/>
                <w:sz w:val="24"/>
                <w:szCs w:val="24"/>
              </w:rPr>
            </w:pPr>
            <w:r>
              <w:rPr>
                <w:rFonts w:hint="eastAsia" w:ascii="宋体" w:hAnsi="宋体"/>
                <w:sz w:val="24"/>
                <w:szCs w:val="24"/>
              </w:rPr>
              <w:t>39.5</w:t>
            </w:r>
          </w:p>
        </w:tc>
        <w:tc>
          <w:tcPr>
            <w:tcW w:w="2802" w:type="dxa"/>
            <w:vMerge w:val="restart"/>
            <w:vAlign w:val="center"/>
          </w:tcPr>
          <w:p w14:paraId="13DC455A">
            <w:r>
              <w:rPr>
                <w:rFonts w:hint="eastAsia"/>
              </w:rPr>
              <w:t>加强前馆和后库档案库房管理，提高全市档案馆室建设水平</w:t>
            </w:r>
            <w:r>
              <w:t>,</w:t>
            </w:r>
            <w:r>
              <w:rPr>
                <w:rFonts w:hint="eastAsia"/>
              </w:rPr>
              <w:t>做好重点档案抢救和保护，加强全市档案信息化，各类数据库建设，数字化加工、转换、备份，信息安全等级保护工作及特殊载体保管。</w:t>
            </w:r>
          </w:p>
        </w:tc>
        <w:tc>
          <w:tcPr>
            <w:tcW w:w="2835" w:type="dxa"/>
            <w:vMerge w:val="restart"/>
            <w:vAlign w:val="center"/>
          </w:tcPr>
          <w:p w14:paraId="35902A73">
            <w:r>
              <w:rPr>
                <w:rFonts w:hint="eastAsia"/>
              </w:rPr>
              <w:t>应用各种技术手段，对档案资料进行管护和数字化转换，档案保管环境和保障条件进一步优化，维护档案状况，确保机关和档案绝对安全。重现档案原貌，最大限度地延长档案寿命，做好档案目录数据库建设。建立专题档案全文数据库，便于开发利用，为社会公众服务。</w:t>
            </w:r>
          </w:p>
        </w:tc>
        <w:tc>
          <w:tcPr>
            <w:tcW w:w="1470" w:type="dxa"/>
            <w:tcBorders>
              <w:bottom w:val="single" w:color="auto" w:sz="4" w:space="0"/>
            </w:tcBorders>
            <w:vAlign w:val="center"/>
          </w:tcPr>
          <w:p w14:paraId="7A3CD78E">
            <w:r>
              <w:rPr>
                <w:rFonts w:hint="eastAsia"/>
              </w:rPr>
              <w:t>信息安全等级保护工作及特殊载体保管工作完成率</w:t>
            </w:r>
          </w:p>
        </w:tc>
        <w:tc>
          <w:tcPr>
            <w:tcW w:w="802" w:type="dxa"/>
            <w:tcBorders>
              <w:bottom w:val="single" w:color="auto" w:sz="4" w:space="0"/>
            </w:tcBorders>
            <w:vAlign w:val="center"/>
          </w:tcPr>
          <w:p w14:paraId="53BC5713">
            <w:r>
              <w:rPr>
                <w:rFonts w:hint="eastAsia"/>
              </w:rPr>
              <w:t>≥</w:t>
            </w:r>
            <w:r>
              <w:t>100%</w:t>
            </w:r>
          </w:p>
        </w:tc>
        <w:tc>
          <w:tcPr>
            <w:tcW w:w="803" w:type="dxa"/>
            <w:tcBorders>
              <w:bottom w:val="single" w:color="auto" w:sz="4" w:space="0"/>
            </w:tcBorders>
            <w:vAlign w:val="center"/>
          </w:tcPr>
          <w:p w14:paraId="0A20DA0A">
            <w:r>
              <w:rPr>
                <w:rFonts w:hint="eastAsia"/>
              </w:rPr>
              <w:t>≥</w:t>
            </w:r>
          </w:p>
          <w:p w14:paraId="4A1DEA17">
            <w:r>
              <w:t>95%</w:t>
            </w:r>
          </w:p>
        </w:tc>
        <w:tc>
          <w:tcPr>
            <w:tcW w:w="802" w:type="dxa"/>
            <w:tcBorders>
              <w:bottom w:val="single" w:color="auto" w:sz="4" w:space="0"/>
            </w:tcBorders>
            <w:vAlign w:val="center"/>
          </w:tcPr>
          <w:p w14:paraId="15810F10">
            <w:r>
              <w:rPr>
                <w:rFonts w:hint="eastAsia"/>
              </w:rPr>
              <w:t>≥</w:t>
            </w:r>
          </w:p>
          <w:p w14:paraId="288532B2">
            <w:r>
              <w:t>90%</w:t>
            </w:r>
          </w:p>
        </w:tc>
        <w:tc>
          <w:tcPr>
            <w:tcW w:w="803" w:type="dxa"/>
            <w:tcBorders>
              <w:bottom w:val="single" w:color="auto" w:sz="4" w:space="0"/>
            </w:tcBorders>
            <w:vAlign w:val="center"/>
          </w:tcPr>
          <w:p w14:paraId="368C508C">
            <w:r>
              <w:rPr>
                <w:rFonts w:hint="eastAsia"/>
              </w:rPr>
              <w:t>＜</w:t>
            </w:r>
          </w:p>
          <w:p w14:paraId="0AFF8892">
            <w:r>
              <w:t>90%</w:t>
            </w:r>
          </w:p>
        </w:tc>
      </w:tr>
      <w:tr w14:paraId="469BC2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jc w:val="center"/>
        </w:trPr>
        <w:tc>
          <w:tcPr>
            <w:tcW w:w="2324" w:type="dxa"/>
            <w:vMerge w:val="continue"/>
            <w:vAlign w:val="center"/>
          </w:tcPr>
          <w:p w14:paraId="3269C48F">
            <w:pPr>
              <w:spacing w:line="300" w:lineRule="exact"/>
              <w:jc w:val="left"/>
              <w:rPr>
                <w:rFonts w:ascii="宋体"/>
                <w:b/>
                <w:sz w:val="24"/>
                <w:szCs w:val="24"/>
              </w:rPr>
            </w:pPr>
          </w:p>
        </w:tc>
        <w:tc>
          <w:tcPr>
            <w:tcW w:w="1293" w:type="dxa"/>
            <w:vMerge w:val="continue"/>
            <w:vAlign w:val="center"/>
          </w:tcPr>
          <w:p w14:paraId="56DEC624">
            <w:pPr>
              <w:spacing w:line="300" w:lineRule="exact"/>
              <w:jc w:val="left"/>
              <w:rPr>
                <w:rFonts w:ascii="宋体"/>
                <w:sz w:val="24"/>
                <w:szCs w:val="24"/>
              </w:rPr>
            </w:pPr>
          </w:p>
        </w:tc>
        <w:tc>
          <w:tcPr>
            <w:tcW w:w="2802" w:type="dxa"/>
            <w:vMerge w:val="continue"/>
            <w:vAlign w:val="center"/>
          </w:tcPr>
          <w:p w14:paraId="04B2331A"/>
        </w:tc>
        <w:tc>
          <w:tcPr>
            <w:tcW w:w="2835" w:type="dxa"/>
            <w:vMerge w:val="continue"/>
            <w:vAlign w:val="center"/>
          </w:tcPr>
          <w:p w14:paraId="02ED1730"/>
        </w:tc>
        <w:tc>
          <w:tcPr>
            <w:tcW w:w="1470" w:type="dxa"/>
            <w:tcBorders>
              <w:top w:val="single" w:color="auto" w:sz="4" w:space="0"/>
              <w:bottom w:val="single" w:color="auto" w:sz="4" w:space="0"/>
            </w:tcBorders>
            <w:vAlign w:val="center"/>
          </w:tcPr>
          <w:p w14:paraId="3A4420F2">
            <w:r>
              <w:rPr>
                <w:rFonts w:hint="eastAsia"/>
              </w:rPr>
              <w:t>档案设施设备完好率</w:t>
            </w:r>
          </w:p>
        </w:tc>
        <w:tc>
          <w:tcPr>
            <w:tcW w:w="802" w:type="dxa"/>
            <w:tcBorders>
              <w:top w:val="single" w:color="auto" w:sz="4" w:space="0"/>
              <w:bottom w:val="single" w:color="auto" w:sz="4" w:space="0"/>
            </w:tcBorders>
            <w:vAlign w:val="center"/>
          </w:tcPr>
          <w:p w14:paraId="5A0AA1D6">
            <w:r>
              <w:rPr>
                <w:rFonts w:hint="eastAsia"/>
              </w:rPr>
              <w:t>≥</w:t>
            </w:r>
            <w:r>
              <w:t>100%</w:t>
            </w:r>
          </w:p>
        </w:tc>
        <w:tc>
          <w:tcPr>
            <w:tcW w:w="803" w:type="dxa"/>
            <w:tcBorders>
              <w:top w:val="single" w:color="auto" w:sz="4" w:space="0"/>
              <w:bottom w:val="single" w:color="auto" w:sz="4" w:space="0"/>
            </w:tcBorders>
            <w:vAlign w:val="center"/>
          </w:tcPr>
          <w:p w14:paraId="034C5330">
            <w:r>
              <w:rPr>
                <w:rFonts w:hint="eastAsia"/>
              </w:rPr>
              <w:t>≥</w:t>
            </w:r>
          </w:p>
          <w:p w14:paraId="0CAC1C26">
            <w:r>
              <w:t>95%</w:t>
            </w:r>
          </w:p>
        </w:tc>
        <w:tc>
          <w:tcPr>
            <w:tcW w:w="802" w:type="dxa"/>
            <w:tcBorders>
              <w:top w:val="single" w:color="auto" w:sz="4" w:space="0"/>
              <w:bottom w:val="single" w:color="auto" w:sz="4" w:space="0"/>
            </w:tcBorders>
            <w:vAlign w:val="center"/>
          </w:tcPr>
          <w:p w14:paraId="74406D16">
            <w:r>
              <w:rPr>
                <w:rFonts w:hint="eastAsia"/>
              </w:rPr>
              <w:t>≥</w:t>
            </w:r>
          </w:p>
          <w:p w14:paraId="112F7AC8">
            <w:r>
              <w:t>90%</w:t>
            </w:r>
          </w:p>
        </w:tc>
        <w:tc>
          <w:tcPr>
            <w:tcW w:w="803" w:type="dxa"/>
            <w:tcBorders>
              <w:top w:val="single" w:color="auto" w:sz="4" w:space="0"/>
              <w:bottom w:val="single" w:color="auto" w:sz="4" w:space="0"/>
            </w:tcBorders>
            <w:vAlign w:val="center"/>
          </w:tcPr>
          <w:p w14:paraId="40D5E5D9">
            <w:r>
              <w:rPr>
                <w:rFonts w:hint="eastAsia"/>
              </w:rPr>
              <w:t>＜</w:t>
            </w:r>
          </w:p>
          <w:p w14:paraId="3F2F7F4C">
            <w:r>
              <w:t>90%</w:t>
            </w:r>
          </w:p>
        </w:tc>
      </w:tr>
      <w:tr w14:paraId="6F703E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5" w:hRule="atLeast"/>
          <w:jc w:val="center"/>
        </w:trPr>
        <w:tc>
          <w:tcPr>
            <w:tcW w:w="2324" w:type="dxa"/>
            <w:vMerge w:val="continue"/>
            <w:vAlign w:val="center"/>
          </w:tcPr>
          <w:p w14:paraId="3108936A">
            <w:pPr>
              <w:spacing w:line="300" w:lineRule="exact"/>
              <w:jc w:val="left"/>
              <w:rPr>
                <w:rFonts w:ascii="宋体"/>
                <w:b/>
                <w:sz w:val="24"/>
                <w:szCs w:val="24"/>
              </w:rPr>
            </w:pPr>
          </w:p>
        </w:tc>
        <w:tc>
          <w:tcPr>
            <w:tcW w:w="1293" w:type="dxa"/>
            <w:vMerge w:val="continue"/>
            <w:vAlign w:val="center"/>
          </w:tcPr>
          <w:p w14:paraId="3F0B3422">
            <w:pPr>
              <w:spacing w:line="300" w:lineRule="exact"/>
              <w:jc w:val="left"/>
              <w:rPr>
                <w:rFonts w:ascii="宋体"/>
                <w:sz w:val="24"/>
                <w:szCs w:val="24"/>
              </w:rPr>
            </w:pPr>
          </w:p>
        </w:tc>
        <w:tc>
          <w:tcPr>
            <w:tcW w:w="2802" w:type="dxa"/>
            <w:vMerge w:val="continue"/>
            <w:vAlign w:val="center"/>
          </w:tcPr>
          <w:p w14:paraId="09EC994F"/>
        </w:tc>
        <w:tc>
          <w:tcPr>
            <w:tcW w:w="2835" w:type="dxa"/>
            <w:vMerge w:val="continue"/>
            <w:vAlign w:val="center"/>
          </w:tcPr>
          <w:p w14:paraId="69B871C3"/>
        </w:tc>
        <w:tc>
          <w:tcPr>
            <w:tcW w:w="1470" w:type="dxa"/>
            <w:tcBorders>
              <w:top w:val="single" w:color="auto" w:sz="4" w:space="0"/>
              <w:bottom w:val="single" w:color="auto" w:sz="4" w:space="0"/>
            </w:tcBorders>
            <w:vAlign w:val="center"/>
          </w:tcPr>
          <w:p w14:paraId="46B2C81D">
            <w:r>
              <w:rPr>
                <w:rFonts w:hint="eastAsia"/>
              </w:rPr>
              <w:t>专题档案全文数据库建设工作完成率</w:t>
            </w:r>
          </w:p>
        </w:tc>
        <w:tc>
          <w:tcPr>
            <w:tcW w:w="802" w:type="dxa"/>
            <w:tcBorders>
              <w:top w:val="single" w:color="auto" w:sz="4" w:space="0"/>
              <w:bottom w:val="single" w:color="auto" w:sz="4" w:space="0"/>
            </w:tcBorders>
            <w:vAlign w:val="center"/>
          </w:tcPr>
          <w:p w14:paraId="7E673E8B">
            <w:r>
              <w:rPr>
                <w:rFonts w:hint="eastAsia"/>
              </w:rPr>
              <w:t>≥</w:t>
            </w:r>
            <w:r>
              <w:t>100%</w:t>
            </w:r>
          </w:p>
        </w:tc>
        <w:tc>
          <w:tcPr>
            <w:tcW w:w="803" w:type="dxa"/>
            <w:tcBorders>
              <w:top w:val="single" w:color="auto" w:sz="4" w:space="0"/>
              <w:bottom w:val="single" w:color="auto" w:sz="4" w:space="0"/>
            </w:tcBorders>
            <w:vAlign w:val="center"/>
          </w:tcPr>
          <w:p w14:paraId="3FA0E417">
            <w:r>
              <w:rPr>
                <w:rFonts w:hint="eastAsia"/>
              </w:rPr>
              <w:t>≥</w:t>
            </w:r>
          </w:p>
          <w:p w14:paraId="1AB0F57B">
            <w:r>
              <w:t>95%</w:t>
            </w:r>
          </w:p>
        </w:tc>
        <w:tc>
          <w:tcPr>
            <w:tcW w:w="802" w:type="dxa"/>
            <w:tcBorders>
              <w:top w:val="single" w:color="auto" w:sz="4" w:space="0"/>
              <w:bottom w:val="single" w:color="auto" w:sz="4" w:space="0"/>
            </w:tcBorders>
            <w:vAlign w:val="center"/>
          </w:tcPr>
          <w:p w14:paraId="71706F47">
            <w:r>
              <w:rPr>
                <w:rFonts w:hint="eastAsia"/>
              </w:rPr>
              <w:t>≥</w:t>
            </w:r>
          </w:p>
          <w:p w14:paraId="53367E10">
            <w:r>
              <w:t>90%</w:t>
            </w:r>
          </w:p>
        </w:tc>
        <w:tc>
          <w:tcPr>
            <w:tcW w:w="803" w:type="dxa"/>
            <w:tcBorders>
              <w:top w:val="single" w:color="auto" w:sz="4" w:space="0"/>
              <w:bottom w:val="single" w:color="auto" w:sz="4" w:space="0"/>
            </w:tcBorders>
            <w:vAlign w:val="center"/>
          </w:tcPr>
          <w:p w14:paraId="7686B789">
            <w:r>
              <w:rPr>
                <w:rFonts w:hint="eastAsia"/>
              </w:rPr>
              <w:t>＜</w:t>
            </w:r>
          </w:p>
          <w:p w14:paraId="085D48E1">
            <w:r>
              <w:t>90%</w:t>
            </w:r>
          </w:p>
        </w:tc>
      </w:tr>
      <w:tr w14:paraId="6F6835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335" w:hRule="atLeast"/>
          <w:jc w:val="center"/>
        </w:trPr>
        <w:tc>
          <w:tcPr>
            <w:tcW w:w="2324" w:type="dxa"/>
            <w:vMerge w:val="continue"/>
            <w:vAlign w:val="center"/>
          </w:tcPr>
          <w:p w14:paraId="7C11DF88">
            <w:pPr>
              <w:spacing w:line="300" w:lineRule="exact"/>
              <w:jc w:val="left"/>
              <w:rPr>
                <w:rFonts w:ascii="宋体"/>
                <w:b/>
                <w:sz w:val="24"/>
                <w:szCs w:val="24"/>
              </w:rPr>
            </w:pPr>
          </w:p>
        </w:tc>
        <w:tc>
          <w:tcPr>
            <w:tcW w:w="1293" w:type="dxa"/>
            <w:vMerge w:val="continue"/>
            <w:vAlign w:val="center"/>
          </w:tcPr>
          <w:p w14:paraId="3AB6BC0C">
            <w:pPr>
              <w:spacing w:line="300" w:lineRule="exact"/>
              <w:jc w:val="left"/>
              <w:rPr>
                <w:rFonts w:ascii="宋体"/>
                <w:sz w:val="24"/>
                <w:szCs w:val="24"/>
              </w:rPr>
            </w:pPr>
          </w:p>
        </w:tc>
        <w:tc>
          <w:tcPr>
            <w:tcW w:w="2802" w:type="dxa"/>
            <w:vMerge w:val="continue"/>
            <w:vAlign w:val="center"/>
          </w:tcPr>
          <w:p w14:paraId="23BBF480"/>
        </w:tc>
        <w:tc>
          <w:tcPr>
            <w:tcW w:w="2835" w:type="dxa"/>
            <w:vMerge w:val="continue"/>
            <w:vAlign w:val="center"/>
          </w:tcPr>
          <w:p w14:paraId="15FE0444"/>
        </w:tc>
        <w:tc>
          <w:tcPr>
            <w:tcW w:w="1470" w:type="dxa"/>
            <w:tcBorders>
              <w:top w:val="single" w:color="auto" w:sz="4" w:space="0"/>
              <w:bottom w:val="single" w:color="auto" w:sz="4" w:space="0"/>
            </w:tcBorders>
            <w:vAlign w:val="center"/>
          </w:tcPr>
          <w:p w14:paraId="55F9CE2E">
            <w:r>
              <w:rPr>
                <w:rFonts w:hint="eastAsia"/>
              </w:rPr>
              <w:t>国家重点档案目录数据库建设工作完成率</w:t>
            </w:r>
          </w:p>
        </w:tc>
        <w:tc>
          <w:tcPr>
            <w:tcW w:w="802" w:type="dxa"/>
            <w:tcBorders>
              <w:top w:val="single" w:color="auto" w:sz="4" w:space="0"/>
              <w:bottom w:val="single" w:color="auto" w:sz="4" w:space="0"/>
            </w:tcBorders>
            <w:vAlign w:val="center"/>
          </w:tcPr>
          <w:p w14:paraId="1A8E4288">
            <w:r>
              <w:rPr>
                <w:rFonts w:hint="eastAsia"/>
              </w:rPr>
              <w:t>≥</w:t>
            </w:r>
            <w:r>
              <w:t>100%</w:t>
            </w:r>
          </w:p>
        </w:tc>
        <w:tc>
          <w:tcPr>
            <w:tcW w:w="803" w:type="dxa"/>
            <w:tcBorders>
              <w:top w:val="single" w:color="auto" w:sz="4" w:space="0"/>
              <w:bottom w:val="single" w:color="auto" w:sz="4" w:space="0"/>
            </w:tcBorders>
            <w:vAlign w:val="center"/>
          </w:tcPr>
          <w:p w14:paraId="50F096EE">
            <w:r>
              <w:rPr>
                <w:rFonts w:hint="eastAsia"/>
              </w:rPr>
              <w:t>≥</w:t>
            </w:r>
          </w:p>
          <w:p w14:paraId="40D2C505">
            <w:r>
              <w:t>85%</w:t>
            </w:r>
          </w:p>
        </w:tc>
        <w:tc>
          <w:tcPr>
            <w:tcW w:w="802" w:type="dxa"/>
            <w:tcBorders>
              <w:top w:val="single" w:color="auto" w:sz="4" w:space="0"/>
              <w:bottom w:val="single" w:color="auto" w:sz="4" w:space="0"/>
            </w:tcBorders>
            <w:vAlign w:val="center"/>
          </w:tcPr>
          <w:p w14:paraId="098E0472">
            <w:r>
              <w:rPr>
                <w:rFonts w:hint="eastAsia"/>
              </w:rPr>
              <w:t>≥</w:t>
            </w:r>
          </w:p>
          <w:p w14:paraId="0264D1B9">
            <w:r>
              <w:t>80%</w:t>
            </w:r>
          </w:p>
        </w:tc>
        <w:tc>
          <w:tcPr>
            <w:tcW w:w="803" w:type="dxa"/>
            <w:tcBorders>
              <w:top w:val="single" w:color="auto" w:sz="4" w:space="0"/>
              <w:bottom w:val="single" w:color="auto" w:sz="4" w:space="0"/>
            </w:tcBorders>
            <w:vAlign w:val="center"/>
          </w:tcPr>
          <w:p w14:paraId="39E3E490">
            <w:r>
              <w:rPr>
                <w:rFonts w:hint="eastAsia"/>
              </w:rPr>
              <w:t>＜</w:t>
            </w:r>
          </w:p>
          <w:p w14:paraId="6863FE4E">
            <w:r>
              <w:t>75%</w:t>
            </w:r>
          </w:p>
        </w:tc>
      </w:tr>
      <w:tr w14:paraId="1B40A3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48" w:hRule="atLeast"/>
          <w:jc w:val="center"/>
        </w:trPr>
        <w:tc>
          <w:tcPr>
            <w:tcW w:w="2324" w:type="dxa"/>
            <w:vMerge w:val="continue"/>
            <w:vAlign w:val="center"/>
          </w:tcPr>
          <w:p w14:paraId="3BE2B687">
            <w:pPr>
              <w:spacing w:line="300" w:lineRule="exact"/>
              <w:jc w:val="left"/>
              <w:rPr>
                <w:rFonts w:ascii="宋体"/>
                <w:b/>
                <w:sz w:val="24"/>
                <w:szCs w:val="24"/>
              </w:rPr>
            </w:pPr>
          </w:p>
        </w:tc>
        <w:tc>
          <w:tcPr>
            <w:tcW w:w="1293" w:type="dxa"/>
            <w:vMerge w:val="continue"/>
            <w:vAlign w:val="center"/>
          </w:tcPr>
          <w:p w14:paraId="4340066E">
            <w:pPr>
              <w:spacing w:line="300" w:lineRule="exact"/>
              <w:jc w:val="left"/>
              <w:rPr>
                <w:rFonts w:ascii="宋体"/>
                <w:sz w:val="24"/>
                <w:szCs w:val="24"/>
              </w:rPr>
            </w:pPr>
          </w:p>
        </w:tc>
        <w:tc>
          <w:tcPr>
            <w:tcW w:w="2802" w:type="dxa"/>
            <w:vMerge w:val="continue"/>
            <w:vAlign w:val="center"/>
          </w:tcPr>
          <w:p w14:paraId="330BFA9A"/>
        </w:tc>
        <w:tc>
          <w:tcPr>
            <w:tcW w:w="2835" w:type="dxa"/>
            <w:vMerge w:val="continue"/>
            <w:vAlign w:val="center"/>
          </w:tcPr>
          <w:p w14:paraId="2F1B7D43"/>
        </w:tc>
        <w:tc>
          <w:tcPr>
            <w:tcW w:w="1470" w:type="dxa"/>
            <w:tcBorders>
              <w:top w:val="single" w:color="auto" w:sz="4" w:space="0"/>
              <w:bottom w:val="single" w:color="auto" w:sz="4" w:space="0"/>
            </w:tcBorders>
            <w:vAlign w:val="center"/>
          </w:tcPr>
          <w:p w14:paraId="206E71D7">
            <w:r>
              <w:rPr>
                <w:rFonts w:hint="eastAsia"/>
              </w:rPr>
              <w:t>档案资料完好率</w:t>
            </w:r>
          </w:p>
        </w:tc>
        <w:tc>
          <w:tcPr>
            <w:tcW w:w="802" w:type="dxa"/>
            <w:tcBorders>
              <w:top w:val="single" w:color="auto" w:sz="4" w:space="0"/>
              <w:bottom w:val="single" w:color="auto" w:sz="4" w:space="0"/>
            </w:tcBorders>
            <w:vAlign w:val="center"/>
          </w:tcPr>
          <w:p w14:paraId="3A956990">
            <w:r>
              <w:rPr>
                <w:rFonts w:hint="eastAsia"/>
              </w:rPr>
              <w:t>≥</w:t>
            </w:r>
            <w:r>
              <w:t>100%</w:t>
            </w:r>
          </w:p>
        </w:tc>
        <w:tc>
          <w:tcPr>
            <w:tcW w:w="803" w:type="dxa"/>
            <w:tcBorders>
              <w:top w:val="single" w:color="auto" w:sz="4" w:space="0"/>
              <w:bottom w:val="single" w:color="auto" w:sz="4" w:space="0"/>
            </w:tcBorders>
            <w:vAlign w:val="center"/>
          </w:tcPr>
          <w:p w14:paraId="5A40D234">
            <w:r>
              <w:rPr>
                <w:rFonts w:hint="eastAsia"/>
              </w:rPr>
              <w:t>≥</w:t>
            </w:r>
          </w:p>
          <w:p w14:paraId="386836C0">
            <w:r>
              <w:t>95%</w:t>
            </w:r>
          </w:p>
        </w:tc>
        <w:tc>
          <w:tcPr>
            <w:tcW w:w="802" w:type="dxa"/>
            <w:tcBorders>
              <w:top w:val="single" w:color="auto" w:sz="4" w:space="0"/>
              <w:bottom w:val="single" w:color="auto" w:sz="4" w:space="0"/>
            </w:tcBorders>
            <w:vAlign w:val="center"/>
          </w:tcPr>
          <w:p w14:paraId="4179656F">
            <w:r>
              <w:rPr>
                <w:rFonts w:hint="eastAsia"/>
              </w:rPr>
              <w:t>≥</w:t>
            </w:r>
          </w:p>
          <w:p w14:paraId="125417B4">
            <w:r>
              <w:t>90%</w:t>
            </w:r>
          </w:p>
        </w:tc>
        <w:tc>
          <w:tcPr>
            <w:tcW w:w="803" w:type="dxa"/>
            <w:tcBorders>
              <w:top w:val="single" w:color="auto" w:sz="4" w:space="0"/>
              <w:bottom w:val="single" w:color="auto" w:sz="4" w:space="0"/>
            </w:tcBorders>
            <w:vAlign w:val="center"/>
          </w:tcPr>
          <w:p w14:paraId="35347B95">
            <w:r>
              <w:rPr>
                <w:rFonts w:hint="eastAsia"/>
              </w:rPr>
              <w:t>＜</w:t>
            </w:r>
          </w:p>
          <w:p w14:paraId="398CB7CC">
            <w:r>
              <w:t>90%</w:t>
            </w:r>
          </w:p>
        </w:tc>
      </w:tr>
      <w:tr w14:paraId="55DD64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75" w:hRule="atLeast"/>
          <w:jc w:val="center"/>
        </w:trPr>
        <w:tc>
          <w:tcPr>
            <w:tcW w:w="2324" w:type="dxa"/>
            <w:vMerge w:val="restart"/>
            <w:vAlign w:val="center"/>
          </w:tcPr>
          <w:p w14:paraId="76F25194">
            <w:pPr>
              <w:spacing w:line="300" w:lineRule="exact"/>
              <w:jc w:val="center"/>
              <w:rPr>
                <w:rFonts w:ascii="宋体"/>
                <w:b/>
                <w:sz w:val="24"/>
                <w:szCs w:val="24"/>
              </w:rPr>
            </w:pPr>
            <w:r>
              <w:rPr>
                <w:rFonts w:ascii="宋体" w:hAnsi="宋体"/>
                <w:b/>
                <w:sz w:val="24"/>
                <w:szCs w:val="24"/>
              </w:rPr>
              <w:t>3</w:t>
            </w:r>
            <w:r>
              <w:rPr>
                <w:rFonts w:hint="eastAsia" w:ascii="宋体" w:hAnsi="宋体"/>
                <w:b/>
                <w:sz w:val="24"/>
                <w:szCs w:val="24"/>
              </w:rPr>
              <w:t>、档案编研开发</w:t>
            </w:r>
          </w:p>
          <w:p w14:paraId="4188D197">
            <w:pPr>
              <w:spacing w:line="300" w:lineRule="exact"/>
              <w:jc w:val="left"/>
              <w:rPr>
                <w:rFonts w:ascii="宋体"/>
                <w:b/>
                <w:sz w:val="24"/>
                <w:szCs w:val="24"/>
              </w:rPr>
            </w:pPr>
          </w:p>
          <w:p w14:paraId="5AD1C5DA">
            <w:pPr>
              <w:spacing w:line="300" w:lineRule="exact"/>
              <w:jc w:val="left"/>
              <w:rPr>
                <w:rFonts w:ascii="宋体"/>
                <w:b/>
                <w:sz w:val="24"/>
                <w:szCs w:val="24"/>
              </w:rPr>
            </w:pPr>
          </w:p>
          <w:p w14:paraId="6733B2FA">
            <w:pPr>
              <w:spacing w:line="300" w:lineRule="exact"/>
              <w:jc w:val="left"/>
              <w:rPr>
                <w:rFonts w:ascii="宋体"/>
                <w:b/>
                <w:sz w:val="24"/>
                <w:szCs w:val="24"/>
              </w:rPr>
            </w:pPr>
          </w:p>
          <w:p w14:paraId="6F226002">
            <w:pPr>
              <w:spacing w:line="300" w:lineRule="exact"/>
              <w:jc w:val="left"/>
              <w:rPr>
                <w:rFonts w:ascii="宋体"/>
                <w:b/>
                <w:sz w:val="24"/>
                <w:szCs w:val="24"/>
              </w:rPr>
            </w:pPr>
          </w:p>
          <w:p w14:paraId="75E2105E">
            <w:pPr>
              <w:spacing w:line="300" w:lineRule="exact"/>
              <w:jc w:val="left"/>
              <w:rPr>
                <w:rFonts w:ascii="宋体"/>
                <w:b/>
                <w:sz w:val="24"/>
                <w:szCs w:val="24"/>
              </w:rPr>
            </w:pPr>
          </w:p>
        </w:tc>
        <w:tc>
          <w:tcPr>
            <w:tcW w:w="1293" w:type="dxa"/>
            <w:vMerge w:val="restart"/>
            <w:vAlign w:val="center"/>
          </w:tcPr>
          <w:p w14:paraId="4DC8B547">
            <w:pPr>
              <w:spacing w:line="300" w:lineRule="exact"/>
              <w:jc w:val="left"/>
              <w:rPr>
                <w:rFonts w:ascii="宋体"/>
                <w:sz w:val="24"/>
                <w:szCs w:val="24"/>
              </w:rPr>
            </w:pPr>
          </w:p>
        </w:tc>
        <w:tc>
          <w:tcPr>
            <w:tcW w:w="2802" w:type="dxa"/>
            <w:vMerge w:val="restart"/>
            <w:vAlign w:val="center"/>
          </w:tcPr>
          <w:p w14:paraId="5D65E595">
            <w:r>
              <w:rPr>
                <w:rFonts w:hint="eastAsia"/>
              </w:rPr>
              <w:t>档案的搜集、征集、整理、汇集、编辑出版物，拍摄有关河北的电视文献纪录片，举办展览，召开经验交流会，翻译珍品档案。对国家重点档案进行深入的开发。</w:t>
            </w:r>
          </w:p>
        </w:tc>
        <w:tc>
          <w:tcPr>
            <w:tcW w:w="2835" w:type="dxa"/>
            <w:vMerge w:val="restart"/>
            <w:vAlign w:val="center"/>
          </w:tcPr>
          <w:p w14:paraId="1A7026D0">
            <w:r>
              <w:rPr>
                <w:rFonts w:hint="eastAsia"/>
              </w:rPr>
              <w:t>挖掘档案的价值，举办展览、拍摄纪录片，编研文化产品，为社会公众服务。</w:t>
            </w:r>
          </w:p>
        </w:tc>
        <w:tc>
          <w:tcPr>
            <w:tcW w:w="1470" w:type="dxa"/>
            <w:tcBorders>
              <w:top w:val="single" w:color="auto" w:sz="4" w:space="0"/>
              <w:bottom w:val="single" w:color="auto" w:sz="4" w:space="0"/>
            </w:tcBorders>
            <w:vAlign w:val="center"/>
          </w:tcPr>
          <w:p w14:paraId="66C68B34">
            <w:r>
              <w:rPr>
                <w:rFonts w:hint="eastAsia"/>
              </w:rPr>
              <w:t>档案编研工作完成率</w:t>
            </w:r>
          </w:p>
        </w:tc>
        <w:tc>
          <w:tcPr>
            <w:tcW w:w="802" w:type="dxa"/>
            <w:tcBorders>
              <w:top w:val="single" w:color="auto" w:sz="4" w:space="0"/>
              <w:bottom w:val="single" w:color="auto" w:sz="4" w:space="0"/>
            </w:tcBorders>
            <w:vAlign w:val="center"/>
          </w:tcPr>
          <w:p w14:paraId="7CB31913">
            <w:r>
              <w:rPr>
                <w:rFonts w:hint="eastAsia"/>
              </w:rPr>
              <w:t>≥</w:t>
            </w:r>
            <w:r>
              <w:t>100%</w:t>
            </w:r>
          </w:p>
        </w:tc>
        <w:tc>
          <w:tcPr>
            <w:tcW w:w="803" w:type="dxa"/>
            <w:tcBorders>
              <w:top w:val="single" w:color="auto" w:sz="4" w:space="0"/>
              <w:bottom w:val="single" w:color="auto" w:sz="4" w:space="0"/>
            </w:tcBorders>
            <w:vAlign w:val="center"/>
          </w:tcPr>
          <w:p w14:paraId="77DF483D">
            <w:r>
              <w:rPr>
                <w:rFonts w:hint="eastAsia"/>
              </w:rPr>
              <w:t>≥</w:t>
            </w:r>
          </w:p>
          <w:p w14:paraId="2C394BE8">
            <w:r>
              <w:t>95%</w:t>
            </w:r>
          </w:p>
        </w:tc>
        <w:tc>
          <w:tcPr>
            <w:tcW w:w="802" w:type="dxa"/>
            <w:tcBorders>
              <w:top w:val="single" w:color="auto" w:sz="4" w:space="0"/>
              <w:bottom w:val="single" w:color="auto" w:sz="4" w:space="0"/>
            </w:tcBorders>
            <w:vAlign w:val="center"/>
          </w:tcPr>
          <w:p w14:paraId="30E9BFEC">
            <w:r>
              <w:rPr>
                <w:rFonts w:hint="eastAsia"/>
              </w:rPr>
              <w:t>≥</w:t>
            </w:r>
          </w:p>
          <w:p w14:paraId="7519A794">
            <w:r>
              <w:t>90%</w:t>
            </w:r>
          </w:p>
        </w:tc>
        <w:tc>
          <w:tcPr>
            <w:tcW w:w="803" w:type="dxa"/>
            <w:tcBorders>
              <w:top w:val="single" w:color="auto" w:sz="4" w:space="0"/>
              <w:bottom w:val="single" w:color="auto" w:sz="4" w:space="0"/>
            </w:tcBorders>
            <w:vAlign w:val="center"/>
          </w:tcPr>
          <w:p w14:paraId="4B953ACD">
            <w:r>
              <w:rPr>
                <w:rFonts w:hint="eastAsia"/>
              </w:rPr>
              <w:t>＜</w:t>
            </w:r>
          </w:p>
          <w:p w14:paraId="5FC9104F">
            <w:r>
              <w:t>90%</w:t>
            </w:r>
          </w:p>
        </w:tc>
      </w:tr>
      <w:tr w14:paraId="541301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569" w:hRule="atLeast"/>
          <w:jc w:val="center"/>
        </w:trPr>
        <w:tc>
          <w:tcPr>
            <w:tcW w:w="2324" w:type="dxa"/>
            <w:vMerge w:val="continue"/>
            <w:vAlign w:val="center"/>
          </w:tcPr>
          <w:p w14:paraId="7BF4A4BD">
            <w:pPr>
              <w:spacing w:line="300" w:lineRule="exact"/>
              <w:jc w:val="left"/>
              <w:rPr>
                <w:rFonts w:ascii="宋体"/>
                <w:b/>
                <w:sz w:val="24"/>
                <w:szCs w:val="24"/>
              </w:rPr>
            </w:pPr>
          </w:p>
        </w:tc>
        <w:tc>
          <w:tcPr>
            <w:tcW w:w="1293" w:type="dxa"/>
            <w:vMerge w:val="continue"/>
            <w:vAlign w:val="center"/>
          </w:tcPr>
          <w:p w14:paraId="566F7DE5">
            <w:pPr>
              <w:spacing w:line="300" w:lineRule="exact"/>
              <w:jc w:val="left"/>
              <w:rPr>
                <w:rFonts w:ascii="宋体"/>
                <w:sz w:val="24"/>
                <w:szCs w:val="24"/>
              </w:rPr>
            </w:pPr>
          </w:p>
        </w:tc>
        <w:tc>
          <w:tcPr>
            <w:tcW w:w="2802" w:type="dxa"/>
            <w:vMerge w:val="continue"/>
            <w:vAlign w:val="center"/>
          </w:tcPr>
          <w:p w14:paraId="5A4C69D7"/>
        </w:tc>
        <w:tc>
          <w:tcPr>
            <w:tcW w:w="2835" w:type="dxa"/>
            <w:vMerge w:val="continue"/>
            <w:vAlign w:val="center"/>
          </w:tcPr>
          <w:p w14:paraId="1146B5A6"/>
        </w:tc>
        <w:tc>
          <w:tcPr>
            <w:tcW w:w="1470" w:type="dxa"/>
            <w:tcBorders>
              <w:top w:val="single" w:color="auto" w:sz="4" w:space="0"/>
              <w:bottom w:val="single" w:color="auto" w:sz="4" w:space="0"/>
            </w:tcBorders>
            <w:vAlign w:val="center"/>
          </w:tcPr>
          <w:p w14:paraId="17DAD4FC">
            <w:r>
              <w:rPr>
                <w:rFonts w:hint="eastAsia"/>
              </w:rPr>
              <w:t>翻译外文档案完成率</w:t>
            </w:r>
          </w:p>
        </w:tc>
        <w:tc>
          <w:tcPr>
            <w:tcW w:w="802" w:type="dxa"/>
            <w:tcBorders>
              <w:top w:val="single" w:color="auto" w:sz="4" w:space="0"/>
            </w:tcBorders>
            <w:vAlign w:val="center"/>
          </w:tcPr>
          <w:p w14:paraId="757ADD9F">
            <w:r>
              <w:rPr>
                <w:rFonts w:hint="eastAsia"/>
              </w:rPr>
              <w:t>≥</w:t>
            </w:r>
            <w:r>
              <w:t>100%</w:t>
            </w:r>
          </w:p>
        </w:tc>
        <w:tc>
          <w:tcPr>
            <w:tcW w:w="803" w:type="dxa"/>
            <w:tcBorders>
              <w:top w:val="single" w:color="auto" w:sz="4" w:space="0"/>
            </w:tcBorders>
            <w:vAlign w:val="center"/>
          </w:tcPr>
          <w:p w14:paraId="7B75D887">
            <w:r>
              <w:rPr>
                <w:rFonts w:hint="eastAsia"/>
              </w:rPr>
              <w:t>≥</w:t>
            </w:r>
          </w:p>
          <w:p w14:paraId="2343BE7F">
            <w:r>
              <w:t>95%</w:t>
            </w:r>
          </w:p>
        </w:tc>
        <w:tc>
          <w:tcPr>
            <w:tcW w:w="802" w:type="dxa"/>
            <w:tcBorders>
              <w:top w:val="single" w:color="auto" w:sz="4" w:space="0"/>
            </w:tcBorders>
            <w:vAlign w:val="center"/>
          </w:tcPr>
          <w:p w14:paraId="2C3B7AB6">
            <w:r>
              <w:rPr>
                <w:rFonts w:hint="eastAsia"/>
              </w:rPr>
              <w:t>≥</w:t>
            </w:r>
          </w:p>
          <w:p w14:paraId="6D1D6106">
            <w:r>
              <w:t>90%</w:t>
            </w:r>
          </w:p>
        </w:tc>
        <w:tc>
          <w:tcPr>
            <w:tcW w:w="803" w:type="dxa"/>
            <w:tcBorders>
              <w:top w:val="single" w:color="auto" w:sz="4" w:space="0"/>
            </w:tcBorders>
            <w:vAlign w:val="center"/>
          </w:tcPr>
          <w:p w14:paraId="5BD52AAA">
            <w:r>
              <w:rPr>
                <w:rFonts w:hint="eastAsia"/>
              </w:rPr>
              <w:t>＜</w:t>
            </w:r>
          </w:p>
          <w:p w14:paraId="2209CCD9">
            <w:r>
              <w:t>90%</w:t>
            </w:r>
          </w:p>
        </w:tc>
      </w:tr>
      <w:tr w14:paraId="0E8FE7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5" w:hRule="atLeast"/>
          <w:jc w:val="center"/>
        </w:trPr>
        <w:tc>
          <w:tcPr>
            <w:tcW w:w="2324" w:type="dxa"/>
            <w:vMerge w:val="continue"/>
            <w:vAlign w:val="center"/>
          </w:tcPr>
          <w:p w14:paraId="7C3A954F">
            <w:pPr>
              <w:spacing w:line="300" w:lineRule="exact"/>
              <w:jc w:val="left"/>
              <w:rPr>
                <w:rFonts w:ascii="宋体"/>
                <w:b/>
                <w:sz w:val="24"/>
                <w:szCs w:val="24"/>
              </w:rPr>
            </w:pPr>
          </w:p>
        </w:tc>
        <w:tc>
          <w:tcPr>
            <w:tcW w:w="1293" w:type="dxa"/>
            <w:vMerge w:val="continue"/>
            <w:vAlign w:val="center"/>
          </w:tcPr>
          <w:p w14:paraId="34EFB0CD">
            <w:pPr>
              <w:spacing w:line="300" w:lineRule="exact"/>
              <w:jc w:val="left"/>
              <w:rPr>
                <w:rFonts w:ascii="宋体"/>
                <w:sz w:val="24"/>
                <w:szCs w:val="24"/>
              </w:rPr>
            </w:pPr>
          </w:p>
        </w:tc>
        <w:tc>
          <w:tcPr>
            <w:tcW w:w="2802" w:type="dxa"/>
            <w:vMerge w:val="continue"/>
            <w:vAlign w:val="center"/>
          </w:tcPr>
          <w:p w14:paraId="48FF5E15"/>
        </w:tc>
        <w:tc>
          <w:tcPr>
            <w:tcW w:w="2835" w:type="dxa"/>
            <w:vMerge w:val="continue"/>
            <w:vAlign w:val="center"/>
          </w:tcPr>
          <w:p w14:paraId="640A788B"/>
        </w:tc>
        <w:tc>
          <w:tcPr>
            <w:tcW w:w="1470" w:type="dxa"/>
            <w:tcBorders>
              <w:top w:val="single" w:color="auto" w:sz="4" w:space="0"/>
              <w:bottom w:val="single" w:color="auto" w:sz="4" w:space="0"/>
            </w:tcBorders>
            <w:vAlign w:val="center"/>
          </w:tcPr>
          <w:p w14:paraId="0F828ACD">
            <w:r>
              <w:rPr>
                <w:rFonts w:hint="eastAsia"/>
              </w:rPr>
              <w:t>参观人次</w:t>
            </w:r>
            <w:r>
              <w:t>(</w:t>
            </w:r>
            <w:r>
              <w:rPr>
                <w:rFonts w:hint="eastAsia"/>
              </w:rPr>
              <w:t>人</w:t>
            </w:r>
            <w:r>
              <w:t>)</w:t>
            </w:r>
          </w:p>
        </w:tc>
        <w:tc>
          <w:tcPr>
            <w:tcW w:w="802" w:type="dxa"/>
            <w:tcBorders>
              <w:top w:val="single" w:color="auto" w:sz="4" w:space="0"/>
              <w:bottom w:val="single" w:color="auto" w:sz="4" w:space="0"/>
            </w:tcBorders>
            <w:vAlign w:val="center"/>
          </w:tcPr>
          <w:p w14:paraId="1FFC7FBC">
            <w:r>
              <w:rPr>
                <w:rFonts w:hint="eastAsia"/>
              </w:rPr>
              <w:t>≥</w:t>
            </w:r>
            <w:r>
              <w:t>10000</w:t>
            </w:r>
          </w:p>
        </w:tc>
        <w:tc>
          <w:tcPr>
            <w:tcW w:w="803" w:type="dxa"/>
            <w:tcBorders>
              <w:top w:val="single" w:color="auto" w:sz="4" w:space="0"/>
              <w:bottom w:val="single" w:color="auto" w:sz="4" w:space="0"/>
            </w:tcBorders>
            <w:vAlign w:val="center"/>
          </w:tcPr>
          <w:p w14:paraId="1EDFCA49">
            <w:r>
              <w:rPr>
                <w:rFonts w:hint="eastAsia"/>
              </w:rPr>
              <w:t>≥</w:t>
            </w:r>
            <w:r>
              <w:t>7000</w:t>
            </w:r>
          </w:p>
        </w:tc>
        <w:tc>
          <w:tcPr>
            <w:tcW w:w="802" w:type="dxa"/>
            <w:tcBorders>
              <w:top w:val="single" w:color="auto" w:sz="4" w:space="0"/>
              <w:bottom w:val="single" w:color="auto" w:sz="4" w:space="0"/>
            </w:tcBorders>
            <w:vAlign w:val="center"/>
          </w:tcPr>
          <w:p w14:paraId="22FF2538">
            <w:r>
              <w:rPr>
                <w:rFonts w:hint="eastAsia"/>
              </w:rPr>
              <w:t>≥</w:t>
            </w:r>
            <w:r>
              <w:t>3000</w:t>
            </w:r>
          </w:p>
        </w:tc>
        <w:tc>
          <w:tcPr>
            <w:tcW w:w="803" w:type="dxa"/>
            <w:tcBorders>
              <w:top w:val="single" w:color="auto" w:sz="4" w:space="0"/>
              <w:bottom w:val="single" w:color="auto" w:sz="4" w:space="0"/>
            </w:tcBorders>
            <w:vAlign w:val="center"/>
          </w:tcPr>
          <w:p w14:paraId="24D502D4">
            <w:r>
              <w:rPr>
                <w:rFonts w:hint="eastAsia"/>
              </w:rPr>
              <w:t>＜</w:t>
            </w:r>
            <w:r>
              <w:t>3000</w:t>
            </w:r>
          </w:p>
        </w:tc>
      </w:tr>
      <w:tr w14:paraId="3BBACC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50" w:hRule="atLeast"/>
          <w:jc w:val="center"/>
        </w:trPr>
        <w:tc>
          <w:tcPr>
            <w:tcW w:w="2324" w:type="dxa"/>
            <w:vMerge w:val="continue"/>
            <w:vAlign w:val="center"/>
          </w:tcPr>
          <w:p w14:paraId="2073822B">
            <w:pPr>
              <w:spacing w:line="300" w:lineRule="exact"/>
              <w:jc w:val="left"/>
              <w:rPr>
                <w:rFonts w:ascii="宋体"/>
                <w:b/>
                <w:sz w:val="24"/>
                <w:szCs w:val="24"/>
              </w:rPr>
            </w:pPr>
          </w:p>
        </w:tc>
        <w:tc>
          <w:tcPr>
            <w:tcW w:w="1293" w:type="dxa"/>
            <w:vMerge w:val="continue"/>
            <w:vAlign w:val="center"/>
          </w:tcPr>
          <w:p w14:paraId="3FB64E5D">
            <w:pPr>
              <w:spacing w:line="300" w:lineRule="exact"/>
              <w:jc w:val="left"/>
              <w:rPr>
                <w:rFonts w:ascii="宋体"/>
                <w:sz w:val="24"/>
                <w:szCs w:val="24"/>
              </w:rPr>
            </w:pPr>
          </w:p>
        </w:tc>
        <w:tc>
          <w:tcPr>
            <w:tcW w:w="2802" w:type="dxa"/>
            <w:vMerge w:val="continue"/>
            <w:vAlign w:val="center"/>
          </w:tcPr>
          <w:p w14:paraId="3A850CEC">
            <w:pPr>
              <w:spacing w:line="300" w:lineRule="exact"/>
              <w:jc w:val="left"/>
              <w:rPr>
                <w:rFonts w:ascii="宋体"/>
                <w:sz w:val="24"/>
                <w:szCs w:val="24"/>
              </w:rPr>
            </w:pPr>
          </w:p>
        </w:tc>
        <w:tc>
          <w:tcPr>
            <w:tcW w:w="2835" w:type="dxa"/>
            <w:vMerge w:val="continue"/>
            <w:vAlign w:val="center"/>
          </w:tcPr>
          <w:p w14:paraId="7AE36323">
            <w:pPr>
              <w:spacing w:line="300" w:lineRule="exact"/>
              <w:jc w:val="left"/>
              <w:rPr>
                <w:rFonts w:ascii="仿宋" w:eastAsia="仿宋"/>
                <w:sz w:val="24"/>
                <w:szCs w:val="24"/>
              </w:rPr>
            </w:pPr>
          </w:p>
        </w:tc>
        <w:tc>
          <w:tcPr>
            <w:tcW w:w="1470" w:type="dxa"/>
            <w:tcBorders>
              <w:top w:val="single" w:color="auto" w:sz="4" w:space="0"/>
              <w:bottom w:val="single" w:color="auto" w:sz="4" w:space="0"/>
            </w:tcBorders>
            <w:vAlign w:val="center"/>
          </w:tcPr>
          <w:p w14:paraId="2A500C6B">
            <w:r>
              <w:rPr>
                <w:rFonts w:hint="eastAsia"/>
              </w:rPr>
              <w:t>年度产品开发工作完成率</w:t>
            </w:r>
          </w:p>
        </w:tc>
        <w:tc>
          <w:tcPr>
            <w:tcW w:w="802" w:type="dxa"/>
            <w:tcBorders>
              <w:top w:val="single" w:color="auto" w:sz="4" w:space="0"/>
              <w:bottom w:val="single" w:color="auto" w:sz="4" w:space="0"/>
            </w:tcBorders>
            <w:vAlign w:val="center"/>
          </w:tcPr>
          <w:p w14:paraId="3618EFDE">
            <w:r>
              <w:rPr>
                <w:rFonts w:hint="eastAsia"/>
              </w:rPr>
              <w:t>≥</w:t>
            </w:r>
            <w:r>
              <w:t>100%</w:t>
            </w:r>
          </w:p>
        </w:tc>
        <w:tc>
          <w:tcPr>
            <w:tcW w:w="803" w:type="dxa"/>
            <w:tcBorders>
              <w:top w:val="single" w:color="auto" w:sz="4" w:space="0"/>
              <w:bottom w:val="single" w:color="auto" w:sz="4" w:space="0"/>
            </w:tcBorders>
            <w:vAlign w:val="center"/>
          </w:tcPr>
          <w:p w14:paraId="45CC0851">
            <w:r>
              <w:rPr>
                <w:rFonts w:hint="eastAsia"/>
              </w:rPr>
              <w:t>≥</w:t>
            </w:r>
          </w:p>
          <w:p w14:paraId="68FFE6FD">
            <w:r>
              <w:t>95%</w:t>
            </w:r>
          </w:p>
        </w:tc>
        <w:tc>
          <w:tcPr>
            <w:tcW w:w="802" w:type="dxa"/>
            <w:tcBorders>
              <w:top w:val="single" w:color="auto" w:sz="4" w:space="0"/>
              <w:bottom w:val="single" w:color="auto" w:sz="4" w:space="0"/>
            </w:tcBorders>
            <w:vAlign w:val="center"/>
          </w:tcPr>
          <w:p w14:paraId="1417AAB2">
            <w:r>
              <w:rPr>
                <w:rFonts w:hint="eastAsia"/>
              </w:rPr>
              <w:t>≥</w:t>
            </w:r>
          </w:p>
          <w:p w14:paraId="29D270D9">
            <w:r>
              <w:t>90%</w:t>
            </w:r>
          </w:p>
        </w:tc>
        <w:tc>
          <w:tcPr>
            <w:tcW w:w="803" w:type="dxa"/>
            <w:tcBorders>
              <w:top w:val="single" w:color="auto" w:sz="4" w:space="0"/>
              <w:bottom w:val="single" w:color="auto" w:sz="4" w:space="0"/>
            </w:tcBorders>
            <w:vAlign w:val="center"/>
          </w:tcPr>
          <w:p w14:paraId="4AF6EDA9">
            <w:r>
              <w:rPr>
                <w:rFonts w:hint="eastAsia"/>
              </w:rPr>
              <w:t>＜</w:t>
            </w:r>
          </w:p>
          <w:p w14:paraId="08F0252D">
            <w:r>
              <w:t>90%</w:t>
            </w:r>
          </w:p>
        </w:tc>
      </w:tr>
      <w:tr w14:paraId="7752DC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53" w:hRule="atLeast"/>
          <w:jc w:val="center"/>
        </w:trPr>
        <w:tc>
          <w:tcPr>
            <w:tcW w:w="2324" w:type="dxa"/>
            <w:vMerge w:val="restart"/>
            <w:vAlign w:val="center"/>
          </w:tcPr>
          <w:p w14:paraId="70FC961F">
            <w:pPr>
              <w:spacing w:line="300" w:lineRule="exact"/>
              <w:jc w:val="left"/>
              <w:rPr>
                <w:rFonts w:ascii="宋体"/>
                <w:b/>
                <w:sz w:val="24"/>
                <w:szCs w:val="24"/>
              </w:rPr>
            </w:pPr>
            <w:r>
              <w:rPr>
                <w:rFonts w:ascii="宋体" w:hAnsi="宋体"/>
                <w:b/>
                <w:sz w:val="24"/>
                <w:szCs w:val="24"/>
              </w:rPr>
              <w:t>4</w:t>
            </w:r>
            <w:r>
              <w:rPr>
                <w:rFonts w:hint="eastAsia" w:ascii="宋体" w:hAnsi="宋体"/>
                <w:b/>
                <w:sz w:val="24"/>
                <w:szCs w:val="24"/>
              </w:rPr>
              <w:t>档案利用</w:t>
            </w:r>
          </w:p>
        </w:tc>
        <w:tc>
          <w:tcPr>
            <w:tcW w:w="1293" w:type="dxa"/>
            <w:vMerge w:val="restart"/>
            <w:vAlign w:val="center"/>
          </w:tcPr>
          <w:p w14:paraId="1B51F645">
            <w:pPr>
              <w:spacing w:line="300" w:lineRule="exact"/>
              <w:jc w:val="left"/>
              <w:rPr>
                <w:rFonts w:ascii="宋体"/>
                <w:sz w:val="24"/>
                <w:szCs w:val="24"/>
              </w:rPr>
            </w:pPr>
            <w:r>
              <w:rPr>
                <w:rFonts w:hint="eastAsia" w:ascii="宋体"/>
                <w:sz w:val="24"/>
                <w:szCs w:val="24"/>
              </w:rPr>
              <w:t>272.9</w:t>
            </w:r>
          </w:p>
        </w:tc>
        <w:tc>
          <w:tcPr>
            <w:tcW w:w="2802" w:type="dxa"/>
            <w:vMerge w:val="restart"/>
            <w:vAlign w:val="center"/>
          </w:tcPr>
          <w:p w14:paraId="7389E006">
            <w:r>
              <w:rPr>
                <w:rFonts w:hint="eastAsia"/>
              </w:rPr>
              <w:t>建立市区域性数字档案馆，对档案进行鉴定，研发本市档案系统业务联网管理系统，全市档案科学技术研究管理。</w:t>
            </w:r>
          </w:p>
        </w:tc>
        <w:tc>
          <w:tcPr>
            <w:tcW w:w="2835" w:type="dxa"/>
            <w:vMerge w:val="restart"/>
            <w:vAlign w:val="center"/>
          </w:tcPr>
          <w:p w14:paraId="0F12CBD4">
            <w:r>
              <w:rPr>
                <w:rFonts w:hint="eastAsia"/>
              </w:rPr>
              <w:t>实现我市各级档案馆的馆藏开放档案数据和政府公开信息的发布与共享。开发、利用科技成果，为利用者提供快速、准确的档案查询服务。</w:t>
            </w:r>
          </w:p>
        </w:tc>
        <w:tc>
          <w:tcPr>
            <w:tcW w:w="1470" w:type="dxa"/>
            <w:tcBorders>
              <w:top w:val="single" w:color="auto" w:sz="4" w:space="0"/>
              <w:bottom w:val="single" w:color="auto" w:sz="4" w:space="0"/>
            </w:tcBorders>
            <w:vAlign w:val="center"/>
          </w:tcPr>
          <w:p w14:paraId="7C7BE0C7">
            <w:r>
              <w:rPr>
                <w:rFonts w:hint="eastAsia"/>
              </w:rPr>
              <w:t>区域性数字档案馆建立工作完成率</w:t>
            </w:r>
          </w:p>
        </w:tc>
        <w:tc>
          <w:tcPr>
            <w:tcW w:w="802" w:type="dxa"/>
            <w:tcBorders>
              <w:top w:val="single" w:color="auto" w:sz="4" w:space="0"/>
              <w:bottom w:val="single" w:color="auto" w:sz="4" w:space="0"/>
            </w:tcBorders>
            <w:vAlign w:val="center"/>
          </w:tcPr>
          <w:p w14:paraId="5BC82332">
            <w:r>
              <w:t>100%</w:t>
            </w:r>
          </w:p>
        </w:tc>
        <w:tc>
          <w:tcPr>
            <w:tcW w:w="803" w:type="dxa"/>
            <w:tcBorders>
              <w:top w:val="single" w:color="auto" w:sz="4" w:space="0"/>
              <w:bottom w:val="single" w:color="auto" w:sz="4" w:space="0"/>
            </w:tcBorders>
            <w:vAlign w:val="center"/>
          </w:tcPr>
          <w:p w14:paraId="2A39D509">
            <w:r>
              <w:rPr>
                <w:rFonts w:hint="eastAsia"/>
              </w:rPr>
              <w:t>≥</w:t>
            </w:r>
          </w:p>
          <w:p w14:paraId="63CEA824">
            <w:r>
              <w:t>95%</w:t>
            </w:r>
          </w:p>
        </w:tc>
        <w:tc>
          <w:tcPr>
            <w:tcW w:w="802" w:type="dxa"/>
            <w:tcBorders>
              <w:top w:val="single" w:color="auto" w:sz="4" w:space="0"/>
              <w:bottom w:val="single" w:color="auto" w:sz="4" w:space="0"/>
            </w:tcBorders>
            <w:vAlign w:val="center"/>
          </w:tcPr>
          <w:p w14:paraId="5FFB3C60">
            <w:r>
              <w:rPr>
                <w:rFonts w:hint="eastAsia"/>
              </w:rPr>
              <w:t>≥</w:t>
            </w:r>
          </w:p>
          <w:p w14:paraId="06A95A90">
            <w:r>
              <w:t>90%</w:t>
            </w:r>
          </w:p>
        </w:tc>
        <w:tc>
          <w:tcPr>
            <w:tcW w:w="803" w:type="dxa"/>
            <w:tcBorders>
              <w:top w:val="single" w:color="auto" w:sz="4" w:space="0"/>
              <w:bottom w:val="single" w:color="auto" w:sz="4" w:space="0"/>
            </w:tcBorders>
            <w:vAlign w:val="center"/>
          </w:tcPr>
          <w:p w14:paraId="368BEC04">
            <w:r>
              <w:rPr>
                <w:rFonts w:hint="eastAsia"/>
              </w:rPr>
              <w:t>＜</w:t>
            </w:r>
          </w:p>
          <w:p w14:paraId="26BD84FB">
            <w:r>
              <w:t>90%</w:t>
            </w:r>
          </w:p>
        </w:tc>
      </w:tr>
      <w:tr w14:paraId="797CB0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54" w:hRule="atLeast"/>
          <w:jc w:val="center"/>
        </w:trPr>
        <w:tc>
          <w:tcPr>
            <w:tcW w:w="2324" w:type="dxa"/>
            <w:vMerge w:val="continue"/>
            <w:vAlign w:val="center"/>
          </w:tcPr>
          <w:p w14:paraId="4008B23F">
            <w:pPr>
              <w:spacing w:line="300" w:lineRule="exact"/>
              <w:jc w:val="left"/>
              <w:rPr>
                <w:rFonts w:ascii="宋体"/>
                <w:b/>
                <w:sz w:val="24"/>
                <w:szCs w:val="24"/>
              </w:rPr>
            </w:pPr>
          </w:p>
        </w:tc>
        <w:tc>
          <w:tcPr>
            <w:tcW w:w="1293" w:type="dxa"/>
            <w:vMerge w:val="continue"/>
            <w:vAlign w:val="center"/>
          </w:tcPr>
          <w:p w14:paraId="508E8FFF">
            <w:pPr>
              <w:spacing w:line="300" w:lineRule="exact"/>
              <w:jc w:val="left"/>
              <w:rPr>
                <w:rFonts w:ascii="宋体"/>
                <w:sz w:val="24"/>
                <w:szCs w:val="24"/>
              </w:rPr>
            </w:pPr>
          </w:p>
        </w:tc>
        <w:tc>
          <w:tcPr>
            <w:tcW w:w="2802" w:type="dxa"/>
            <w:vMerge w:val="continue"/>
            <w:vAlign w:val="center"/>
          </w:tcPr>
          <w:p w14:paraId="18E9F1ED">
            <w:pPr>
              <w:spacing w:line="300" w:lineRule="exact"/>
              <w:jc w:val="left"/>
              <w:rPr>
                <w:rFonts w:ascii="宋体"/>
                <w:sz w:val="28"/>
                <w:szCs w:val="28"/>
              </w:rPr>
            </w:pPr>
          </w:p>
        </w:tc>
        <w:tc>
          <w:tcPr>
            <w:tcW w:w="2835" w:type="dxa"/>
            <w:vMerge w:val="continue"/>
            <w:vAlign w:val="center"/>
          </w:tcPr>
          <w:p w14:paraId="048CD3FD">
            <w:pPr>
              <w:spacing w:line="300" w:lineRule="exact"/>
              <w:jc w:val="left"/>
              <w:rPr>
                <w:rFonts w:ascii="宋体"/>
                <w:sz w:val="28"/>
                <w:szCs w:val="28"/>
              </w:rPr>
            </w:pPr>
          </w:p>
        </w:tc>
        <w:tc>
          <w:tcPr>
            <w:tcW w:w="1470" w:type="dxa"/>
            <w:tcBorders>
              <w:top w:val="single" w:color="auto" w:sz="4" w:space="0"/>
              <w:bottom w:val="single" w:color="auto" w:sz="4" w:space="0"/>
            </w:tcBorders>
            <w:vAlign w:val="center"/>
          </w:tcPr>
          <w:p w14:paraId="09FC1684">
            <w:r>
              <w:rPr>
                <w:rFonts w:hint="eastAsia"/>
              </w:rPr>
              <w:t>档案查准率</w:t>
            </w:r>
          </w:p>
        </w:tc>
        <w:tc>
          <w:tcPr>
            <w:tcW w:w="802" w:type="dxa"/>
            <w:tcBorders>
              <w:top w:val="single" w:color="auto" w:sz="4" w:space="0"/>
              <w:bottom w:val="single" w:color="auto" w:sz="4" w:space="0"/>
            </w:tcBorders>
            <w:vAlign w:val="center"/>
          </w:tcPr>
          <w:p w14:paraId="4AF1752A">
            <w:r>
              <w:rPr>
                <w:rFonts w:hint="eastAsia"/>
              </w:rPr>
              <w:t>≥</w:t>
            </w:r>
          </w:p>
          <w:p w14:paraId="6D8D4522">
            <w:r>
              <w:t>95%</w:t>
            </w:r>
          </w:p>
        </w:tc>
        <w:tc>
          <w:tcPr>
            <w:tcW w:w="803" w:type="dxa"/>
            <w:tcBorders>
              <w:top w:val="single" w:color="auto" w:sz="4" w:space="0"/>
              <w:bottom w:val="single" w:color="auto" w:sz="4" w:space="0"/>
            </w:tcBorders>
            <w:vAlign w:val="center"/>
          </w:tcPr>
          <w:p w14:paraId="1A92A3D5">
            <w:r>
              <w:rPr>
                <w:rFonts w:hint="eastAsia"/>
              </w:rPr>
              <w:t>≥</w:t>
            </w:r>
          </w:p>
          <w:p w14:paraId="04659E23">
            <w:r>
              <w:t>90%</w:t>
            </w:r>
          </w:p>
        </w:tc>
        <w:tc>
          <w:tcPr>
            <w:tcW w:w="802" w:type="dxa"/>
            <w:tcBorders>
              <w:top w:val="single" w:color="auto" w:sz="4" w:space="0"/>
              <w:bottom w:val="single" w:color="auto" w:sz="4" w:space="0"/>
            </w:tcBorders>
            <w:vAlign w:val="center"/>
          </w:tcPr>
          <w:p w14:paraId="6A4E218C">
            <w:r>
              <w:rPr>
                <w:rFonts w:hint="eastAsia"/>
              </w:rPr>
              <w:t>≥</w:t>
            </w:r>
          </w:p>
          <w:p w14:paraId="4C9EF2CC">
            <w:r>
              <w:t>85%</w:t>
            </w:r>
          </w:p>
        </w:tc>
        <w:tc>
          <w:tcPr>
            <w:tcW w:w="803" w:type="dxa"/>
            <w:tcBorders>
              <w:top w:val="single" w:color="auto" w:sz="4" w:space="0"/>
              <w:bottom w:val="single" w:color="auto" w:sz="4" w:space="0"/>
            </w:tcBorders>
            <w:vAlign w:val="center"/>
          </w:tcPr>
          <w:p w14:paraId="7BAAE6CB">
            <w:r>
              <w:rPr>
                <w:rFonts w:hint="eastAsia"/>
              </w:rPr>
              <w:t>＜</w:t>
            </w:r>
          </w:p>
          <w:p w14:paraId="643C24F5">
            <w:r>
              <w:t>85%</w:t>
            </w:r>
          </w:p>
        </w:tc>
      </w:tr>
      <w:tr w14:paraId="7AD6E1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54" w:hRule="atLeast"/>
          <w:jc w:val="center"/>
        </w:trPr>
        <w:tc>
          <w:tcPr>
            <w:tcW w:w="2324" w:type="dxa"/>
            <w:vAlign w:val="center"/>
          </w:tcPr>
          <w:p w14:paraId="1E8366F5">
            <w:pPr>
              <w:spacing w:line="300" w:lineRule="exact"/>
              <w:jc w:val="left"/>
              <w:rPr>
                <w:rFonts w:ascii="宋体"/>
                <w:b/>
                <w:sz w:val="24"/>
                <w:szCs w:val="24"/>
              </w:rPr>
            </w:pPr>
            <w:r>
              <w:rPr>
                <w:rFonts w:hint="eastAsia" w:ascii="宋体" w:hAnsi="宋体"/>
                <w:b/>
                <w:sz w:val="24"/>
                <w:szCs w:val="24"/>
              </w:rPr>
              <w:t>二、综合事务管理</w:t>
            </w:r>
          </w:p>
        </w:tc>
        <w:tc>
          <w:tcPr>
            <w:tcW w:w="1293" w:type="dxa"/>
            <w:vAlign w:val="center"/>
          </w:tcPr>
          <w:p w14:paraId="700AC598">
            <w:pPr>
              <w:spacing w:line="300" w:lineRule="exact"/>
              <w:jc w:val="left"/>
              <w:rPr>
                <w:rFonts w:ascii="宋体" w:hAnsi="宋体"/>
                <w:sz w:val="24"/>
                <w:szCs w:val="24"/>
              </w:rPr>
            </w:pPr>
            <w:r>
              <w:rPr>
                <w:rFonts w:hint="eastAsia" w:ascii="宋体" w:hAnsi="宋体"/>
                <w:sz w:val="24"/>
                <w:szCs w:val="24"/>
              </w:rPr>
              <w:t>55.9</w:t>
            </w:r>
          </w:p>
        </w:tc>
        <w:tc>
          <w:tcPr>
            <w:tcW w:w="2802" w:type="dxa"/>
            <w:vAlign w:val="center"/>
          </w:tcPr>
          <w:p w14:paraId="2E6DCE29">
            <w:pPr>
              <w:rPr>
                <w:sz w:val="24"/>
                <w:szCs w:val="24"/>
              </w:rPr>
            </w:pPr>
            <w:r>
              <w:rPr>
                <w:rFonts w:hint="eastAsia"/>
                <w:sz w:val="24"/>
                <w:szCs w:val="24"/>
              </w:rPr>
              <w:t>确保机关正常运转，各项业务顺利推进，适应档案事业发展需要</w:t>
            </w:r>
          </w:p>
        </w:tc>
        <w:tc>
          <w:tcPr>
            <w:tcW w:w="2835" w:type="dxa"/>
            <w:vAlign w:val="center"/>
          </w:tcPr>
          <w:p w14:paraId="690031AA">
            <w:pPr>
              <w:rPr>
                <w:sz w:val="24"/>
                <w:szCs w:val="24"/>
              </w:rPr>
            </w:pPr>
            <w:r>
              <w:rPr>
                <w:rFonts w:hint="eastAsia"/>
                <w:sz w:val="24"/>
                <w:szCs w:val="24"/>
              </w:rPr>
              <w:t>保障机关工作正常高效运转。</w:t>
            </w:r>
          </w:p>
        </w:tc>
        <w:tc>
          <w:tcPr>
            <w:tcW w:w="1470" w:type="dxa"/>
            <w:tcBorders>
              <w:top w:val="single" w:color="auto" w:sz="4" w:space="0"/>
              <w:bottom w:val="single" w:color="auto" w:sz="4" w:space="0"/>
            </w:tcBorders>
            <w:vAlign w:val="center"/>
          </w:tcPr>
          <w:p w14:paraId="4C0D4ADB"/>
        </w:tc>
        <w:tc>
          <w:tcPr>
            <w:tcW w:w="802" w:type="dxa"/>
            <w:tcBorders>
              <w:top w:val="single" w:color="auto" w:sz="4" w:space="0"/>
              <w:bottom w:val="single" w:color="auto" w:sz="4" w:space="0"/>
            </w:tcBorders>
            <w:vAlign w:val="center"/>
          </w:tcPr>
          <w:p w14:paraId="0BF0DD87"/>
        </w:tc>
        <w:tc>
          <w:tcPr>
            <w:tcW w:w="803" w:type="dxa"/>
            <w:tcBorders>
              <w:top w:val="single" w:color="auto" w:sz="4" w:space="0"/>
              <w:bottom w:val="single" w:color="auto" w:sz="4" w:space="0"/>
            </w:tcBorders>
            <w:vAlign w:val="center"/>
          </w:tcPr>
          <w:p w14:paraId="66AD3D1D"/>
        </w:tc>
        <w:tc>
          <w:tcPr>
            <w:tcW w:w="802" w:type="dxa"/>
            <w:tcBorders>
              <w:top w:val="single" w:color="auto" w:sz="4" w:space="0"/>
              <w:bottom w:val="single" w:color="auto" w:sz="4" w:space="0"/>
            </w:tcBorders>
            <w:vAlign w:val="center"/>
          </w:tcPr>
          <w:p w14:paraId="2FB49A9F"/>
        </w:tc>
        <w:tc>
          <w:tcPr>
            <w:tcW w:w="803" w:type="dxa"/>
            <w:tcBorders>
              <w:top w:val="single" w:color="auto" w:sz="4" w:space="0"/>
              <w:bottom w:val="single" w:color="auto" w:sz="4" w:space="0"/>
            </w:tcBorders>
            <w:vAlign w:val="center"/>
          </w:tcPr>
          <w:p w14:paraId="41689DE4"/>
        </w:tc>
      </w:tr>
      <w:tr w14:paraId="6A8AC3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54" w:hRule="atLeast"/>
          <w:jc w:val="center"/>
        </w:trPr>
        <w:tc>
          <w:tcPr>
            <w:tcW w:w="2324" w:type="dxa"/>
            <w:vAlign w:val="center"/>
          </w:tcPr>
          <w:p w14:paraId="269EDB9C">
            <w:pPr>
              <w:spacing w:line="300" w:lineRule="exact"/>
              <w:jc w:val="left"/>
              <w:rPr>
                <w:rFonts w:ascii="宋体"/>
                <w:b/>
                <w:sz w:val="24"/>
                <w:szCs w:val="24"/>
              </w:rPr>
            </w:pPr>
            <w:r>
              <w:rPr>
                <w:rFonts w:ascii="宋体" w:hAnsi="宋体"/>
                <w:b/>
                <w:sz w:val="24"/>
                <w:szCs w:val="24"/>
              </w:rPr>
              <w:t>1</w:t>
            </w:r>
            <w:r>
              <w:rPr>
                <w:rFonts w:hint="eastAsia" w:ascii="宋体" w:hAnsi="宋体"/>
                <w:b/>
                <w:sz w:val="24"/>
                <w:szCs w:val="24"/>
              </w:rPr>
              <w:t>、综合事务管理</w:t>
            </w:r>
          </w:p>
        </w:tc>
        <w:tc>
          <w:tcPr>
            <w:tcW w:w="1293" w:type="dxa"/>
            <w:vAlign w:val="center"/>
          </w:tcPr>
          <w:p w14:paraId="5AE011E6">
            <w:pPr>
              <w:spacing w:line="300" w:lineRule="exact"/>
              <w:jc w:val="left"/>
              <w:rPr>
                <w:rFonts w:ascii="宋体" w:hAnsi="宋体"/>
                <w:sz w:val="24"/>
                <w:szCs w:val="24"/>
              </w:rPr>
            </w:pPr>
            <w:r>
              <w:rPr>
                <w:rFonts w:hint="eastAsia" w:ascii="宋体" w:hAnsi="宋体"/>
                <w:sz w:val="24"/>
                <w:szCs w:val="24"/>
              </w:rPr>
              <w:t>55.9</w:t>
            </w:r>
          </w:p>
        </w:tc>
        <w:tc>
          <w:tcPr>
            <w:tcW w:w="2802" w:type="dxa"/>
            <w:vAlign w:val="center"/>
          </w:tcPr>
          <w:p w14:paraId="4DBC2B82">
            <w:r>
              <w:rPr>
                <w:rFonts w:hint="eastAsia"/>
              </w:rPr>
              <w:t>维护档案馆库房设备、档案网运营管理、机关设施，做好全市档案工作会议和专业性会议的组织工作。推进全市档案事业，做好监督指导，建设档案干部队伍，组织相关培训、表彰，推进全市各级各类档案馆室建设和新农村建档。</w:t>
            </w:r>
          </w:p>
        </w:tc>
        <w:tc>
          <w:tcPr>
            <w:tcW w:w="2835" w:type="dxa"/>
            <w:vAlign w:val="center"/>
          </w:tcPr>
          <w:p w14:paraId="2AFA6B9B">
            <w:r>
              <w:rPr>
                <w:rFonts w:hint="eastAsia"/>
              </w:rPr>
              <w:t>保障机关工作正常高效运转。完成信息更新</w:t>
            </w:r>
            <w:r>
              <w:t>200</w:t>
            </w:r>
            <w:r>
              <w:rPr>
                <w:rFonts w:hint="eastAsia"/>
              </w:rPr>
              <w:t>条，保证网站正常运营。提升财务工作管理水平，促进财务行为合法、规范；确保会议经费不突破预算。规划合理，实施到位，管理科学，宣传到位，使全市档案事业有序快速发展，为现代化建设服务。</w:t>
            </w:r>
          </w:p>
        </w:tc>
        <w:tc>
          <w:tcPr>
            <w:tcW w:w="1470" w:type="dxa"/>
            <w:tcBorders>
              <w:top w:val="single" w:color="auto" w:sz="4" w:space="0"/>
              <w:bottom w:val="single" w:color="auto" w:sz="4" w:space="0"/>
            </w:tcBorders>
            <w:vAlign w:val="center"/>
          </w:tcPr>
          <w:p w14:paraId="6055E678">
            <w:r>
              <w:rPr>
                <w:rFonts w:hint="eastAsia"/>
              </w:rPr>
              <w:t>综合事务管理工作完成率</w:t>
            </w:r>
          </w:p>
        </w:tc>
        <w:tc>
          <w:tcPr>
            <w:tcW w:w="802" w:type="dxa"/>
            <w:tcBorders>
              <w:top w:val="single" w:color="auto" w:sz="4" w:space="0"/>
            </w:tcBorders>
            <w:vAlign w:val="center"/>
          </w:tcPr>
          <w:p w14:paraId="46D25BD9">
            <w:r>
              <w:t>100%</w:t>
            </w:r>
          </w:p>
        </w:tc>
        <w:tc>
          <w:tcPr>
            <w:tcW w:w="803" w:type="dxa"/>
            <w:tcBorders>
              <w:top w:val="single" w:color="auto" w:sz="4" w:space="0"/>
            </w:tcBorders>
            <w:vAlign w:val="center"/>
          </w:tcPr>
          <w:p w14:paraId="27BA1528">
            <w:r>
              <w:rPr>
                <w:rFonts w:hint="eastAsia"/>
              </w:rPr>
              <w:t>≥</w:t>
            </w:r>
          </w:p>
          <w:p w14:paraId="063B6963">
            <w:r>
              <w:t>95%</w:t>
            </w:r>
          </w:p>
        </w:tc>
        <w:tc>
          <w:tcPr>
            <w:tcW w:w="802" w:type="dxa"/>
            <w:tcBorders>
              <w:top w:val="single" w:color="auto" w:sz="4" w:space="0"/>
            </w:tcBorders>
            <w:vAlign w:val="center"/>
          </w:tcPr>
          <w:p w14:paraId="2836ADA7">
            <w:r>
              <w:rPr>
                <w:rFonts w:hint="eastAsia"/>
              </w:rPr>
              <w:t>≥</w:t>
            </w:r>
          </w:p>
          <w:p w14:paraId="0E030D1E">
            <w:r>
              <w:t>90%</w:t>
            </w:r>
          </w:p>
        </w:tc>
        <w:tc>
          <w:tcPr>
            <w:tcW w:w="803" w:type="dxa"/>
            <w:tcBorders>
              <w:top w:val="single" w:color="auto" w:sz="4" w:space="0"/>
            </w:tcBorders>
            <w:vAlign w:val="center"/>
          </w:tcPr>
          <w:p w14:paraId="1766F24D">
            <w:r>
              <w:rPr>
                <w:rFonts w:hint="eastAsia"/>
              </w:rPr>
              <w:t>＜</w:t>
            </w:r>
          </w:p>
          <w:p w14:paraId="572CAB05">
            <w:r>
              <w:t>90%</w:t>
            </w:r>
          </w:p>
        </w:tc>
      </w:tr>
    </w:tbl>
    <w:p w14:paraId="44F58C19">
      <w:pPr>
        <w:spacing w:line="300" w:lineRule="exact"/>
        <w:jc w:val="left"/>
        <w:outlineLvl w:val="0"/>
        <w:rPr>
          <w:rFonts w:ascii="仿宋_GB2312" w:eastAsia="仿宋_GB2312"/>
        </w:rPr>
        <w:sectPr>
          <w:footerReference r:id="rId4" w:type="first"/>
          <w:footerReference r:id="rId3" w:type="default"/>
          <w:pgSz w:w="16839" w:h="11907" w:orient="landscape"/>
          <w:pgMar w:top="1020" w:right="1361" w:bottom="1020" w:left="1361" w:header="851" w:footer="992" w:gutter="0"/>
          <w:cols w:space="425" w:num="1"/>
          <w:titlePg/>
          <w:docGrid w:type="lines" w:linePitch="312" w:charSpace="0"/>
        </w:sectPr>
      </w:pPr>
      <w:r>
        <w:rPr>
          <w:rFonts w:hint="eastAsia" w:ascii="仿宋_GB2312" w:eastAsia="仿宋_GB2312"/>
        </w:rPr>
        <w:t>备注：表中的年度预算数为项目支出，部门工作活动虽未安排项目支出，但由基本支出保障，由于基本支出无法拆分到相应的工作活动，因此部分工作活动没有列示年度预算数。</w:t>
      </w:r>
    </w:p>
    <w:p w14:paraId="6FAD5BD0">
      <w:pPr>
        <w:autoSpaceDE w:val="0"/>
        <w:autoSpaceDN w:val="0"/>
        <w:adjustRightInd w:val="0"/>
        <w:ind w:firstLine="640" w:firstLineChars="200"/>
        <w:jc w:val="left"/>
        <w:rPr>
          <w:rFonts w:ascii="黑体" w:hAnsi="黑体" w:eastAsia="黑体"/>
          <w:sz w:val="32"/>
          <w:szCs w:val="32"/>
        </w:rPr>
      </w:pPr>
      <w:r>
        <w:rPr>
          <w:rFonts w:hint="eastAsia" w:ascii="黑体" w:hAnsi="黑体" w:eastAsia="黑体"/>
          <w:sz w:val="32"/>
          <w:szCs w:val="32"/>
        </w:rPr>
        <w:t>六、政府采购预算情况</w:t>
      </w:r>
    </w:p>
    <w:p w14:paraId="1D51E970">
      <w:pPr>
        <w:ind w:firstLine="640" w:firstLineChars="200"/>
        <w:outlineLvl w:val="0"/>
        <w:rPr>
          <w:rFonts w:ascii="仿宋_GB2312" w:hAnsi="Times New Roman" w:eastAsia="仿宋_GB2312"/>
          <w:sz w:val="32"/>
          <w:szCs w:val="24"/>
        </w:rPr>
      </w:pPr>
      <w:bookmarkStart w:id="2" w:name="_Toc471398468"/>
      <w:r>
        <w:rPr>
          <w:rFonts w:ascii="仿宋_GB2312" w:hAnsi="Times New Roman" w:eastAsia="仿宋_GB2312"/>
          <w:sz w:val="32"/>
          <w:szCs w:val="24"/>
        </w:rPr>
        <w:t>201</w:t>
      </w:r>
      <w:r>
        <w:rPr>
          <w:rFonts w:hint="eastAsia" w:ascii="仿宋_GB2312" w:hAnsi="Times New Roman" w:eastAsia="仿宋_GB2312"/>
          <w:sz w:val="32"/>
          <w:szCs w:val="24"/>
        </w:rPr>
        <w:t>9年，我部门安排政府采购预算272.90万元。具体内容见下表。</w:t>
      </w:r>
    </w:p>
    <w:bookmarkEnd w:id="2"/>
    <w:p w14:paraId="06D025C3">
      <w:pPr>
        <w:jc w:val="center"/>
        <w:outlineLvl w:val="0"/>
        <w:rPr>
          <w:rFonts w:ascii="仿宋_GB2312" w:eastAsia="仿宋_GB2312"/>
          <w:b/>
          <w:sz w:val="32"/>
        </w:rPr>
      </w:pPr>
      <w:bookmarkStart w:id="3" w:name="_Toc504489153"/>
      <w:r>
        <w:rPr>
          <w:rFonts w:hint="eastAsia" w:ascii="仿宋_GB2312" w:eastAsia="仿宋_GB2312"/>
          <w:b/>
          <w:sz w:val="32"/>
        </w:rPr>
        <w:t>部门政府采购预算</w:t>
      </w:r>
      <w:bookmarkEnd w:id="3"/>
    </w:p>
    <w:tbl>
      <w:tblPr>
        <w:tblStyle w:val="9"/>
        <w:tblW w:w="4851"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295"/>
        <w:gridCol w:w="1168"/>
        <w:gridCol w:w="932"/>
        <w:gridCol w:w="1372"/>
        <w:gridCol w:w="720"/>
        <w:gridCol w:w="740"/>
        <w:gridCol w:w="950"/>
        <w:gridCol w:w="956"/>
        <w:gridCol w:w="956"/>
        <w:gridCol w:w="956"/>
        <w:gridCol w:w="790"/>
        <w:gridCol w:w="924"/>
        <w:gridCol w:w="929"/>
        <w:gridCol w:w="880"/>
      </w:tblGrid>
      <w:tr w14:paraId="59B779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806" w:type="pct"/>
            <w:gridSpan w:val="7"/>
            <w:tcBorders>
              <w:top w:val="single" w:color="FFFFFF" w:sz="6" w:space="0"/>
              <w:left w:val="single" w:color="FFFFFF" w:sz="6" w:space="0"/>
              <w:right w:val="single" w:color="FFFFFF" w:sz="6" w:space="0"/>
            </w:tcBorders>
            <w:vAlign w:val="center"/>
          </w:tcPr>
          <w:p w14:paraId="45054457">
            <w:pPr>
              <w:spacing w:line="300" w:lineRule="exact"/>
              <w:jc w:val="left"/>
              <w:rPr>
                <w:rFonts w:ascii="仿宋_GB2312" w:eastAsia="仿宋_GB2312"/>
                <w:sz w:val="24"/>
              </w:rPr>
            </w:pPr>
            <w:r>
              <w:rPr>
                <w:rFonts w:ascii="仿宋_GB2312" w:eastAsia="仿宋_GB2312"/>
                <w:sz w:val="24"/>
              </w:rPr>
              <w:t>421</w:t>
            </w:r>
            <w:r>
              <w:rPr>
                <w:rFonts w:hint="eastAsia" w:ascii="仿宋_GB2312" w:eastAsia="仿宋_GB2312"/>
                <w:sz w:val="24"/>
              </w:rPr>
              <w:t>廊坊市档案局</w:t>
            </w:r>
          </w:p>
        </w:tc>
        <w:tc>
          <w:tcPr>
            <w:tcW w:w="2194" w:type="pct"/>
            <w:gridSpan w:val="7"/>
            <w:tcBorders>
              <w:top w:val="single" w:color="FFFFFF" w:sz="6" w:space="0"/>
              <w:left w:val="single" w:color="FFFFFF" w:sz="6" w:space="0"/>
              <w:right w:val="single" w:color="FFFFFF" w:sz="6" w:space="0"/>
            </w:tcBorders>
            <w:vAlign w:val="center"/>
          </w:tcPr>
          <w:p w14:paraId="02D39AA6">
            <w:pPr>
              <w:spacing w:line="300" w:lineRule="exact"/>
              <w:jc w:val="right"/>
              <w:rPr>
                <w:rFonts w:ascii="仿宋_GB2312" w:eastAsia="仿宋_GB2312"/>
                <w:sz w:val="24"/>
              </w:rPr>
            </w:pPr>
            <w:r>
              <w:rPr>
                <w:rFonts w:hint="eastAsia" w:ascii="仿宋_GB2312" w:eastAsia="仿宋_GB2312"/>
                <w:sz w:val="24"/>
              </w:rPr>
              <w:t>单位：万元</w:t>
            </w:r>
          </w:p>
        </w:tc>
      </w:tr>
      <w:tr w14:paraId="6CE563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1189" w:type="pct"/>
            <w:gridSpan w:val="2"/>
            <w:vAlign w:val="center"/>
          </w:tcPr>
          <w:p w14:paraId="2DF53834">
            <w:pPr>
              <w:spacing w:line="300" w:lineRule="exact"/>
              <w:jc w:val="center"/>
              <w:rPr>
                <w:rFonts w:ascii="仿宋_GB2312" w:eastAsia="仿宋_GB2312"/>
                <w:b/>
              </w:rPr>
            </w:pPr>
            <w:r>
              <w:rPr>
                <w:rFonts w:hint="eastAsia" w:ascii="仿宋_GB2312" w:eastAsia="仿宋_GB2312"/>
                <w:b/>
              </w:rPr>
              <w:t>政府采购项目来源</w:t>
            </w:r>
          </w:p>
        </w:tc>
        <w:tc>
          <w:tcPr>
            <w:tcW w:w="320" w:type="pct"/>
            <w:vMerge w:val="restart"/>
            <w:vAlign w:val="center"/>
          </w:tcPr>
          <w:p w14:paraId="5EB4A3DE">
            <w:pPr>
              <w:spacing w:line="300" w:lineRule="exact"/>
              <w:jc w:val="center"/>
              <w:rPr>
                <w:rFonts w:ascii="仿宋_GB2312" w:eastAsia="仿宋_GB2312"/>
                <w:b/>
              </w:rPr>
            </w:pPr>
            <w:r>
              <w:rPr>
                <w:rFonts w:hint="eastAsia" w:ascii="仿宋_GB2312" w:eastAsia="仿宋_GB2312"/>
                <w:b/>
              </w:rPr>
              <w:t>采购物品名称</w:t>
            </w:r>
          </w:p>
        </w:tc>
        <w:tc>
          <w:tcPr>
            <w:tcW w:w="471" w:type="pct"/>
            <w:vMerge w:val="restart"/>
            <w:vAlign w:val="center"/>
          </w:tcPr>
          <w:p w14:paraId="5199C755">
            <w:pPr>
              <w:spacing w:line="300" w:lineRule="exact"/>
              <w:jc w:val="center"/>
              <w:rPr>
                <w:rFonts w:ascii="仿宋_GB2312" w:eastAsia="仿宋_GB2312"/>
                <w:b/>
              </w:rPr>
            </w:pPr>
            <w:r>
              <w:rPr>
                <w:rFonts w:hint="eastAsia" w:ascii="仿宋_GB2312" w:eastAsia="仿宋_GB2312"/>
                <w:b/>
              </w:rPr>
              <w:t>政府采购目录序号</w:t>
            </w:r>
          </w:p>
        </w:tc>
        <w:tc>
          <w:tcPr>
            <w:tcW w:w="247" w:type="pct"/>
            <w:vMerge w:val="restart"/>
            <w:vAlign w:val="center"/>
          </w:tcPr>
          <w:p w14:paraId="1C04C4EB">
            <w:pPr>
              <w:spacing w:line="300" w:lineRule="exact"/>
              <w:jc w:val="center"/>
              <w:rPr>
                <w:rFonts w:ascii="仿宋_GB2312" w:eastAsia="仿宋_GB2312"/>
                <w:b/>
              </w:rPr>
            </w:pPr>
            <w:r>
              <w:rPr>
                <w:rFonts w:hint="eastAsia" w:ascii="仿宋_GB2312" w:eastAsia="仿宋_GB2312"/>
                <w:b/>
              </w:rPr>
              <w:t>数量</w:t>
            </w:r>
            <w:r>
              <w:rPr>
                <w:rFonts w:ascii="仿宋_GB2312" w:eastAsia="仿宋_GB2312"/>
                <w:b/>
              </w:rPr>
              <w:t xml:space="preserve">  </w:t>
            </w:r>
            <w:r>
              <w:rPr>
                <w:rFonts w:hint="eastAsia" w:ascii="仿宋_GB2312" w:eastAsia="仿宋_GB2312"/>
                <w:b/>
              </w:rPr>
              <w:t>单位</w:t>
            </w:r>
          </w:p>
        </w:tc>
        <w:tc>
          <w:tcPr>
            <w:tcW w:w="254" w:type="pct"/>
            <w:vMerge w:val="restart"/>
            <w:vAlign w:val="center"/>
          </w:tcPr>
          <w:p w14:paraId="0B2FD225">
            <w:pPr>
              <w:spacing w:line="300" w:lineRule="exact"/>
              <w:jc w:val="center"/>
              <w:rPr>
                <w:rFonts w:ascii="仿宋_GB2312" w:eastAsia="仿宋_GB2312"/>
                <w:b/>
              </w:rPr>
            </w:pPr>
            <w:r>
              <w:rPr>
                <w:rFonts w:hint="eastAsia" w:ascii="仿宋_GB2312" w:eastAsia="仿宋_GB2312"/>
                <w:b/>
              </w:rPr>
              <w:t>数量</w:t>
            </w:r>
          </w:p>
        </w:tc>
        <w:tc>
          <w:tcPr>
            <w:tcW w:w="326" w:type="pct"/>
            <w:vMerge w:val="restart"/>
            <w:vAlign w:val="center"/>
          </w:tcPr>
          <w:p w14:paraId="59E54583">
            <w:pPr>
              <w:spacing w:line="300" w:lineRule="exact"/>
              <w:jc w:val="center"/>
              <w:rPr>
                <w:rFonts w:ascii="仿宋_GB2312" w:eastAsia="仿宋_GB2312"/>
                <w:b/>
              </w:rPr>
            </w:pPr>
            <w:r>
              <w:rPr>
                <w:rFonts w:hint="eastAsia" w:ascii="仿宋_GB2312" w:eastAsia="仿宋_GB2312"/>
                <w:b/>
              </w:rPr>
              <w:t>单价</w:t>
            </w:r>
          </w:p>
        </w:tc>
        <w:tc>
          <w:tcPr>
            <w:tcW w:w="2194" w:type="pct"/>
            <w:gridSpan w:val="7"/>
            <w:vAlign w:val="center"/>
          </w:tcPr>
          <w:p w14:paraId="24C7AC26">
            <w:pPr>
              <w:spacing w:line="300" w:lineRule="exact"/>
              <w:jc w:val="center"/>
              <w:rPr>
                <w:rFonts w:ascii="仿宋_GB2312" w:eastAsia="仿宋_GB2312"/>
                <w:b/>
              </w:rPr>
            </w:pPr>
            <w:r>
              <w:rPr>
                <w:rFonts w:hint="eastAsia" w:ascii="仿宋_GB2312" w:eastAsia="仿宋_GB2312"/>
                <w:b/>
              </w:rPr>
              <w:t>政府采购金额</w:t>
            </w:r>
          </w:p>
        </w:tc>
      </w:tr>
      <w:tr w14:paraId="1C3BD3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788" w:type="pct"/>
            <w:vMerge w:val="restart"/>
            <w:vAlign w:val="center"/>
          </w:tcPr>
          <w:p w14:paraId="23419341">
            <w:pPr>
              <w:spacing w:line="300" w:lineRule="exact"/>
              <w:jc w:val="center"/>
              <w:rPr>
                <w:rFonts w:ascii="仿宋_GB2312" w:eastAsia="仿宋_GB2312"/>
                <w:b/>
              </w:rPr>
            </w:pPr>
            <w:r>
              <w:rPr>
                <w:rFonts w:hint="eastAsia" w:ascii="仿宋_GB2312" w:eastAsia="仿宋_GB2312"/>
                <w:b/>
              </w:rPr>
              <w:t>项目名称</w:t>
            </w:r>
          </w:p>
        </w:tc>
        <w:tc>
          <w:tcPr>
            <w:tcW w:w="401" w:type="pct"/>
            <w:vMerge w:val="restart"/>
            <w:vAlign w:val="center"/>
          </w:tcPr>
          <w:p w14:paraId="7A772D66">
            <w:pPr>
              <w:spacing w:line="300" w:lineRule="exact"/>
              <w:jc w:val="center"/>
              <w:rPr>
                <w:rFonts w:ascii="仿宋_GB2312" w:eastAsia="仿宋_GB2312"/>
                <w:b/>
              </w:rPr>
            </w:pPr>
            <w:r>
              <w:rPr>
                <w:rFonts w:hint="eastAsia" w:ascii="仿宋_GB2312" w:eastAsia="仿宋_GB2312"/>
                <w:b/>
              </w:rPr>
              <w:t>预算资金</w:t>
            </w:r>
          </w:p>
        </w:tc>
        <w:tc>
          <w:tcPr>
            <w:tcW w:w="320" w:type="pct"/>
            <w:vMerge w:val="continue"/>
            <w:vAlign w:val="center"/>
          </w:tcPr>
          <w:p w14:paraId="09E639C8">
            <w:pPr>
              <w:spacing w:line="300" w:lineRule="exact"/>
              <w:jc w:val="left"/>
              <w:outlineLvl w:val="0"/>
              <w:rPr>
                <w:rFonts w:ascii="仿宋_GB2312" w:eastAsia="仿宋_GB2312"/>
              </w:rPr>
            </w:pPr>
          </w:p>
        </w:tc>
        <w:tc>
          <w:tcPr>
            <w:tcW w:w="471" w:type="pct"/>
            <w:vMerge w:val="continue"/>
            <w:vAlign w:val="center"/>
          </w:tcPr>
          <w:p w14:paraId="746265D1">
            <w:pPr>
              <w:spacing w:line="300" w:lineRule="exact"/>
              <w:jc w:val="left"/>
              <w:outlineLvl w:val="0"/>
              <w:rPr>
                <w:rFonts w:ascii="仿宋_GB2312" w:eastAsia="仿宋_GB2312"/>
              </w:rPr>
            </w:pPr>
          </w:p>
        </w:tc>
        <w:tc>
          <w:tcPr>
            <w:tcW w:w="247" w:type="pct"/>
            <w:vMerge w:val="continue"/>
            <w:vAlign w:val="center"/>
          </w:tcPr>
          <w:p w14:paraId="3643C90F">
            <w:pPr>
              <w:spacing w:line="300" w:lineRule="exact"/>
              <w:jc w:val="left"/>
              <w:outlineLvl w:val="0"/>
              <w:rPr>
                <w:rFonts w:ascii="仿宋_GB2312" w:eastAsia="仿宋_GB2312"/>
              </w:rPr>
            </w:pPr>
          </w:p>
        </w:tc>
        <w:tc>
          <w:tcPr>
            <w:tcW w:w="254" w:type="pct"/>
            <w:vMerge w:val="continue"/>
            <w:vAlign w:val="center"/>
          </w:tcPr>
          <w:p w14:paraId="44887123">
            <w:pPr>
              <w:spacing w:line="300" w:lineRule="exact"/>
              <w:jc w:val="left"/>
              <w:outlineLvl w:val="0"/>
              <w:rPr>
                <w:rFonts w:ascii="仿宋_GB2312" w:eastAsia="仿宋_GB2312"/>
              </w:rPr>
            </w:pPr>
          </w:p>
        </w:tc>
        <w:tc>
          <w:tcPr>
            <w:tcW w:w="326" w:type="pct"/>
            <w:vMerge w:val="continue"/>
            <w:vAlign w:val="center"/>
          </w:tcPr>
          <w:p w14:paraId="60D5FAD9">
            <w:pPr>
              <w:spacing w:line="300" w:lineRule="exact"/>
              <w:jc w:val="left"/>
              <w:outlineLvl w:val="0"/>
              <w:rPr>
                <w:rFonts w:ascii="仿宋_GB2312" w:eastAsia="仿宋_GB2312"/>
              </w:rPr>
            </w:pPr>
          </w:p>
        </w:tc>
        <w:tc>
          <w:tcPr>
            <w:tcW w:w="328" w:type="pct"/>
            <w:vMerge w:val="restart"/>
            <w:vAlign w:val="center"/>
          </w:tcPr>
          <w:p w14:paraId="58AAB72F">
            <w:pPr>
              <w:spacing w:line="300" w:lineRule="exact"/>
              <w:jc w:val="center"/>
              <w:rPr>
                <w:rFonts w:ascii="仿宋_GB2312" w:eastAsia="仿宋_GB2312"/>
                <w:b/>
              </w:rPr>
            </w:pPr>
            <w:r>
              <w:rPr>
                <w:rFonts w:hint="eastAsia" w:ascii="仿宋_GB2312" w:eastAsia="仿宋_GB2312"/>
                <w:b/>
              </w:rPr>
              <w:t>总计</w:t>
            </w:r>
          </w:p>
        </w:tc>
        <w:tc>
          <w:tcPr>
            <w:tcW w:w="1563" w:type="pct"/>
            <w:gridSpan w:val="5"/>
            <w:vAlign w:val="center"/>
          </w:tcPr>
          <w:p w14:paraId="35E08F8C">
            <w:pPr>
              <w:spacing w:line="300" w:lineRule="exact"/>
              <w:jc w:val="center"/>
              <w:rPr>
                <w:rFonts w:ascii="仿宋_GB2312" w:eastAsia="仿宋_GB2312"/>
                <w:b/>
              </w:rPr>
            </w:pPr>
            <w:r>
              <w:rPr>
                <w:rFonts w:hint="eastAsia" w:ascii="仿宋_GB2312" w:eastAsia="仿宋_GB2312"/>
                <w:b/>
              </w:rPr>
              <w:t>当年部门预算安排资金</w:t>
            </w:r>
          </w:p>
        </w:tc>
        <w:tc>
          <w:tcPr>
            <w:tcW w:w="302" w:type="pct"/>
            <w:vMerge w:val="restart"/>
            <w:vAlign w:val="center"/>
          </w:tcPr>
          <w:p w14:paraId="63D95947">
            <w:pPr>
              <w:spacing w:line="300" w:lineRule="exact"/>
              <w:jc w:val="center"/>
              <w:rPr>
                <w:rFonts w:ascii="仿宋_GB2312" w:eastAsia="仿宋_GB2312"/>
                <w:b/>
              </w:rPr>
            </w:pPr>
            <w:r>
              <w:rPr>
                <w:rFonts w:hint="eastAsia" w:ascii="仿宋_GB2312" w:eastAsia="仿宋_GB2312"/>
                <w:b/>
              </w:rPr>
              <w:t>其他渠道资金</w:t>
            </w:r>
          </w:p>
        </w:tc>
      </w:tr>
      <w:tr w14:paraId="70A0AB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788" w:type="pct"/>
            <w:vMerge w:val="continue"/>
            <w:vAlign w:val="center"/>
          </w:tcPr>
          <w:p w14:paraId="09560CFB">
            <w:pPr>
              <w:spacing w:line="300" w:lineRule="exact"/>
              <w:jc w:val="left"/>
              <w:outlineLvl w:val="0"/>
              <w:rPr>
                <w:rFonts w:ascii="仿宋_GB2312" w:eastAsia="仿宋_GB2312"/>
              </w:rPr>
            </w:pPr>
          </w:p>
        </w:tc>
        <w:tc>
          <w:tcPr>
            <w:tcW w:w="401" w:type="pct"/>
            <w:vMerge w:val="continue"/>
            <w:vAlign w:val="center"/>
          </w:tcPr>
          <w:p w14:paraId="2D1815E1">
            <w:pPr>
              <w:spacing w:line="300" w:lineRule="exact"/>
              <w:jc w:val="left"/>
              <w:outlineLvl w:val="0"/>
              <w:rPr>
                <w:rFonts w:ascii="仿宋_GB2312" w:eastAsia="仿宋_GB2312"/>
              </w:rPr>
            </w:pPr>
          </w:p>
        </w:tc>
        <w:tc>
          <w:tcPr>
            <w:tcW w:w="320" w:type="pct"/>
            <w:vMerge w:val="continue"/>
            <w:vAlign w:val="center"/>
          </w:tcPr>
          <w:p w14:paraId="44BE6A44">
            <w:pPr>
              <w:spacing w:line="300" w:lineRule="exact"/>
              <w:jc w:val="left"/>
              <w:outlineLvl w:val="0"/>
              <w:rPr>
                <w:rFonts w:ascii="仿宋_GB2312" w:eastAsia="仿宋_GB2312"/>
              </w:rPr>
            </w:pPr>
          </w:p>
        </w:tc>
        <w:tc>
          <w:tcPr>
            <w:tcW w:w="471" w:type="pct"/>
            <w:vMerge w:val="continue"/>
            <w:vAlign w:val="center"/>
          </w:tcPr>
          <w:p w14:paraId="4788CB43">
            <w:pPr>
              <w:spacing w:line="300" w:lineRule="exact"/>
              <w:jc w:val="left"/>
              <w:outlineLvl w:val="0"/>
              <w:rPr>
                <w:rFonts w:ascii="仿宋_GB2312" w:eastAsia="仿宋_GB2312"/>
              </w:rPr>
            </w:pPr>
          </w:p>
        </w:tc>
        <w:tc>
          <w:tcPr>
            <w:tcW w:w="247" w:type="pct"/>
            <w:vMerge w:val="continue"/>
            <w:vAlign w:val="center"/>
          </w:tcPr>
          <w:p w14:paraId="79AC6B61">
            <w:pPr>
              <w:spacing w:line="300" w:lineRule="exact"/>
              <w:jc w:val="left"/>
              <w:outlineLvl w:val="0"/>
              <w:rPr>
                <w:rFonts w:ascii="仿宋_GB2312" w:eastAsia="仿宋_GB2312"/>
              </w:rPr>
            </w:pPr>
          </w:p>
        </w:tc>
        <w:tc>
          <w:tcPr>
            <w:tcW w:w="254" w:type="pct"/>
            <w:vMerge w:val="continue"/>
            <w:vAlign w:val="center"/>
          </w:tcPr>
          <w:p w14:paraId="73EF5C23">
            <w:pPr>
              <w:spacing w:line="300" w:lineRule="exact"/>
              <w:jc w:val="left"/>
              <w:outlineLvl w:val="0"/>
              <w:rPr>
                <w:rFonts w:ascii="仿宋_GB2312" w:eastAsia="仿宋_GB2312"/>
              </w:rPr>
            </w:pPr>
          </w:p>
        </w:tc>
        <w:tc>
          <w:tcPr>
            <w:tcW w:w="326" w:type="pct"/>
            <w:vMerge w:val="continue"/>
            <w:vAlign w:val="center"/>
          </w:tcPr>
          <w:p w14:paraId="1638B1A9">
            <w:pPr>
              <w:spacing w:line="300" w:lineRule="exact"/>
              <w:jc w:val="left"/>
              <w:outlineLvl w:val="0"/>
              <w:rPr>
                <w:rFonts w:ascii="仿宋_GB2312" w:eastAsia="仿宋_GB2312"/>
              </w:rPr>
            </w:pPr>
          </w:p>
        </w:tc>
        <w:tc>
          <w:tcPr>
            <w:tcW w:w="328" w:type="pct"/>
            <w:vMerge w:val="continue"/>
            <w:vAlign w:val="center"/>
          </w:tcPr>
          <w:p w14:paraId="6B35599F">
            <w:pPr>
              <w:spacing w:line="300" w:lineRule="exact"/>
              <w:jc w:val="left"/>
              <w:outlineLvl w:val="0"/>
              <w:rPr>
                <w:rFonts w:ascii="仿宋_GB2312" w:eastAsia="仿宋_GB2312"/>
              </w:rPr>
            </w:pPr>
          </w:p>
        </w:tc>
        <w:tc>
          <w:tcPr>
            <w:tcW w:w="328" w:type="pct"/>
            <w:vAlign w:val="center"/>
          </w:tcPr>
          <w:p w14:paraId="0772BADE">
            <w:pPr>
              <w:spacing w:line="300" w:lineRule="exact"/>
              <w:jc w:val="center"/>
              <w:rPr>
                <w:rFonts w:ascii="仿宋_GB2312" w:eastAsia="仿宋_GB2312"/>
                <w:b/>
              </w:rPr>
            </w:pPr>
            <w:r>
              <w:rPr>
                <w:rFonts w:hint="eastAsia" w:ascii="仿宋_GB2312" w:eastAsia="仿宋_GB2312"/>
                <w:b/>
              </w:rPr>
              <w:t>合计</w:t>
            </w:r>
          </w:p>
        </w:tc>
        <w:tc>
          <w:tcPr>
            <w:tcW w:w="328" w:type="pct"/>
            <w:vAlign w:val="center"/>
          </w:tcPr>
          <w:p w14:paraId="41D49C4F">
            <w:pPr>
              <w:spacing w:line="300" w:lineRule="exact"/>
              <w:jc w:val="center"/>
              <w:rPr>
                <w:rFonts w:ascii="仿宋_GB2312" w:eastAsia="仿宋_GB2312"/>
                <w:b/>
              </w:rPr>
            </w:pPr>
            <w:r>
              <w:rPr>
                <w:rFonts w:hint="eastAsia" w:ascii="仿宋_GB2312" w:eastAsia="仿宋_GB2312"/>
                <w:b/>
              </w:rPr>
              <w:t>一般公共预算拨款</w:t>
            </w:r>
          </w:p>
        </w:tc>
        <w:tc>
          <w:tcPr>
            <w:tcW w:w="271" w:type="pct"/>
            <w:vAlign w:val="center"/>
          </w:tcPr>
          <w:p w14:paraId="25A841A6">
            <w:pPr>
              <w:spacing w:line="300" w:lineRule="exact"/>
              <w:jc w:val="center"/>
              <w:rPr>
                <w:rFonts w:ascii="仿宋_GB2312" w:eastAsia="仿宋_GB2312"/>
                <w:b/>
              </w:rPr>
            </w:pPr>
            <w:r>
              <w:rPr>
                <w:rFonts w:hint="eastAsia" w:ascii="仿宋_GB2312" w:eastAsia="仿宋_GB2312"/>
                <w:b/>
              </w:rPr>
              <w:t>基金预算拨款</w:t>
            </w:r>
          </w:p>
        </w:tc>
        <w:tc>
          <w:tcPr>
            <w:tcW w:w="317" w:type="pct"/>
            <w:vAlign w:val="center"/>
          </w:tcPr>
          <w:p w14:paraId="6C32ED0F">
            <w:pPr>
              <w:spacing w:line="300" w:lineRule="exact"/>
              <w:jc w:val="center"/>
              <w:rPr>
                <w:rFonts w:ascii="仿宋_GB2312" w:eastAsia="仿宋_GB2312"/>
                <w:b/>
              </w:rPr>
            </w:pPr>
            <w:r>
              <w:rPr>
                <w:rFonts w:hint="eastAsia" w:ascii="仿宋_GB2312" w:eastAsia="仿宋_GB2312"/>
                <w:b/>
              </w:rPr>
              <w:t>财政专户核拨</w:t>
            </w:r>
          </w:p>
        </w:tc>
        <w:tc>
          <w:tcPr>
            <w:tcW w:w="319" w:type="pct"/>
            <w:vAlign w:val="center"/>
          </w:tcPr>
          <w:p w14:paraId="7707B1D5">
            <w:pPr>
              <w:spacing w:line="300" w:lineRule="exact"/>
              <w:jc w:val="center"/>
              <w:rPr>
                <w:rFonts w:ascii="仿宋_GB2312" w:eastAsia="仿宋_GB2312"/>
                <w:b/>
              </w:rPr>
            </w:pPr>
            <w:r>
              <w:rPr>
                <w:rFonts w:hint="eastAsia" w:ascii="仿宋_GB2312" w:eastAsia="仿宋_GB2312"/>
                <w:b/>
              </w:rPr>
              <w:t>其他来源收入</w:t>
            </w:r>
          </w:p>
        </w:tc>
        <w:tc>
          <w:tcPr>
            <w:tcW w:w="302" w:type="pct"/>
            <w:vMerge w:val="continue"/>
            <w:vAlign w:val="center"/>
          </w:tcPr>
          <w:p w14:paraId="7EACD8DF">
            <w:pPr>
              <w:spacing w:line="300" w:lineRule="exact"/>
              <w:jc w:val="left"/>
              <w:outlineLvl w:val="0"/>
              <w:rPr>
                <w:rFonts w:ascii="仿宋_GB2312" w:eastAsia="仿宋_GB2312"/>
              </w:rPr>
            </w:pPr>
          </w:p>
        </w:tc>
      </w:tr>
      <w:tr w14:paraId="685730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84" w:hRule="atLeast"/>
          <w:jc w:val="center"/>
        </w:trPr>
        <w:tc>
          <w:tcPr>
            <w:tcW w:w="788" w:type="pct"/>
            <w:vAlign w:val="center"/>
          </w:tcPr>
          <w:p w14:paraId="7F7AADA4">
            <w:r>
              <w:rPr>
                <w:rFonts w:hint="eastAsia"/>
              </w:rPr>
              <w:t>合　计</w:t>
            </w:r>
          </w:p>
        </w:tc>
        <w:tc>
          <w:tcPr>
            <w:tcW w:w="401" w:type="pct"/>
            <w:vAlign w:val="center"/>
          </w:tcPr>
          <w:p w14:paraId="2D180605"/>
        </w:tc>
        <w:tc>
          <w:tcPr>
            <w:tcW w:w="320" w:type="pct"/>
            <w:vAlign w:val="center"/>
          </w:tcPr>
          <w:p w14:paraId="76DA1C84"/>
        </w:tc>
        <w:tc>
          <w:tcPr>
            <w:tcW w:w="471" w:type="pct"/>
            <w:vAlign w:val="center"/>
          </w:tcPr>
          <w:p w14:paraId="710E9E22">
            <w:pPr>
              <w:jc w:val="center"/>
            </w:pPr>
          </w:p>
        </w:tc>
        <w:tc>
          <w:tcPr>
            <w:tcW w:w="247" w:type="pct"/>
            <w:vAlign w:val="center"/>
          </w:tcPr>
          <w:p w14:paraId="68296054">
            <w:pPr>
              <w:jc w:val="right"/>
            </w:pPr>
          </w:p>
        </w:tc>
        <w:tc>
          <w:tcPr>
            <w:tcW w:w="254" w:type="pct"/>
            <w:vAlign w:val="center"/>
          </w:tcPr>
          <w:p w14:paraId="67367BFC">
            <w:pPr>
              <w:jc w:val="right"/>
            </w:pPr>
          </w:p>
        </w:tc>
        <w:tc>
          <w:tcPr>
            <w:tcW w:w="326" w:type="pct"/>
            <w:vAlign w:val="center"/>
          </w:tcPr>
          <w:p w14:paraId="48ED1620">
            <w:pPr>
              <w:jc w:val="right"/>
            </w:pPr>
          </w:p>
        </w:tc>
        <w:tc>
          <w:tcPr>
            <w:tcW w:w="328" w:type="pct"/>
            <w:vAlign w:val="center"/>
          </w:tcPr>
          <w:p w14:paraId="31054975">
            <w:pPr>
              <w:jc w:val="right"/>
            </w:pPr>
            <w:r>
              <w:rPr>
                <w:rFonts w:hint="eastAsia"/>
              </w:rPr>
              <w:t>272.90</w:t>
            </w:r>
          </w:p>
        </w:tc>
        <w:tc>
          <w:tcPr>
            <w:tcW w:w="328" w:type="pct"/>
            <w:vAlign w:val="center"/>
          </w:tcPr>
          <w:p w14:paraId="145BF260">
            <w:pPr>
              <w:jc w:val="right"/>
            </w:pPr>
            <w:r>
              <w:rPr>
                <w:rFonts w:hint="eastAsia"/>
              </w:rPr>
              <w:t>272.90</w:t>
            </w:r>
          </w:p>
        </w:tc>
        <w:tc>
          <w:tcPr>
            <w:tcW w:w="328" w:type="pct"/>
            <w:vAlign w:val="center"/>
          </w:tcPr>
          <w:p w14:paraId="08B9B90E">
            <w:pPr>
              <w:jc w:val="right"/>
            </w:pPr>
            <w:r>
              <w:rPr>
                <w:rFonts w:hint="eastAsia"/>
              </w:rPr>
              <w:t>272.90</w:t>
            </w:r>
          </w:p>
        </w:tc>
        <w:tc>
          <w:tcPr>
            <w:tcW w:w="271" w:type="pct"/>
            <w:vAlign w:val="center"/>
          </w:tcPr>
          <w:p w14:paraId="22E4FF57">
            <w:pPr>
              <w:jc w:val="right"/>
            </w:pPr>
          </w:p>
        </w:tc>
        <w:tc>
          <w:tcPr>
            <w:tcW w:w="317" w:type="pct"/>
            <w:vAlign w:val="center"/>
          </w:tcPr>
          <w:p w14:paraId="388D8D4D">
            <w:pPr>
              <w:jc w:val="right"/>
            </w:pPr>
          </w:p>
        </w:tc>
        <w:tc>
          <w:tcPr>
            <w:tcW w:w="319" w:type="pct"/>
            <w:vAlign w:val="center"/>
          </w:tcPr>
          <w:p w14:paraId="4FF53E36">
            <w:pPr>
              <w:jc w:val="right"/>
            </w:pPr>
          </w:p>
        </w:tc>
        <w:tc>
          <w:tcPr>
            <w:tcW w:w="302" w:type="pct"/>
            <w:vAlign w:val="center"/>
          </w:tcPr>
          <w:p w14:paraId="39655C3D">
            <w:pPr>
              <w:jc w:val="right"/>
            </w:pPr>
          </w:p>
        </w:tc>
      </w:tr>
      <w:tr w14:paraId="05EB7D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0" w:hRule="atLeast"/>
          <w:jc w:val="center"/>
        </w:trPr>
        <w:tc>
          <w:tcPr>
            <w:tcW w:w="788" w:type="pct"/>
            <w:vAlign w:val="center"/>
          </w:tcPr>
          <w:p w14:paraId="23315933">
            <w:r>
              <w:rPr>
                <w:rFonts w:hint="eastAsia"/>
              </w:rPr>
              <w:t>廊坊市档案局小计</w:t>
            </w:r>
          </w:p>
        </w:tc>
        <w:tc>
          <w:tcPr>
            <w:tcW w:w="401" w:type="pct"/>
            <w:vAlign w:val="center"/>
          </w:tcPr>
          <w:p w14:paraId="55C8710F"/>
        </w:tc>
        <w:tc>
          <w:tcPr>
            <w:tcW w:w="320" w:type="pct"/>
            <w:vAlign w:val="center"/>
          </w:tcPr>
          <w:p w14:paraId="4297CB23"/>
        </w:tc>
        <w:tc>
          <w:tcPr>
            <w:tcW w:w="471" w:type="pct"/>
            <w:vAlign w:val="center"/>
          </w:tcPr>
          <w:p w14:paraId="64710ED7">
            <w:pPr>
              <w:jc w:val="center"/>
            </w:pPr>
          </w:p>
        </w:tc>
        <w:tc>
          <w:tcPr>
            <w:tcW w:w="247" w:type="pct"/>
            <w:vAlign w:val="center"/>
          </w:tcPr>
          <w:p w14:paraId="442FBEE0">
            <w:pPr>
              <w:jc w:val="right"/>
            </w:pPr>
          </w:p>
        </w:tc>
        <w:tc>
          <w:tcPr>
            <w:tcW w:w="254" w:type="pct"/>
            <w:vAlign w:val="center"/>
          </w:tcPr>
          <w:p w14:paraId="02594538">
            <w:pPr>
              <w:jc w:val="right"/>
            </w:pPr>
          </w:p>
        </w:tc>
        <w:tc>
          <w:tcPr>
            <w:tcW w:w="326" w:type="pct"/>
            <w:vAlign w:val="center"/>
          </w:tcPr>
          <w:p w14:paraId="4A907192">
            <w:pPr>
              <w:jc w:val="right"/>
            </w:pPr>
          </w:p>
        </w:tc>
        <w:tc>
          <w:tcPr>
            <w:tcW w:w="328" w:type="pct"/>
            <w:vAlign w:val="center"/>
          </w:tcPr>
          <w:p w14:paraId="49DF0706">
            <w:pPr>
              <w:jc w:val="right"/>
            </w:pPr>
            <w:r>
              <w:rPr>
                <w:rFonts w:hint="eastAsia"/>
              </w:rPr>
              <w:t>272.90</w:t>
            </w:r>
          </w:p>
        </w:tc>
        <w:tc>
          <w:tcPr>
            <w:tcW w:w="328" w:type="pct"/>
            <w:vAlign w:val="center"/>
          </w:tcPr>
          <w:p w14:paraId="1EC0E7EF">
            <w:pPr>
              <w:jc w:val="right"/>
            </w:pPr>
            <w:r>
              <w:rPr>
                <w:rFonts w:hint="eastAsia"/>
              </w:rPr>
              <w:t>272.90</w:t>
            </w:r>
          </w:p>
        </w:tc>
        <w:tc>
          <w:tcPr>
            <w:tcW w:w="328" w:type="pct"/>
            <w:vAlign w:val="center"/>
          </w:tcPr>
          <w:p w14:paraId="5CBD2DA4">
            <w:pPr>
              <w:jc w:val="right"/>
            </w:pPr>
            <w:r>
              <w:rPr>
                <w:rFonts w:hint="eastAsia"/>
              </w:rPr>
              <w:t>272.90</w:t>
            </w:r>
          </w:p>
        </w:tc>
        <w:tc>
          <w:tcPr>
            <w:tcW w:w="271" w:type="pct"/>
            <w:vAlign w:val="center"/>
          </w:tcPr>
          <w:p w14:paraId="195CA34B">
            <w:pPr>
              <w:jc w:val="right"/>
            </w:pPr>
          </w:p>
        </w:tc>
        <w:tc>
          <w:tcPr>
            <w:tcW w:w="317" w:type="pct"/>
            <w:vAlign w:val="center"/>
          </w:tcPr>
          <w:p w14:paraId="4D1AB363">
            <w:pPr>
              <w:jc w:val="right"/>
            </w:pPr>
          </w:p>
        </w:tc>
        <w:tc>
          <w:tcPr>
            <w:tcW w:w="319" w:type="pct"/>
            <w:vAlign w:val="center"/>
          </w:tcPr>
          <w:p w14:paraId="72CAD25C">
            <w:pPr>
              <w:jc w:val="right"/>
            </w:pPr>
          </w:p>
        </w:tc>
        <w:tc>
          <w:tcPr>
            <w:tcW w:w="302" w:type="pct"/>
            <w:vAlign w:val="center"/>
          </w:tcPr>
          <w:p w14:paraId="52C0C409">
            <w:pPr>
              <w:jc w:val="right"/>
            </w:pPr>
          </w:p>
        </w:tc>
      </w:tr>
      <w:tr w14:paraId="4C7B00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62" w:hRule="atLeast"/>
          <w:jc w:val="center"/>
        </w:trPr>
        <w:tc>
          <w:tcPr>
            <w:tcW w:w="788" w:type="pct"/>
            <w:vAlign w:val="center"/>
          </w:tcPr>
          <w:p w14:paraId="799A2477">
            <w:r>
              <w:rPr>
                <w:rFonts w:hint="eastAsia"/>
              </w:rPr>
              <w:t>传统载体档案数字化工程专项经费</w:t>
            </w:r>
          </w:p>
        </w:tc>
        <w:tc>
          <w:tcPr>
            <w:tcW w:w="401" w:type="pct"/>
            <w:vAlign w:val="center"/>
          </w:tcPr>
          <w:p w14:paraId="71BA53FF">
            <w:pPr>
              <w:jc w:val="right"/>
            </w:pPr>
            <w:r>
              <w:rPr>
                <w:rFonts w:hint="eastAsia"/>
              </w:rPr>
              <w:t>272.90</w:t>
            </w:r>
          </w:p>
        </w:tc>
        <w:tc>
          <w:tcPr>
            <w:tcW w:w="320" w:type="pct"/>
            <w:vAlign w:val="center"/>
          </w:tcPr>
          <w:p w14:paraId="02F48B01">
            <w:r>
              <w:rPr>
                <w:rFonts w:hint="eastAsia"/>
              </w:rPr>
              <w:t>数据处理服务</w:t>
            </w:r>
          </w:p>
        </w:tc>
        <w:tc>
          <w:tcPr>
            <w:tcW w:w="471" w:type="pct"/>
            <w:vAlign w:val="center"/>
          </w:tcPr>
          <w:p w14:paraId="48BB27D3">
            <w:r>
              <w:rPr>
                <w:rFonts w:hint="eastAsia"/>
              </w:rPr>
              <w:t>Ｃ0203</w:t>
            </w:r>
          </w:p>
        </w:tc>
        <w:tc>
          <w:tcPr>
            <w:tcW w:w="247" w:type="pct"/>
            <w:vAlign w:val="center"/>
          </w:tcPr>
          <w:p w14:paraId="541174C6">
            <w:pPr>
              <w:jc w:val="right"/>
            </w:pPr>
            <w:r>
              <w:rPr>
                <w:rFonts w:hint="eastAsia"/>
              </w:rPr>
              <w:t>项</w:t>
            </w:r>
          </w:p>
        </w:tc>
        <w:tc>
          <w:tcPr>
            <w:tcW w:w="254" w:type="pct"/>
            <w:vAlign w:val="center"/>
          </w:tcPr>
          <w:p w14:paraId="55AF7912">
            <w:pPr>
              <w:jc w:val="right"/>
            </w:pPr>
            <w:r>
              <w:rPr>
                <w:rFonts w:hint="eastAsia"/>
              </w:rPr>
              <w:t>1</w:t>
            </w:r>
          </w:p>
        </w:tc>
        <w:tc>
          <w:tcPr>
            <w:tcW w:w="326" w:type="pct"/>
            <w:vAlign w:val="center"/>
          </w:tcPr>
          <w:p w14:paraId="04E2E220">
            <w:pPr>
              <w:jc w:val="right"/>
            </w:pPr>
            <w:r>
              <w:rPr>
                <w:rFonts w:hint="eastAsia"/>
              </w:rPr>
              <w:t>272.90</w:t>
            </w:r>
          </w:p>
        </w:tc>
        <w:tc>
          <w:tcPr>
            <w:tcW w:w="328" w:type="pct"/>
            <w:vAlign w:val="center"/>
          </w:tcPr>
          <w:p w14:paraId="2BA37452">
            <w:pPr>
              <w:jc w:val="right"/>
            </w:pPr>
            <w:r>
              <w:rPr>
                <w:rFonts w:hint="eastAsia"/>
              </w:rPr>
              <w:t>272.90</w:t>
            </w:r>
          </w:p>
        </w:tc>
        <w:tc>
          <w:tcPr>
            <w:tcW w:w="328" w:type="pct"/>
            <w:vAlign w:val="center"/>
          </w:tcPr>
          <w:p w14:paraId="5A69F469">
            <w:pPr>
              <w:jc w:val="right"/>
            </w:pPr>
            <w:r>
              <w:rPr>
                <w:rFonts w:hint="eastAsia"/>
              </w:rPr>
              <w:t>272.90</w:t>
            </w:r>
          </w:p>
        </w:tc>
        <w:tc>
          <w:tcPr>
            <w:tcW w:w="328" w:type="pct"/>
            <w:vAlign w:val="center"/>
          </w:tcPr>
          <w:p w14:paraId="351D1BB3">
            <w:pPr>
              <w:jc w:val="right"/>
            </w:pPr>
            <w:r>
              <w:rPr>
                <w:rFonts w:hint="eastAsia"/>
              </w:rPr>
              <w:t>272.90</w:t>
            </w:r>
          </w:p>
        </w:tc>
        <w:tc>
          <w:tcPr>
            <w:tcW w:w="271" w:type="pct"/>
            <w:vAlign w:val="center"/>
          </w:tcPr>
          <w:p w14:paraId="72DEE890">
            <w:pPr>
              <w:jc w:val="right"/>
            </w:pPr>
          </w:p>
        </w:tc>
        <w:tc>
          <w:tcPr>
            <w:tcW w:w="317" w:type="pct"/>
            <w:vAlign w:val="center"/>
          </w:tcPr>
          <w:p w14:paraId="0967F6E5">
            <w:pPr>
              <w:jc w:val="right"/>
            </w:pPr>
          </w:p>
        </w:tc>
        <w:tc>
          <w:tcPr>
            <w:tcW w:w="319" w:type="pct"/>
            <w:vAlign w:val="center"/>
          </w:tcPr>
          <w:p w14:paraId="41E7AA05">
            <w:pPr>
              <w:jc w:val="right"/>
            </w:pPr>
          </w:p>
        </w:tc>
        <w:tc>
          <w:tcPr>
            <w:tcW w:w="302" w:type="pct"/>
            <w:vAlign w:val="center"/>
          </w:tcPr>
          <w:p w14:paraId="771CF040">
            <w:pPr>
              <w:jc w:val="right"/>
            </w:pPr>
          </w:p>
        </w:tc>
      </w:tr>
    </w:tbl>
    <w:p w14:paraId="6A0B1F58">
      <w:pPr>
        <w:spacing w:line="300" w:lineRule="exact"/>
        <w:jc w:val="left"/>
        <w:outlineLvl w:val="0"/>
        <w:rPr>
          <w:rFonts w:ascii="仿宋_GB2312" w:eastAsia="仿宋_GB2312"/>
        </w:rPr>
        <w:sectPr>
          <w:pgSz w:w="16839" w:h="11907" w:orient="landscape"/>
          <w:pgMar w:top="1361" w:right="1020" w:bottom="1361" w:left="1020" w:header="851" w:footer="992" w:gutter="0"/>
          <w:cols w:space="425" w:num="1"/>
          <w:docGrid w:type="lines" w:linePitch="312" w:charSpace="0"/>
        </w:sectPr>
      </w:pPr>
    </w:p>
    <w:p w14:paraId="1AE24560">
      <w:pPr>
        <w:autoSpaceDE w:val="0"/>
        <w:autoSpaceDN w:val="0"/>
        <w:adjustRightInd w:val="0"/>
        <w:ind w:firstLine="640" w:firstLineChars="200"/>
        <w:jc w:val="left"/>
        <w:rPr>
          <w:rFonts w:ascii="黑体" w:hAnsi="黑体" w:eastAsia="黑体"/>
          <w:sz w:val="32"/>
          <w:szCs w:val="32"/>
        </w:rPr>
      </w:pPr>
      <w:r>
        <w:rPr>
          <w:rFonts w:hint="eastAsia" w:ascii="黑体" w:hAnsi="黑体" w:eastAsia="黑体"/>
          <w:sz w:val="32"/>
          <w:szCs w:val="32"/>
        </w:rPr>
        <w:t>七、国有资产信息</w:t>
      </w:r>
    </w:p>
    <w:p w14:paraId="45F65B36">
      <w:pPr>
        <w:ind w:firstLine="640"/>
        <w:rPr>
          <w:rFonts w:ascii="仿宋_GB2312" w:hAnsi="黑体" w:eastAsia="仿宋_GB2312"/>
          <w:sz w:val="32"/>
          <w:szCs w:val="32"/>
        </w:rPr>
      </w:pPr>
      <w:r>
        <w:rPr>
          <w:rFonts w:hint="eastAsia" w:ascii="仿宋_GB2312" w:hAnsi="黑体" w:eastAsia="仿宋_GB2312"/>
          <w:sz w:val="32"/>
          <w:szCs w:val="32"/>
        </w:rPr>
        <w:t>廊坊市档案局上年末固定资产金额为</w:t>
      </w:r>
      <w:r>
        <w:rPr>
          <w:rFonts w:ascii="仿宋_GB2312" w:hAnsi="黑体" w:eastAsia="仿宋_GB2312"/>
          <w:sz w:val="32"/>
          <w:szCs w:val="32"/>
        </w:rPr>
        <w:t>1</w:t>
      </w:r>
      <w:r>
        <w:rPr>
          <w:rFonts w:hint="eastAsia" w:ascii="仿宋_GB2312" w:hAnsi="黑体" w:eastAsia="仿宋_GB2312"/>
          <w:sz w:val="32"/>
          <w:szCs w:val="32"/>
        </w:rPr>
        <w:t>60</w:t>
      </w:r>
      <w:r>
        <w:rPr>
          <w:rFonts w:ascii="仿宋_GB2312" w:hAnsi="黑体" w:eastAsia="仿宋_GB2312"/>
          <w:sz w:val="32"/>
          <w:szCs w:val="32"/>
        </w:rPr>
        <w:t>.</w:t>
      </w:r>
      <w:r>
        <w:rPr>
          <w:rFonts w:hint="eastAsia" w:ascii="仿宋_GB2312" w:hAnsi="黑体" w:eastAsia="仿宋_GB2312"/>
          <w:sz w:val="32"/>
          <w:szCs w:val="32"/>
        </w:rPr>
        <w:t>74万元，本年度我部门拟购置固定资产10.10万元，主要为计算机设备、打印设备等。详见下表。</w:t>
      </w:r>
    </w:p>
    <w:p w14:paraId="7C1417C9">
      <w:pPr>
        <w:ind w:firstLine="640"/>
        <w:rPr>
          <w:rFonts w:ascii="仿宋_GB2312" w:hAnsi="黑体" w:eastAsia="仿宋_GB2312"/>
          <w:sz w:val="32"/>
          <w:szCs w:val="32"/>
        </w:rPr>
      </w:pPr>
    </w:p>
    <w:tbl>
      <w:tblPr>
        <w:tblStyle w:val="9"/>
        <w:tblW w:w="13325" w:type="dxa"/>
        <w:tblInd w:w="93" w:type="dxa"/>
        <w:tblLayout w:type="autofit"/>
        <w:tblCellMar>
          <w:top w:w="0" w:type="dxa"/>
          <w:left w:w="108" w:type="dxa"/>
          <w:bottom w:w="0" w:type="dxa"/>
          <w:right w:w="108" w:type="dxa"/>
        </w:tblCellMar>
      </w:tblPr>
      <w:tblGrid>
        <w:gridCol w:w="5224"/>
        <w:gridCol w:w="3155"/>
        <w:gridCol w:w="5103"/>
      </w:tblGrid>
      <w:tr w14:paraId="58A0016B">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noWrap/>
            <w:vAlign w:val="center"/>
          </w:tcPr>
          <w:p w14:paraId="506D064F">
            <w:pPr>
              <w:widowControl/>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廊坊市市直部门固定资产占用情况表</w:t>
            </w:r>
          </w:p>
        </w:tc>
      </w:tr>
      <w:tr w14:paraId="2F51668C">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noWrap/>
            <w:vAlign w:val="center"/>
          </w:tcPr>
          <w:p w14:paraId="638AE9E7">
            <w:pPr>
              <w:widowControl/>
              <w:jc w:val="left"/>
              <w:rPr>
                <w:rFonts w:ascii="仿宋_GB2312" w:hAnsi="宋体" w:eastAsia="仿宋_GB2312" w:cs="宋体"/>
                <w:kern w:val="0"/>
                <w:sz w:val="22"/>
              </w:rPr>
            </w:pPr>
            <w:r>
              <w:rPr>
                <w:rFonts w:hint="eastAsia" w:ascii="仿宋_GB2312" w:hAnsi="宋体" w:eastAsia="仿宋_GB2312" w:cs="宋体"/>
                <w:kern w:val="0"/>
                <w:sz w:val="22"/>
              </w:rPr>
              <w:t>编制部门：廊坊市档案局</w:t>
            </w:r>
          </w:p>
        </w:tc>
        <w:tc>
          <w:tcPr>
            <w:tcW w:w="5103" w:type="dxa"/>
            <w:tcBorders>
              <w:top w:val="nil"/>
              <w:left w:val="nil"/>
              <w:bottom w:val="nil"/>
              <w:right w:val="nil"/>
            </w:tcBorders>
            <w:noWrap/>
            <w:vAlign w:val="center"/>
          </w:tcPr>
          <w:p w14:paraId="64241A20">
            <w:pPr>
              <w:widowControl/>
              <w:jc w:val="left"/>
              <w:rPr>
                <w:rFonts w:ascii="仿宋_GB2312" w:hAnsi="宋体" w:eastAsia="仿宋_GB2312" w:cs="宋体"/>
                <w:kern w:val="0"/>
                <w:sz w:val="22"/>
              </w:rPr>
            </w:pPr>
            <w:r>
              <w:rPr>
                <w:rFonts w:hint="eastAsia" w:ascii="仿宋_GB2312" w:hAnsi="宋体" w:eastAsia="仿宋_GB2312" w:cs="宋体"/>
                <w:kern w:val="0"/>
                <w:sz w:val="22"/>
              </w:rPr>
              <w:t>截止时间：</w:t>
            </w:r>
            <w:r>
              <w:rPr>
                <w:rFonts w:ascii="仿宋_GB2312" w:hAnsi="宋体" w:eastAsia="仿宋_GB2312" w:cs="宋体"/>
                <w:kern w:val="0"/>
                <w:sz w:val="22"/>
              </w:rPr>
              <w:t>201</w:t>
            </w:r>
            <w:r>
              <w:rPr>
                <w:rFonts w:hint="eastAsia" w:ascii="仿宋_GB2312" w:hAnsi="宋体" w:eastAsia="仿宋_GB2312" w:cs="宋体"/>
                <w:kern w:val="0"/>
                <w:sz w:val="22"/>
              </w:rPr>
              <w:t>8年</w:t>
            </w:r>
            <w:r>
              <w:rPr>
                <w:rFonts w:ascii="仿宋_GB2312" w:hAnsi="宋体" w:eastAsia="仿宋_GB2312" w:cs="宋体"/>
                <w:kern w:val="0"/>
                <w:sz w:val="22"/>
              </w:rPr>
              <w:t>12</w:t>
            </w:r>
            <w:r>
              <w:rPr>
                <w:rFonts w:hint="eastAsia" w:ascii="仿宋_GB2312" w:hAnsi="宋体" w:eastAsia="仿宋_GB2312" w:cs="宋体"/>
                <w:kern w:val="0"/>
                <w:sz w:val="22"/>
              </w:rPr>
              <w:t>月</w:t>
            </w:r>
            <w:r>
              <w:rPr>
                <w:rFonts w:ascii="仿宋_GB2312" w:hAnsi="宋体" w:eastAsia="仿宋_GB2312" w:cs="宋体"/>
                <w:kern w:val="0"/>
                <w:sz w:val="22"/>
              </w:rPr>
              <w:t>31</w:t>
            </w:r>
            <w:r>
              <w:rPr>
                <w:rFonts w:hint="eastAsia" w:ascii="仿宋_GB2312" w:hAnsi="宋体" w:eastAsia="仿宋_GB2312" w:cs="宋体"/>
                <w:kern w:val="0"/>
                <w:sz w:val="22"/>
              </w:rPr>
              <w:t>日</w:t>
            </w:r>
            <w:r>
              <w:rPr>
                <w:rFonts w:ascii="仿宋_GB2312" w:hAnsi="宋体" w:eastAsia="仿宋_GB2312" w:cs="宋体"/>
                <w:kern w:val="0"/>
                <w:sz w:val="22"/>
              </w:rPr>
              <w:t xml:space="preserve">  </w:t>
            </w:r>
          </w:p>
        </w:tc>
      </w:tr>
      <w:tr w14:paraId="5265C126">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noWrap/>
            <w:vAlign w:val="center"/>
          </w:tcPr>
          <w:p w14:paraId="3BAE8BBD">
            <w:pPr>
              <w:widowControl/>
              <w:jc w:val="center"/>
              <w:rPr>
                <w:rFonts w:ascii="仿宋_GB2312" w:hAnsi="宋体" w:eastAsia="仿宋_GB2312" w:cs="宋体"/>
                <w:b/>
                <w:bCs/>
                <w:kern w:val="0"/>
                <w:sz w:val="22"/>
              </w:rPr>
            </w:pPr>
            <w:r>
              <w:rPr>
                <w:rFonts w:hint="eastAsia" w:ascii="仿宋_GB2312" w:hAnsi="宋体" w:eastAsia="仿宋_GB2312" w:cs="宋体"/>
                <w:b/>
                <w:bCs/>
                <w:kern w:val="0"/>
                <w:sz w:val="22"/>
              </w:rPr>
              <w:t>项</w:t>
            </w:r>
            <w:r>
              <w:rPr>
                <w:rFonts w:ascii="仿宋_GB2312" w:hAnsi="宋体" w:eastAsia="仿宋_GB2312" w:cs="宋体"/>
                <w:b/>
                <w:bCs/>
                <w:kern w:val="0"/>
                <w:sz w:val="22"/>
              </w:rPr>
              <w:t xml:space="preserve">   </w:t>
            </w:r>
            <w:r>
              <w:rPr>
                <w:rFonts w:hint="eastAsia" w:ascii="仿宋_GB2312" w:hAnsi="宋体" w:eastAsia="仿宋_GB2312" w:cs="宋体"/>
                <w:b/>
                <w:bCs/>
                <w:kern w:val="0"/>
                <w:sz w:val="22"/>
              </w:rPr>
              <w:t>目</w:t>
            </w:r>
          </w:p>
        </w:tc>
        <w:tc>
          <w:tcPr>
            <w:tcW w:w="3155" w:type="dxa"/>
            <w:tcBorders>
              <w:top w:val="single" w:color="auto" w:sz="4" w:space="0"/>
              <w:left w:val="nil"/>
              <w:bottom w:val="single" w:color="auto" w:sz="4" w:space="0"/>
              <w:right w:val="single" w:color="auto" w:sz="4" w:space="0"/>
            </w:tcBorders>
            <w:noWrap/>
            <w:vAlign w:val="center"/>
          </w:tcPr>
          <w:p w14:paraId="0A3F9DBB">
            <w:pPr>
              <w:widowControl/>
              <w:jc w:val="center"/>
              <w:rPr>
                <w:rFonts w:ascii="仿宋_GB2312" w:hAnsi="宋体" w:eastAsia="仿宋_GB2312" w:cs="宋体"/>
                <w:b/>
                <w:bCs/>
                <w:kern w:val="0"/>
                <w:sz w:val="22"/>
              </w:rPr>
            </w:pPr>
            <w:r>
              <w:rPr>
                <w:rFonts w:hint="eastAsia" w:ascii="仿宋_GB2312" w:hAnsi="宋体" w:eastAsia="仿宋_GB2312" w:cs="宋体"/>
                <w:b/>
                <w:bCs/>
                <w:kern w:val="0"/>
                <w:sz w:val="22"/>
              </w:rPr>
              <w:t>数量</w:t>
            </w:r>
          </w:p>
        </w:tc>
        <w:tc>
          <w:tcPr>
            <w:tcW w:w="5103" w:type="dxa"/>
            <w:tcBorders>
              <w:top w:val="single" w:color="auto" w:sz="4" w:space="0"/>
              <w:left w:val="nil"/>
              <w:bottom w:val="single" w:color="auto" w:sz="4" w:space="0"/>
              <w:right w:val="single" w:color="auto" w:sz="4" w:space="0"/>
            </w:tcBorders>
            <w:noWrap/>
            <w:vAlign w:val="center"/>
          </w:tcPr>
          <w:p w14:paraId="0D2376C1">
            <w:pPr>
              <w:widowControl/>
              <w:jc w:val="center"/>
              <w:rPr>
                <w:rFonts w:ascii="仿宋_GB2312" w:hAnsi="宋体" w:eastAsia="仿宋_GB2312" w:cs="宋体"/>
                <w:b/>
                <w:bCs/>
                <w:kern w:val="0"/>
                <w:sz w:val="22"/>
              </w:rPr>
            </w:pPr>
            <w:r>
              <w:rPr>
                <w:rFonts w:hint="eastAsia" w:ascii="仿宋_GB2312" w:hAnsi="宋体" w:eastAsia="仿宋_GB2312" w:cs="宋体"/>
                <w:b/>
                <w:bCs/>
                <w:kern w:val="0"/>
                <w:sz w:val="22"/>
              </w:rPr>
              <w:t>价值（金额单位：万元）</w:t>
            </w:r>
          </w:p>
        </w:tc>
      </w:tr>
      <w:tr w14:paraId="1B3919D9">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49B3A806">
            <w:pPr>
              <w:widowControl/>
              <w:jc w:val="center"/>
              <w:rPr>
                <w:rFonts w:ascii="仿宋_GB2312" w:hAnsi="宋体" w:eastAsia="仿宋_GB2312" w:cs="宋体"/>
                <w:kern w:val="0"/>
                <w:sz w:val="22"/>
              </w:rPr>
            </w:pPr>
            <w:r>
              <w:rPr>
                <w:rFonts w:hint="eastAsia" w:ascii="仿宋_GB2312" w:hAnsi="宋体" w:eastAsia="仿宋_GB2312" w:cs="宋体"/>
                <w:kern w:val="0"/>
                <w:sz w:val="22"/>
              </w:rPr>
              <w:t>资产总额</w:t>
            </w:r>
          </w:p>
        </w:tc>
        <w:tc>
          <w:tcPr>
            <w:tcW w:w="3155" w:type="dxa"/>
            <w:tcBorders>
              <w:top w:val="nil"/>
              <w:left w:val="nil"/>
              <w:bottom w:val="single" w:color="auto" w:sz="4" w:space="0"/>
              <w:right w:val="single" w:color="auto" w:sz="4" w:space="0"/>
            </w:tcBorders>
            <w:noWrap/>
            <w:vAlign w:val="center"/>
          </w:tcPr>
          <w:p w14:paraId="2A7D8E33">
            <w:pPr>
              <w:jc w:val="center"/>
              <w:rPr>
                <w:rFonts w:ascii="仿宋_GB2312" w:hAnsi="宋体" w:eastAsia="仿宋_GB2312" w:cs="宋体"/>
                <w:sz w:val="22"/>
              </w:rPr>
            </w:pPr>
            <w:r>
              <w:rPr>
                <w:rFonts w:ascii="仿宋_GB2312" w:eastAsia="仿宋_GB2312"/>
                <w:sz w:val="22"/>
              </w:rPr>
              <w:t>——</w:t>
            </w:r>
          </w:p>
        </w:tc>
        <w:tc>
          <w:tcPr>
            <w:tcW w:w="5103" w:type="dxa"/>
            <w:tcBorders>
              <w:top w:val="nil"/>
              <w:left w:val="nil"/>
              <w:bottom w:val="single" w:color="auto" w:sz="4" w:space="0"/>
              <w:right w:val="single" w:color="auto" w:sz="4" w:space="0"/>
            </w:tcBorders>
            <w:noWrap/>
            <w:vAlign w:val="center"/>
          </w:tcPr>
          <w:p w14:paraId="03CE4AFB">
            <w:pPr>
              <w:jc w:val="center"/>
              <w:rPr>
                <w:rFonts w:ascii="仿宋_GB2312" w:hAnsi="宋体" w:eastAsia="仿宋_GB2312" w:cs="宋体"/>
                <w:sz w:val="22"/>
              </w:rPr>
            </w:pPr>
            <w:r>
              <w:rPr>
                <w:rFonts w:hint="eastAsia" w:ascii="仿宋_GB2312" w:hAnsi="宋体" w:eastAsia="仿宋_GB2312" w:cs="宋体"/>
                <w:sz w:val="22"/>
              </w:rPr>
              <w:t>160.74</w:t>
            </w:r>
          </w:p>
        </w:tc>
      </w:tr>
      <w:tr w14:paraId="2D44E05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355C5821">
            <w:pPr>
              <w:widowControl/>
              <w:jc w:val="left"/>
              <w:rPr>
                <w:rFonts w:ascii="仿宋_GB2312" w:hAnsi="宋体" w:eastAsia="仿宋_GB2312" w:cs="宋体"/>
                <w:kern w:val="0"/>
                <w:sz w:val="22"/>
              </w:rPr>
            </w:pPr>
            <w:r>
              <w:rPr>
                <w:rFonts w:ascii="仿宋_GB2312" w:hAnsi="宋体" w:eastAsia="仿宋_GB2312" w:cs="宋体"/>
                <w:kern w:val="0"/>
                <w:sz w:val="22"/>
              </w:rPr>
              <w:t>1</w:t>
            </w:r>
            <w:r>
              <w:rPr>
                <w:rFonts w:hint="eastAsia" w:ascii="仿宋_GB2312" w:hAnsi="宋体" w:eastAsia="仿宋_GB2312" w:cs="宋体"/>
                <w:kern w:val="0"/>
                <w:sz w:val="22"/>
              </w:rPr>
              <w:t>、房屋（平方米）</w:t>
            </w:r>
          </w:p>
        </w:tc>
        <w:tc>
          <w:tcPr>
            <w:tcW w:w="3155" w:type="dxa"/>
            <w:tcBorders>
              <w:top w:val="nil"/>
              <w:left w:val="nil"/>
              <w:bottom w:val="single" w:color="auto" w:sz="4" w:space="0"/>
              <w:right w:val="single" w:color="auto" w:sz="4" w:space="0"/>
            </w:tcBorders>
            <w:noWrap/>
            <w:vAlign w:val="center"/>
          </w:tcPr>
          <w:p w14:paraId="798CDF2C">
            <w:pPr>
              <w:jc w:val="center"/>
              <w:rPr>
                <w:rFonts w:ascii="仿宋_GB2312" w:hAnsi="宋体" w:eastAsia="仿宋_GB2312" w:cs="宋体"/>
                <w:sz w:val="22"/>
              </w:rPr>
            </w:pPr>
          </w:p>
        </w:tc>
        <w:tc>
          <w:tcPr>
            <w:tcW w:w="5103" w:type="dxa"/>
            <w:tcBorders>
              <w:top w:val="nil"/>
              <w:left w:val="nil"/>
              <w:bottom w:val="single" w:color="auto" w:sz="4" w:space="0"/>
              <w:right w:val="single" w:color="auto" w:sz="4" w:space="0"/>
            </w:tcBorders>
            <w:noWrap/>
            <w:vAlign w:val="center"/>
          </w:tcPr>
          <w:p w14:paraId="15A8ED3D">
            <w:pPr>
              <w:jc w:val="center"/>
              <w:rPr>
                <w:rFonts w:ascii="仿宋_GB2312" w:hAnsi="宋体" w:eastAsia="仿宋_GB2312" w:cs="宋体"/>
                <w:sz w:val="22"/>
              </w:rPr>
            </w:pPr>
          </w:p>
        </w:tc>
      </w:tr>
      <w:tr w14:paraId="04F1259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3D6C4A0E">
            <w:pPr>
              <w:widowControl/>
              <w:jc w:val="left"/>
              <w:rPr>
                <w:rFonts w:ascii="仿宋_GB2312" w:hAnsi="宋体" w:eastAsia="仿宋_GB2312" w:cs="宋体"/>
                <w:kern w:val="0"/>
                <w:sz w:val="22"/>
              </w:rPr>
            </w:pPr>
            <w:r>
              <w:rPr>
                <w:rFonts w:ascii="仿宋_GB2312" w:hAnsi="宋体" w:eastAsia="仿宋_GB2312" w:cs="宋体"/>
                <w:kern w:val="0"/>
                <w:sz w:val="22"/>
              </w:rPr>
              <w:t xml:space="preserve">   </w:t>
            </w:r>
            <w:r>
              <w:rPr>
                <w:rFonts w:hint="eastAsia" w:ascii="仿宋_GB2312" w:hAnsi="宋体" w:eastAsia="仿宋_GB2312" w:cs="宋体"/>
                <w:kern w:val="0"/>
                <w:sz w:val="22"/>
              </w:rPr>
              <w:t>其中：办公用房（平方米）</w:t>
            </w:r>
          </w:p>
        </w:tc>
        <w:tc>
          <w:tcPr>
            <w:tcW w:w="3155" w:type="dxa"/>
            <w:tcBorders>
              <w:top w:val="nil"/>
              <w:left w:val="nil"/>
              <w:bottom w:val="single" w:color="auto" w:sz="4" w:space="0"/>
              <w:right w:val="single" w:color="auto" w:sz="4" w:space="0"/>
            </w:tcBorders>
            <w:noWrap/>
            <w:vAlign w:val="center"/>
          </w:tcPr>
          <w:p w14:paraId="17E5D1CF">
            <w:pPr>
              <w:jc w:val="center"/>
              <w:rPr>
                <w:rFonts w:ascii="仿宋_GB2312" w:hAnsi="宋体" w:eastAsia="仿宋_GB2312" w:cs="宋体"/>
                <w:sz w:val="22"/>
              </w:rPr>
            </w:pPr>
          </w:p>
        </w:tc>
        <w:tc>
          <w:tcPr>
            <w:tcW w:w="5103" w:type="dxa"/>
            <w:tcBorders>
              <w:top w:val="nil"/>
              <w:left w:val="nil"/>
              <w:bottom w:val="single" w:color="auto" w:sz="4" w:space="0"/>
              <w:right w:val="single" w:color="auto" w:sz="4" w:space="0"/>
            </w:tcBorders>
            <w:noWrap/>
            <w:vAlign w:val="center"/>
          </w:tcPr>
          <w:p w14:paraId="6AC195A5">
            <w:pPr>
              <w:jc w:val="center"/>
              <w:rPr>
                <w:rFonts w:ascii="仿宋_GB2312" w:hAnsi="宋体" w:eastAsia="仿宋_GB2312" w:cs="宋体"/>
                <w:sz w:val="22"/>
              </w:rPr>
            </w:pPr>
          </w:p>
        </w:tc>
      </w:tr>
      <w:tr w14:paraId="30C0D23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44502EAC">
            <w:pPr>
              <w:widowControl/>
              <w:jc w:val="left"/>
              <w:rPr>
                <w:rFonts w:ascii="仿宋_GB2312" w:hAnsi="宋体" w:eastAsia="仿宋_GB2312" w:cs="宋体"/>
                <w:kern w:val="0"/>
                <w:sz w:val="22"/>
              </w:rPr>
            </w:pPr>
            <w:r>
              <w:rPr>
                <w:rFonts w:ascii="仿宋_GB2312" w:hAnsi="宋体" w:eastAsia="仿宋_GB2312" w:cs="宋体"/>
                <w:kern w:val="0"/>
                <w:sz w:val="22"/>
              </w:rPr>
              <w:t>2</w:t>
            </w:r>
            <w:r>
              <w:rPr>
                <w:rFonts w:hint="eastAsia" w:ascii="仿宋_GB2312" w:hAnsi="宋体" w:eastAsia="仿宋_GB2312" w:cs="宋体"/>
                <w:kern w:val="0"/>
                <w:sz w:val="22"/>
              </w:rPr>
              <w:t>、车辆（台、辆）</w:t>
            </w:r>
          </w:p>
        </w:tc>
        <w:tc>
          <w:tcPr>
            <w:tcW w:w="3155" w:type="dxa"/>
            <w:tcBorders>
              <w:top w:val="nil"/>
              <w:left w:val="nil"/>
              <w:bottom w:val="single" w:color="auto" w:sz="4" w:space="0"/>
              <w:right w:val="single" w:color="auto" w:sz="4" w:space="0"/>
            </w:tcBorders>
            <w:noWrap/>
            <w:vAlign w:val="center"/>
          </w:tcPr>
          <w:p w14:paraId="4533587F">
            <w:pPr>
              <w:jc w:val="center"/>
              <w:rPr>
                <w:rFonts w:ascii="仿宋_GB2312" w:hAnsi="宋体" w:eastAsia="仿宋_GB2312" w:cs="宋体"/>
                <w:sz w:val="22"/>
              </w:rPr>
            </w:pPr>
            <w:r>
              <w:rPr>
                <w:rFonts w:ascii="仿宋_GB2312" w:hAnsi="宋体" w:eastAsia="仿宋_GB2312" w:cs="宋体"/>
                <w:sz w:val="22"/>
              </w:rPr>
              <w:t>1</w:t>
            </w:r>
          </w:p>
        </w:tc>
        <w:tc>
          <w:tcPr>
            <w:tcW w:w="5103" w:type="dxa"/>
            <w:tcBorders>
              <w:top w:val="nil"/>
              <w:left w:val="nil"/>
              <w:bottom w:val="single" w:color="auto" w:sz="4" w:space="0"/>
              <w:right w:val="single" w:color="auto" w:sz="4" w:space="0"/>
            </w:tcBorders>
            <w:noWrap/>
            <w:vAlign w:val="center"/>
          </w:tcPr>
          <w:p w14:paraId="5F609CD6">
            <w:pPr>
              <w:jc w:val="center"/>
              <w:rPr>
                <w:rFonts w:ascii="仿宋_GB2312" w:hAnsi="宋体" w:eastAsia="仿宋_GB2312" w:cs="宋体"/>
                <w:sz w:val="22"/>
              </w:rPr>
            </w:pPr>
            <w:r>
              <w:rPr>
                <w:rFonts w:ascii="仿宋_GB2312" w:hAnsi="宋体" w:eastAsia="仿宋_GB2312" w:cs="宋体"/>
                <w:sz w:val="22"/>
              </w:rPr>
              <w:t>18.51</w:t>
            </w:r>
          </w:p>
        </w:tc>
      </w:tr>
      <w:tr w14:paraId="393D782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vAlign w:val="center"/>
          </w:tcPr>
          <w:p w14:paraId="3D9F7BBB">
            <w:pPr>
              <w:widowControl/>
              <w:jc w:val="left"/>
              <w:rPr>
                <w:rFonts w:ascii="仿宋_GB2312" w:hAnsi="宋体" w:eastAsia="仿宋_GB2312" w:cs="宋体"/>
                <w:kern w:val="0"/>
                <w:sz w:val="22"/>
              </w:rPr>
            </w:pPr>
            <w:r>
              <w:rPr>
                <w:rFonts w:ascii="仿宋_GB2312" w:hAnsi="宋体" w:eastAsia="仿宋_GB2312" w:cs="宋体"/>
                <w:kern w:val="0"/>
                <w:sz w:val="22"/>
              </w:rPr>
              <w:t>3</w:t>
            </w:r>
            <w:r>
              <w:rPr>
                <w:rFonts w:hint="eastAsia" w:ascii="仿宋_GB2312" w:hAnsi="宋体" w:eastAsia="仿宋_GB2312" w:cs="宋体"/>
                <w:kern w:val="0"/>
                <w:sz w:val="22"/>
              </w:rPr>
              <w:t>、单价在</w:t>
            </w:r>
            <w:r>
              <w:rPr>
                <w:rFonts w:ascii="仿宋_GB2312" w:hAnsi="宋体" w:eastAsia="仿宋_GB2312" w:cs="宋体"/>
                <w:kern w:val="0"/>
                <w:sz w:val="22"/>
              </w:rPr>
              <w:t>20</w:t>
            </w:r>
            <w:r>
              <w:rPr>
                <w:rFonts w:hint="eastAsia" w:ascii="仿宋_GB2312" w:hAnsi="宋体" w:eastAsia="仿宋_GB2312" w:cs="宋体"/>
                <w:kern w:val="0"/>
                <w:sz w:val="22"/>
              </w:rPr>
              <w:t>万元以上的设备</w:t>
            </w:r>
          </w:p>
        </w:tc>
        <w:tc>
          <w:tcPr>
            <w:tcW w:w="3155" w:type="dxa"/>
            <w:tcBorders>
              <w:top w:val="nil"/>
              <w:left w:val="nil"/>
              <w:bottom w:val="single" w:color="auto" w:sz="4" w:space="0"/>
              <w:right w:val="single" w:color="auto" w:sz="4" w:space="0"/>
            </w:tcBorders>
            <w:noWrap/>
            <w:vAlign w:val="center"/>
          </w:tcPr>
          <w:p w14:paraId="41572E9C">
            <w:pPr>
              <w:jc w:val="center"/>
              <w:rPr>
                <w:rFonts w:ascii="仿宋_GB2312" w:hAnsi="宋体" w:eastAsia="仿宋_GB2312" w:cs="宋体"/>
                <w:sz w:val="22"/>
              </w:rPr>
            </w:pPr>
          </w:p>
        </w:tc>
        <w:tc>
          <w:tcPr>
            <w:tcW w:w="5103" w:type="dxa"/>
            <w:tcBorders>
              <w:top w:val="nil"/>
              <w:left w:val="nil"/>
              <w:bottom w:val="single" w:color="auto" w:sz="4" w:space="0"/>
              <w:right w:val="single" w:color="auto" w:sz="4" w:space="0"/>
            </w:tcBorders>
            <w:noWrap/>
            <w:vAlign w:val="center"/>
          </w:tcPr>
          <w:p w14:paraId="0C660B1B">
            <w:pPr>
              <w:jc w:val="center"/>
              <w:rPr>
                <w:rFonts w:ascii="仿宋_GB2312" w:hAnsi="宋体" w:eastAsia="仿宋_GB2312" w:cs="宋体"/>
                <w:sz w:val="22"/>
              </w:rPr>
            </w:pPr>
          </w:p>
        </w:tc>
      </w:tr>
      <w:tr w14:paraId="6DE3547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25C9CEAE">
            <w:pPr>
              <w:widowControl/>
              <w:jc w:val="left"/>
              <w:rPr>
                <w:rFonts w:ascii="仿宋_GB2312" w:hAnsi="宋体" w:eastAsia="仿宋_GB2312" w:cs="宋体"/>
                <w:kern w:val="0"/>
                <w:sz w:val="22"/>
              </w:rPr>
            </w:pPr>
            <w:r>
              <w:rPr>
                <w:rFonts w:ascii="仿宋_GB2312" w:hAnsi="宋体" w:eastAsia="仿宋_GB2312" w:cs="宋体"/>
                <w:kern w:val="0"/>
                <w:sz w:val="22"/>
              </w:rPr>
              <w:t>4</w:t>
            </w:r>
            <w:r>
              <w:rPr>
                <w:rFonts w:hint="eastAsia" w:ascii="仿宋_GB2312" w:hAnsi="宋体" w:eastAsia="仿宋_GB2312" w:cs="宋体"/>
                <w:kern w:val="0"/>
                <w:sz w:val="22"/>
              </w:rPr>
              <w:t>、其他固定资产</w:t>
            </w:r>
          </w:p>
        </w:tc>
        <w:tc>
          <w:tcPr>
            <w:tcW w:w="3155" w:type="dxa"/>
            <w:tcBorders>
              <w:top w:val="nil"/>
              <w:left w:val="nil"/>
              <w:bottom w:val="single" w:color="auto" w:sz="4" w:space="0"/>
              <w:right w:val="single" w:color="auto" w:sz="4" w:space="0"/>
            </w:tcBorders>
            <w:noWrap/>
            <w:vAlign w:val="center"/>
          </w:tcPr>
          <w:p w14:paraId="3ED24BCC">
            <w:pPr>
              <w:jc w:val="center"/>
              <w:rPr>
                <w:rFonts w:ascii="仿宋_GB2312" w:hAnsi="宋体" w:eastAsia="仿宋_GB2312" w:cs="宋体"/>
                <w:sz w:val="22"/>
              </w:rPr>
            </w:pPr>
          </w:p>
        </w:tc>
        <w:tc>
          <w:tcPr>
            <w:tcW w:w="5103" w:type="dxa"/>
            <w:tcBorders>
              <w:top w:val="nil"/>
              <w:left w:val="nil"/>
              <w:bottom w:val="single" w:color="auto" w:sz="4" w:space="0"/>
              <w:right w:val="single" w:color="auto" w:sz="4" w:space="0"/>
            </w:tcBorders>
            <w:noWrap/>
            <w:vAlign w:val="center"/>
          </w:tcPr>
          <w:p w14:paraId="146EC928">
            <w:pPr>
              <w:jc w:val="center"/>
              <w:rPr>
                <w:rFonts w:ascii="仿宋_GB2312" w:hAnsi="宋体" w:eastAsia="仿宋_GB2312" w:cs="宋体"/>
                <w:sz w:val="22"/>
              </w:rPr>
            </w:pPr>
            <w:r>
              <w:rPr>
                <w:rFonts w:hint="eastAsia" w:ascii="仿宋_GB2312" w:hAnsi="宋体" w:eastAsia="仿宋_GB2312" w:cs="宋体"/>
                <w:sz w:val="22"/>
              </w:rPr>
              <w:t>142.23</w:t>
            </w:r>
          </w:p>
        </w:tc>
      </w:tr>
    </w:tbl>
    <w:p w14:paraId="1C81547C">
      <w:pPr>
        <w:autoSpaceDE w:val="0"/>
        <w:autoSpaceDN w:val="0"/>
        <w:adjustRightInd w:val="0"/>
        <w:ind w:firstLine="640" w:firstLineChars="200"/>
        <w:jc w:val="left"/>
        <w:rPr>
          <w:rFonts w:ascii="黑体" w:hAnsi="黑体" w:eastAsia="黑体"/>
          <w:sz w:val="32"/>
          <w:szCs w:val="32"/>
        </w:rPr>
      </w:pPr>
    </w:p>
    <w:p w14:paraId="5BFE7EE3">
      <w:pPr>
        <w:autoSpaceDE w:val="0"/>
        <w:autoSpaceDN w:val="0"/>
        <w:adjustRightInd w:val="0"/>
        <w:ind w:firstLine="640" w:firstLineChars="200"/>
        <w:jc w:val="left"/>
        <w:rPr>
          <w:rFonts w:ascii="黑体" w:hAnsi="黑体" w:eastAsia="黑体"/>
          <w:sz w:val="32"/>
          <w:szCs w:val="32"/>
        </w:rPr>
      </w:pPr>
      <w:r>
        <w:rPr>
          <w:rFonts w:hint="eastAsia" w:ascii="黑体" w:hAnsi="黑体" w:eastAsia="黑体"/>
          <w:sz w:val="32"/>
          <w:szCs w:val="32"/>
        </w:rPr>
        <w:t>八、名词解释</w:t>
      </w:r>
    </w:p>
    <w:p w14:paraId="56C33C71">
      <w:pPr>
        <w:tabs>
          <w:tab w:val="left" w:pos="11490"/>
        </w:tabs>
        <w:ind w:firstLine="643" w:firstLineChars="200"/>
        <w:rPr>
          <w:rFonts w:ascii="仿宋_GB2312" w:hAnsi="Times New Roman" w:eastAsia="仿宋_GB2312"/>
          <w:sz w:val="32"/>
          <w:szCs w:val="32"/>
        </w:rPr>
      </w:pPr>
      <w:r>
        <w:rPr>
          <w:rFonts w:ascii="仿宋_GB2312" w:hAnsi="Times New Roman" w:eastAsia="仿宋_GB2312"/>
          <w:b/>
          <w:sz w:val="32"/>
          <w:szCs w:val="32"/>
        </w:rPr>
        <w:t>1</w:t>
      </w:r>
      <w:r>
        <w:rPr>
          <w:rFonts w:hint="eastAsia" w:ascii="仿宋_GB2312" w:hAnsi="Times New Roman" w:eastAsia="仿宋_GB2312"/>
          <w:b/>
          <w:sz w:val="32"/>
          <w:szCs w:val="32"/>
        </w:rPr>
        <w:t>、一般公共预算拨款收入：</w:t>
      </w:r>
      <w:r>
        <w:rPr>
          <w:rFonts w:hint="eastAsia" w:ascii="仿宋_GB2312" w:hAnsi="Times New Roman" w:eastAsia="仿宋_GB2312"/>
          <w:sz w:val="32"/>
          <w:szCs w:val="32"/>
        </w:rPr>
        <w:t>指市级财政当年拨付的资金。</w:t>
      </w:r>
    </w:p>
    <w:p w14:paraId="14A3114A">
      <w:pPr>
        <w:tabs>
          <w:tab w:val="left" w:pos="11490"/>
        </w:tabs>
        <w:ind w:firstLine="643" w:firstLineChars="200"/>
        <w:rPr>
          <w:rFonts w:ascii="仿宋_GB2312" w:hAnsi="Times New Roman" w:eastAsia="仿宋_GB2312"/>
          <w:sz w:val="32"/>
          <w:szCs w:val="32"/>
        </w:rPr>
      </w:pPr>
      <w:r>
        <w:rPr>
          <w:rFonts w:ascii="仿宋_GB2312" w:hAnsi="Times New Roman" w:eastAsia="仿宋_GB2312"/>
          <w:b/>
          <w:sz w:val="32"/>
          <w:szCs w:val="32"/>
        </w:rPr>
        <w:t>2</w:t>
      </w:r>
      <w:r>
        <w:rPr>
          <w:rFonts w:hint="eastAsia" w:ascii="仿宋_GB2312" w:hAnsi="Times New Roman" w:eastAsia="仿宋_GB2312"/>
          <w:b/>
          <w:sz w:val="32"/>
          <w:szCs w:val="32"/>
        </w:rPr>
        <w:t>、事业收入：</w:t>
      </w:r>
      <w:r>
        <w:rPr>
          <w:rFonts w:hint="eastAsia" w:ascii="仿宋_GB2312" w:hAnsi="Times New Roman" w:eastAsia="仿宋_GB2312"/>
          <w:sz w:val="32"/>
          <w:szCs w:val="32"/>
        </w:rPr>
        <w:t>指事业单位开展专业业务活动及辅助活动所取得的收入。</w:t>
      </w:r>
    </w:p>
    <w:p w14:paraId="03CB0136">
      <w:pPr>
        <w:tabs>
          <w:tab w:val="left" w:pos="11490"/>
        </w:tabs>
        <w:ind w:firstLine="643" w:firstLineChars="200"/>
        <w:rPr>
          <w:rFonts w:ascii="仿宋_GB2312" w:hAnsi="Times New Roman" w:eastAsia="仿宋_GB2312"/>
          <w:b/>
          <w:sz w:val="32"/>
          <w:szCs w:val="32"/>
        </w:rPr>
      </w:pPr>
      <w:r>
        <w:rPr>
          <w:rFonts w:ascii="仿宋_GB2312" w:hAnsi="Times New Roman" w:eastAsia="仿宋_GB2312"/>
          <w:b/>
          <w:sz w:val="32"/>
          <w:szCs w:val="32"/>
        </w:rPr>
        <w:t>3</w:t>
      </w:r>
      <w:r>
        <w:rPr>
          <w:rFonts w:hint="eastAsia" w:ascii="仿宋_GB2312" w:hAnsi="Times New Roman" w:eastAsia="仿宋_GB2312"/>
          <w:b/>
          <w:sz w:val="32"/>
          <w:szCs w:val="32"/>
        </w:rPr>
        <w:t>、其他收入：</w:t>
      </w:r>
      <w:r>
        <w:rPr>
          <w:rFonts w:hint="eastAsia" w:ascii="仿宋_GB2312" w:hAnsi="Times New Roman" w:eastAsia="仿宋_GB2312"/>
          <w:sz w:val="32"/>
          <w:szCs w:val="32"/>
        </w:rPr>
        <w:t>指除“一般公共预算拨款收入”、“事业收入”等以外的收入。主要是按规定动用的租房收入、存款利息收入等。</w:t>
      </w:r>
    </w:p>
    <w:p w14:paraId="1CBE249E">
      <w:pPr>
        <w:tabs>
          <w:tab w:val="left" w:pos="11490"/>
        </w:tabs>
        <w:ind w:firstLine="643" w:firstLineChars="200"/>
        <w:rPr>
          <w:rFonts w:ascii="仿宋_GB2312" w:hAnsi="Times New Roman" w:eastAsia="仿宋_GB2312"/>
          <w:sz w:val="32"/>
          <w:szCs w:val="32"/>
        </w:rPr>
      </w:pPr>
      <w:r>
        <w:rPr>
          <w:rFonts w:ascii="仿宋_GB2312" w:hAnsi="Times New Roman" w:eastAsia="仿宋_GB2312"/>
          <w:b/>
          <w:sz w:val="32"/>
          <w:szCs w:val="32"/>
        </w:rPr>
        <w:t>4</w:t>
      </w:r>
      <w:r>
        <w:rPr>
          <w:rFonts w:hint="eastAsia" w:ascii="仿宋_GB2312" w:hAnsi="Times New Roman" w:eastAsia="仿宋_GB2312"/>
          <w:b/>
          <w:sz w:val="32"/>
          <w:szCs w:val="32"/>
        </w:rPr>
        <w:t>、基本支出：</w:t>
      </w:r>
      <w:r>
        <w:rPr>
          <w:rFonts w:hint="eastAsia" w:ascii="仿宋_GB2312" w:hAnsi="Times New Roman" w:eastAsia="仿宋_GB2312"/>
          <w:sz w:val="32"/>
          <w:szCs w:val="32"/>
        </w:rPr>
        <w:t>指为保障机构正常运转、完成日常工作任务而发生的人员支出和公用支出。</w:t>
      </w:r>
    </w:p>
    <w:p w14:paraId="6C98222C">
      <w:pPr>
        <w:tabs>
          <w:tab w:val="left" w:pos="11490"/>
        </w:tabs>
        <w:ind w:firstLine="643" w:firstLineChars="200"/>
        <w:rPr>
          <w:rFonts w:ascii="仿宋_GB2312" w:hAnsi="Times New Roman" w:eastAsia="仿宋_GB2312"/>
          <w:sz w:val="32"/>
          <w:szCs w:val="32"/>
        </w:rPr>
      </w:pPr>
      <w:r>
        <w:rPr>
          <w:rFonts w:ascii="仿宋_GB2312" w:hAnsi="Times New Roman" w:eastAsia="仿宋_GB2312"/>
          <w:b/>
          <w:sz w:val="32"/>
          <w:szCs w:val="32"/>
        </w:rPr>
        <w:t>5</w:t>
      </w:r>
      <w:r>
        <w:rPr>
          <w:rFonts w:hint="eastAsia" w:ascii="仿宋_GB2312" w:hAnsi="Times New Roman" w:eastAsia="仿宋_GB2312"/>
          <w:b/>
          <w:sz w:val="32"/>
          <w:szCs w:val="32"/>
        </w:rPr>
        <w:t>、项目支出：</w:t>
      </w:r>
      <w:r>
        <w:rPr>
          <w:rFonts w:hint="eastAsia" w:ascii="仿宋_GB2312" w:hAnsi="Times New Roman" w:eastAsia="仿宋_GB2312"/>
          <w:sz w:val="32"/>
          <w:szCs w:val="32"/>
        </w:rPr>
        <w:t>指在基本支出之外为完成特定行政任务和事业发展目标所发生的支出。</w:t>
      </w:r>
    </w:p>
    <w:p w14:paraId="5C7BA4E6">
      <w:pPr>
        <w:tabs>
          <w:tab w:val="left" w:pos="11490"/>
        </w:tabs>
        <w:ind w:firstLine="643" w:firstLineChars="200"/>
        <w:rPr>
          <w:rFonts w:ascii="仿宋_GB2312" w:hAnsi="Times New Roman" w:eastAsia="仿宋_GB2312"/>
          <w:sz w:val="32"/>
          <w:szCs w:val="32"/>
        </w:rPr>
      </w:pPr>
      <w:r>
        <w:rPr>
          <w:rFonts w:ascii="仿宋_GB2312" w:hAnsi="Times New Roman" w:eastAsia="仿宋_GB2312"/>
          <w:b/>
          <w:sz w:val="32"/>
          <w:szCs w:val="32"/>
        </w:rPr>
        <w:t>6</w:t>
      </w:r>
      <w:r>
        <w:rPr>
          <w:rFonts w:hint="eastAsia" w:ascii="仿宋_GB2312" w:hAnsi="Times New Roman" w:eastAsia="仿宋_GB2312"/>
          <w:b/>
          <w:sz w:val="32"/>
          <w:szCs w:val="32"/>
        </w:rPr>
        <w:t>、上缴上级支出：</w:t>
      </w:r>
      <w:r>
        <w:rPr>
          <w:rFonts w:hint="eastAsia" w:ascii="仿宋_GB2312" w:hAnsi="Times New Roman" w:eastAsia="仿宋_GB2312"/>
          <w:sz w:val="32"/>
          <w:szCs w:val="32"/>
        </w:rPr>
        <w:t>指下级单位上缴上级的支出。</w:t>
      </w:r>
    </w:p>
    <w:p w14:paraId="779148B8">
      <w:pPr>
        <w:tabs>
          <w:tab w:val="left" w:pos="11490"/>
        </w:tabs>
        <w:ind w:firstLine="643" w:firstLineChars="200"/>
        <w:rPr>
          <w:rFonts w:ascii="仿宋_GB2312" w:hAnsi="Times New Roman" w:eastAsia="仿宋_GB2312"/>
          <w:sz w:val="32"/>
          <w:szCs w:val="32"/>
        </w:rPr>
      </w:pPr>
      <w:r>
        <w:rPr>
          <w:rFonts w:ascii="仿宋_GB2312" w:hAnsi="Times New Roman" w:eastAsia="仿宋_GB2312"/>
          <w:b/>
          <w:sz w:val="32"/>
          <w:szCs w:val="32"/>
        </w:rPr>
        <w:t>7</w:t>
      </w:r>
      <w:r>
        <w:rPr>
          <w:rFonts w:hint="eastAsia" w:ascii="仿宋_GB2312" w:hAnsi="Times New Roman" w:eastAsia="仿宋_GB2312"/>
          <w:b/>
          <w:sz w:val="32"/>
          <w:szCs w:val="32"/>
        </w:rPr>
        <w:t>、“三公”经费：</w:t>
      </w:r>
      <w:r>
        <w:rPr>
          <w:rFonts w:hint="eastAsia" w:ascii="仿宋_GB2312" w:hAnsi="Times New Roman" w:eastAsia="仿宋_GB2312"/>
          <w:sz w:val="32"/>
          <w:szCs w:val="32"/>
        </w:rPr>
        <w:t>纳入市级财政预算管理的“三公”经费，是指市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01049042">
      <w:pPr>
        <w:tabs>
          <w:tab w:val="left" w:pos="11490"/>
        </w:tabs>
        <w:ind w:firstLine="643" w:firstLineChars="200"/>
        <w:rPr>
          <w:rFonts w:ascii="仿宋_GB2312" w:hAnsi="Times New Roman" w:eastAsia="仿宋_GB2312"/>
          <w:sz w:val="32"/>
          <w:szCs w:val="32"/>
        </w:rPr>
      </w:pPr>
      <w:r>
        <w:rPr>
          <w:rFonts w:ascii="仿宋_GB2312" w:hAnsi="Times New Roman" w:eastAsia="仿宋_GB2312"/>
          <w:b/>
          <w:sz w:val="32"/>
          <w:szCs w:val="32"/>
        </w:rPr>
        <w:t>8</w:t>
      </w:r>
      <w:r>
        <w:rPr>
          <w:rFonts w:hint="eastAsia" w:ascii="仿宋_GB2312" w:hAnsi="Times New Roman" w:eastAsia="仿宋_GB2312"/>
          <w:b/>
          <w:sz w:val="32"/>
          <w:szCs w:val="32"/>
        </w:rPr>
        <w:t>、机关运行费：</w:t>
      </w:r>
      <w:r>
        <w:rPr>
          <w:rFonts w:hint="eastAsia" w:ascii="仿宋_GB2312"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D51114A">
      <w:pPr>
        <w:tabs>
          <w:tab w:val="left" w:pos="11490"/>
        </w:tabs>
        <w:ind w:firstLine="643" w:firstLineChars="200"/>
        <w:rPr>
          <w:rFonts w:ascii="仿宋_GB2312" w:hAnsi="Times New Roman" w:eastAsia="仿宋_GB2312"/>
          <w:sz w:val="32"/>
          <w:szCs w:val="32"/>
        </w:rPr>
      </w:pPr>
      <w:r>
        <w:rPr>
          <w:rFonts w:ascii="仿宋_GB2312" w:hAnsi="Times New Roman" w:eastAsia="仿宋_GB2312"/>
          <w:b/>
          <w:sz w:val="32"/>
          <w:szCs w:val="32"/>
        </w:rPr>
        <w:t>9</w:t>
      </w:r>
      <w:r>
        <w:rPr>
          <w:rFonts w:hint="eastAsia" w:ascii="仿宋_GB2312" w:hAnsi="Times New Roman" w:eastAsia="仿宋_GB2312"/>
          <w:b/>
          <w:sz w:val="32"/>
          <w:szCs w:val="32"/>
        </w:rPr>
        <w:t>、上年结转：</w:t>
      </w:r>
      <w:r>
        <w:rPr>
          <w:rFonts w:hint="eastAsia" w:ascii="仿宋_GB2312" w:hAnsi="Times New Roman" w:eastAsia="仿宋_GB2312"/>
          <w:sz w:val="32"/>
          <w:szCs w:val="32"/>
        </w:rPr>
        <w:t>指以前年度尚未完成、结转到本年仍按原规定用途继续使用的资金。</w:t>
      </w:r>
    </w:p>
    <w:p w14:paraId="3E409669">
      <w:pPr>
        <w:tabs>
          <w:tab w:val="left" w:pos="11490"/>
        </w:tabs>
        <w:ind w:firstLine="643" w:firstLineChars="200"/>
        <w:rPr>
          <w:rFonts w:ascii="仿宋_GB2312" w:hAnsi="Times New Roman" w:eastAsia="仿宋_GB2312"/>
          <w:sz w:val="32"/>
          <w:szCs w:val="32"/>
        </w:rPr>
      </w:pPr>
      <w:r>
        <w:rPr>
          <w:rFonts w:ascii="仿宋_GB2312" w:hAnsi="Times New Roman" w:eastAsia="仿宋_GB2312"/>
          <w:b/>
          <w:sz w:val="32"/>
          <w:szCs w:val="32"/>
        </w:rPr>
        <w:t>10</w:t>
      </w:r>
      <w:r>
        <w:rPr>
          <w:rFonts w:hint="eastAsia" w:ascii="仿宋_GB2312" w:hAnsi="Times New Roman" w:eastAsia="仿宋_GB2312"/>
          <w:b/>
          <w:sz w:val="32"/>
          <w:szCs w:val="32"/>
        </w:rPr>
        <w:t>、事业单位经营支出：</w:t>
      </w:r>
      <w:r>
        <w:rPr>
          <w:rFonts w:hint="eastAsia" w:ascii="仿宋_GB2312" w:hAnsi="Times New Roman" w:eastAsia="仿宋_GB2312"/>
          <w:sz w:val="32"/>
          <w:szCs w:val="32"/>
        </w:rPr>
        <w:t>指事业单位在专业业务活动及其辅助活动之外开展非独立核算经营活动发生的支出。</w:t>
      </w:r>
    </w:p>
    <w:p w14:paraId="093E2537">
      <w:pPr>
        <w:autoSpaceDE w:val="0"/>
        <w:autoSpaceDN w:val="0"/>
        <w:adjustRightInd w:val="0"/>
        <w:ind w:firstLine="640" w:firstLineChars="200"/>
        <w:jc w:val="left"/>
        <w:rPr>
          <w:rFonts w:ascii="黑体" w:hAnsi="黑体" w:eastAsia="黑体"/>
          <w:sz w:val="32"/>
          <w:szCs w:val="32"/>
        </w:rPr>
      </w:pPr>
      <w:r>
        <w:rPr>
          <w:rFonts w:hint="eastAsia" w:ascii="黑体" w:hAnsi="黑体" w:eastAsia="黑体"/>
          <w:sz w:val="32"/>
          <w:szCs w:val="32"/>
        </w:rPr>
        <w:t>九、其他需要说明的事项</w:t>
      </w:r>
    </w:p>
    <w:p w14:paraId="53BC3E5D">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我部门无其他需要说明的事项。</w:t>
      </w:r>
    </w:p>
    <w:p w14:paraId="6C0B15F4">
      <w:pPr>
        <w:ind w:firstLine="640" w:firstLineChars="200"/>
        <w:rPr>
          <w:rFonts w:ascii="仿宋_GB2312" w:hAnsi="Times New Roman" w:eastAsia="仿宋_GB2312"/>
          <w:sz w:val="32"/>
          <w:szCs w:val="32"/>
        </w:rPr>
      </w:pPr>
    </w:p>
    <w:p w14:paraId="3D99D34A">
      <w:pPr>
        <w:ind w:firstLine="640" w:firstLineChars="200"/>
        <w:rPr>
          <w:rFonts w:ascii="仿宋_GB2312" w:hAnsi="Times New Roman" w:eastAsia="仿宋_GB2312"/>
          <w:sz w:val="32"/>
          <w:szCs w:val="32"/>
        </w:rPr>
      </w:pPr>
    </w:p>
    <w:p w14:paraId="6FFECB8A">
      <w:pPr>
        <w:ind w:firstLine="640" w:firstLineChars="200"/>
        <w:rPr>
          <w:rFonts w:ascii="仿宋_GB2312" w:hAnsi="Times New Roman" w:eastAsia="仿宋_GB2312"/>
          <w:sz w:val="32"/>
          <w:szCs w:val="32"/>
        </w:rPr>
      </w:pPr>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FZFangSong-Z02">
    <w:altName w:val="Segoe Print"/>
    <w:panose1 w:val="00000000000000000000"/>
    <w:charset w:val="00"/>
    <w:family w:val="auto"/>
    <w:pitch w:val="default"/>
    <w:sig w:usb0="00000000" w:usb1="00000000" w:usb2="00000000" w:usb3="00000000" w:csb0="0000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6D763">
    <w:pPr>
      <w:pStyle w:val="4"/>
      <w:jc w:val="center"/>
    </w:pPr>
    <w:r>
      <w:t>-</w:t>
    </w:r>
    <w:r>
      <w:fldChar w:fldCharType="begin"/>
    </w:r>
    <w:r>
      <w:instrText xml:space="preserve">PAGE   \* MERGEFORMAT</w:instrText>
    </w:r>
    <w:r>
      <w:fldChar w:fldCharType="separate"/>
    </w:r>
    <w:r>
      <w:rPr>
        <w:lang w:val="zh-CN"/>
      </w:rPr>
      <w:t>2</w:t>
    </w:r>
    <w:r>
      <w:rPr>
        <w:lang w:val="zh-CN"/>
      </w:rPr>
      <w:fldChar w:fldCharType="end"/>
    </w:r>
    <w:r>
      <w:t>-</w:t>
    </w:r>
  </w:p>
  <w:p w14:paraId="5BEE860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4FAD3">
    <w:pPr>
      <w:pStyle w:val="4"/>
      <w:jc w:val="center"/>
    </w:pPr>
    <w:r>
      <w:rPr>
        <w:rFonts w:hint="eastAsia"/>
      </w:rPr>
      <w:t>-10-</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6032"/>
    <w:rsid w:val="000053CC"/>
    <w:rsid w:val="0003336F"/>
    <w:rsid w:val="00037AF6"/>
    <w:rsid w:val="0004565F"/>
    <w:rsid w:val="00071829"/>
    <w:rsid w:val="00072187"/>
    <w:rsid w:val="00075D5F"/>
    <w:rsid w:val="0008180F"/>
    <w:rsid w:val="00093DA3"/>
    <w:rsid w:val="000B2965"/>
    <w:rsid w:val="000B529B"/>
    <w:rsid w:val="000C24E6"/>
    <w:rsid w:val="000C3A19"/>
    <w:rsid w:val="000D6A6D"/>
    <w:rsid w:val="000E6A0B"/>
    <w:rsid w:val="000F0D09"/>
    <w:rsid w:val="000F7890"/>
    <w:rsid w:val="0011053D"/>
    <w:rsid w:val="00115C26"/>
    <w:rsid w:val="001245BB"/>
    <w:rsid w:val="001251A3"/>
    <w:rsid w:val="00151B08"/>
    <w:rsid w:val="001620F1"/>
    <w:rsid w:val="001643E8"/>
    <w:rsid w:val="0017113A"/>
    <w:rsid w:val="00175AD5"/>
    <w:rsid w:val="00176C13"/>
    <w:rsid w:val="001919C4"/>
    <w:rsid w:val="0019723B"/>
    <w:rsid w:val="001B1013"/>
    <w:rsid w:val="001B72AB"/>
    <w:rsid w:val="001D1E48"/>
    <w:rsid w:val="001E0757"/>
    <w:rsid w:val="001E6DDC"/>
    <w:rsid w:val="001F7873"/>
    <w:rsid w:val="00230E48"/>
    <w:rsid w:val="00241FD4"/>
    <w:rsid w:val="00242789"/>
    <w:rsid w:val="00251B12"/>
    <w:rsid w:val="002645FB"/>
    <w:rsid w:val="00265318"/>
    <w:rsid w:val="002835D7"/>
    <w:rsid w:val="00290FD6"/>
    <w:rsid w:val="00296113"/>
    <w:rsid w:val="002A673A"/>
    <w:rsid w:val="002A7B86"/>
    <w:rsid w:val="002C5E13"/>
    <w:rsid w:val="002C62BC"/>
    <w:rsid w:val="002E0EB8"/>
    <w:rsid w:val="002F3E58"/>
    <w:rsid w:val="0030542C"/>
    <w:rsid w:val="00311B7A"/>
    <w:rsid w:val="003126B6"/>
    <w:rsid w:val="00313D9C"/>
    <w:rsid w:val="0033339C"/>
    <w:rsid w:val="0033425F"/>
    <w:rsid w:val="003678E2"/>
    <w:rsid w:val="003756DA"/>
    <w:rsid w:val="003B2BBF"/>
    <w:rsid w:val="003C5808"/>
    <w:rsid w:val="003D3733"/>
    <w:rsid w:val="003E7595"/>
    <w:rsid w:val="003F1134"/>
    <w:rsid w:val="00424943"/>
    <w:rsid w:val="0042727E"/>
    <w:rsid w:val="0043175C"/>
    <w:rsid w:val="00437296"/>
    <w:rsid w:val="00451590"/>
    <w:rsid w:val="00451871"/>
    <w:rsid w:val="004532C1"/>
    <w:rsid w:val="004706DE"/>
    <w:rsid w:val="00472923"/>
    <w:rsid w:val="00486DCD"/>
    <w:rsid w:val="004B0C3A"/>
    <w:rsid w:val="004C49A8"/>
    <w:rsid w:val="004D5788"/>
    <w:rsid w:val="004E3066"/>
    <w:rsid w:val="004E419C"/>
    <w:rsid w:val="004E74CD"/>
    <w:rsid w:val="004F62D7"/>
    <w:rsid w:val="005200CF"/>
    <w:rsid w:val="00524EFD"/>
    <w:rsid w:val="00525BA8"/>
    <w:rsid w:val="00547ED0"/>
    <w:rsid w:val="005623F6"/>
    <w:rsid w:val="00567FD7"/>
    <w:rsid w:val="00572067"/>
    <w:rsid w:val="00573562"/>
    <w:rsid w:val="005740A1"/>
    <w:rsid w:val="00583FE9"/>
    <w:rsid w:val="00590ECE"/>
    <w:rsid w:val="005D1C1F"/>
    <w:rsid w:val="005F2CC9"/>
    <w:rsid w:val="005F5714"/>
    <w:rsid w:val="005F7AE1"/>
    <w:rsid w:val="00611D03"/>
    <w:rsid w:val="00614A29"/>
    <w:rsid w:val="00631C3D"/>
    <w:rsid w:val="00673D76"/>
    <w:rsid w:val="006854F0"/>
    <w:rsid w:val="006B1C4A"/>
    <w:rsid w:val="006B610D"/>
    <w:rsid w:val="006E49F5"/>
    <w:rsid w:val="00701305"/>
    <w:rsid w:val="007013C8"/>
    <w:rsid w:val="00710D2C"/>
    <w:rsid w:val="0071744C"/>
    <w:rsid w:val="00753836"/>
    <w:rsid w:val="0075393C"/>
    <w:rsid w:val="00754592"/>
    <w:rsid w:val="007673EF"/>
    <w:rsid w:val="00775BA6"/>
    <w:rsid w:val="00776B30"/>
    <w:rsid w:val="00776C08"/>
    <w:rsid w:val="007C219A"/>
    <w:rsid w:val="007C4192"/>
    <w:rsid w:val="007C6247"/>
    <w:rsid w:val="007C6BE3"/>
    <w:rsid w:val="007E1DA8"/>
    <w:rsid w:val="007F6C26"/>
    <w:rsid w:val="00806D77"/>
    <w:rsid w:val="00813208"/>
    <w:rsid w:val="00817ED7"/>
    <w:rsid w:val="0083182A"/>
    <w:rsid w:val="0083348E"/>
    <w:rsid w:val="008334AE"/>
    <w:rsid w:val="00833C4B"/>
    <w:rsid w:val="00836FED"/>
    <w:rsid w:val="0083724E"/>
    <w:rsid w:val="00841D53"/>
    <w:rsid w:val="00845030"/>
    <w:rsid w:val="00845CD2"/>
    <w:rsid w:val="00852B0D"/>
    <w:rsid w:val="00852F68"/>
    <w:rsid w:val="00864B7F"/>
    <w:rsid w:val="00866480"/>
    <w:rsid w:val="00881692"/>
    <w:rsid w:val="008A6576"/>
    <w:rsid w:val="008B3CC5"/>
    <w:rsid w:val="008B52CD"/>
    <w:rsid w:val="008C7C4D"/>
    <w:rsid w:val="008D4669"/>
    <w:rsid w:val="008E4261"/>
    <w:rsid w:val="008E70D4"/>
    <w:rsid w:val="008F4662"/>
    <w:rsid w:val="008F57C0"/>
    <w:rsid w:val="00902176"/>
    <w:rsid w:val="00905D08"/>
    <w:rsid w:val="00925753"/>
    <w:rsid w:val="00937F8B"/>
    <w:rsid w:val="009425F4"/>
    <w:rsid w:val="00943BD8"/>
    <w:rsid w:val="00950F5B"/>
    <w:rsid w:val="00952E5C"/>
    <w:rsid w:val="00954B2C"/>
    <w:rsid w:val="00966C5C"/>
    <w:rsid w:val="00970BDC"/>
    <w:rsid w:val="00973104"/>
    <w:rsid w:val="00981343"/>
    <w:rsid w:val="009873A4"/>
    <w:rsid w:val="00995BF0"/>
    <w:rsid w:val="00996345"/>
    <w:rsid w:val="009A16D5"/>
    <w:rsid w:val="009A353D"/>
    <w:rsid w:val="009B0B77"/>
    <w:rsid w:val="009B3F5D"/>
    <w:rsid w:val="009B511E"/>
    <w:rsid w:val="009C6C86"/>
    <w:rsid w:val="009D1F17"/>
    <w:rsid w:val="009D2DCF"/>
    <w:rsid w:val="009D37D3"/>
    <w:rsid w:val="00A01D84"/>
    <w:rsid w:val="00A16E6C"/>
    <w:rsid w:val="00A32EB3"/>
    <w:rsid w:val="00A40F60"/>
    <w:rsid w:val="00A42242"/>
    <w:rsid w:val="00A44E3D"/>
    <w:rsid w:val="00A66F52"/>
    <w:rsid w:val="00A72D2E"/>
    <w:rsid w:val="00A74447"/>
    <w:rsid w:val="00A74CE5"/>
    <w:rsid w:val="00A77500"/>
    <w:rsid w:val="00A86BA4"/>
    <w:rsid w:val="00A911E7"/>
    <w:rsid w:val="00A939D9"/>
    <w:rsid w:val="00AA1D20"/>
    <w:rsid w:val="00AC4748"/>
    <w:rsid w:val="00AC740E"/>
    <w:rsid w:val="00AD5259"/>
    <w:rsid w:val="00AE51D6"/>
    <w:rsid w:val="00AF0815"/>
    <w:rsid w:val="00B01D36"/>
    <w:rsid w:val="00B078CD"/>
    <w:rsid w:val="00B20712"/>
    <w:rsid w:val="00B43238"/>
    <w:rsid w:val="00B45DD3"/>
    <w:rsid w:val="00B73582"/>
    <w:rsid w:val="00B75216"/>
    <w:rsid w:val="00B755A2"/>
    <w:rsid w:val="00B9104C"/>
    <w:rsid w:val="00B91D52"/>
    <w:rsid w:val="00B9490F"/>
    <w:rsid w:val="00BA1ACD"/>
    <w:rsid w:val="00BD09F8"/>
    <w:rsid w:val="00BD3920"/>
    <w:rsid w:val="00BE09D3"/>
    <w:rsid w:val="00C005B2"/>
    <w:rsid w:val="00C21E0F"/>
    <w:rsid w:val="00C270A5"/>
    <w:rsid w:val="00C44B26"/>
    <w:rsid w:val="00CA125E"/>
    <w:rsid w:val="00CA7176"/>
    <w:rsid w:val="00CC4C99"/>
    <w:rsid w:val="00CC75B0"/>
    <w:rsid w:val="00CD2773"/>
    <w:rsid w:val="00CE01BA"/>
    <w:rsid w:val="00CE143B"/>
    <w:rsid w:val="00CE6D35"/>
    <w:rsid w:val="00CF50ED"/>
    <w:rsid w:val="00D07DBA"/>
    <w:rsid w:val="00D27003"/>
    <w:rsid w:val="00D31E3C"/>
    <w:rsid w:val="00D324AD"/>
    <w:rsid w:val="00D722D9"/>
    <w:rsid w:val="00D775D7"/>
    <w:rsid w:val="00D9307A"/>
    <w:rsid w:val="00DC6664"/>
    <w:rsid w:val="00DD0D93"/>
    <w:rsid w:val="00DF0C9C"/>
    <w:rsid w:val="00DF1CCD"/>
    <w:rsid w:val="00DF40CC"/>
    <w:rsid w:val="00E13A08"/>
    <w:rsid w:val="00E167C7"/>
    <w:rsid w:val="00E43AC2"/>
    <w:rsid w:val="00E5149E"/>
    <w:rsid w:val="00E55B78"/>
    <w:rsid w:val="00E66AE7"/>
    <w:rsid w:val="00E76361"/>
    <w:rsid w:val="00E94D11"/>
    <w:rsid w:val="00E94D7F"/>
    <w:rsid w:val="00EA41B8"/>
    <w:rsid w:val="00EA79F8"/>
    <w:rsid w:val="00EC47F6"/>
    <w:rsid w:val="00EC77D7"/>
    <w:rsid w:val="00EE63F7"/>
    <w:rsid w:val="00EF08C9"/>
    <w:rsid w:val="00EF535E"/>
    <w:rsid w:val="00F03EC3"/>
    <w:rsid w:val="00F1405D"/>
    <w:rsid w:val="00F17224"/>
    <w:rsid w:val="00F471F7"/>
    <w:rsid w:val="00F66032"/>
    <w:rsid w:val="00F83B96"/>
    <w:rsid w:val="00F8441D"/>
    <w:rsid w:val="00F87C1E"/>
    <w:rsid w:val="00F958C2"/>
    <w:rsid w:val="00FA1154"/>
    <w:rsid w:val="00FA740E"/>
    <w:rsid w:val="00FC06C7"/>
    <w:rsid w:val="00FD4CB0"/>
    <w:rsid w:val="00FD5DB4"/>
    <w:rsid w:val="00FE1724"/>
    <w:rsid w:val="00FE300B"/>
    <w:rsid w:val="2E8D085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semiHidden="0" w:name="toc 1"/>
    <w:lsdException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nhideWhenUsed="0"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nhideWhenUsed="0"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
    <w:qFormat/>
    <w:uiPriority w:val="99"/>
    <w:pPr>
      <w:spacing w:after="120"/>
    </w:pPr>
  </w:style>
  <w:style w:type="paragraph" w:styleId="3">
    <w:name w:val="Balloon Text"/>
    <w:basedOn w:val="1"/>
    <w:link w:val="14"/>
    <w:semiHidden/>
    <w:uiPriority w:val="99"/>
    <w:rPr>
      <w:sz w:val="18"/>
      <w:szCs w:val="18"/>
    </w:rPr>
  </w:style>
  <w:style w:type="paragraph" w:styleId="4">
    <w:name w:val="footer"/>
    <w:basedOn w:val="1"/>
    <w:link w:val="13"/>
    <w:uiPriority w:val="99"/>
    <w:pPr>
      <w:tabs>
        <w:tab w:val="center" w:pos="4153"/>
        <w:tab w:val="right" w:pos="8306"/>
      </w:tabs>
      <w:snapToGrid w:val="0"/>
      <w:jc w:val="left"/>
    </w:pPr>
    <w:rPr>
      <w:rFonts w:ascii="Times New Roman" w:hAnsi="Times New Roman"/>
      <w:sz w:val="18"/>
      <w:szCs w:val="18"/>
    </w:rPr>
  </w:style>
  <w:style w:type="paragraph" w:styleId="5">
    <w:name w:val="header"/>
    <w:basedOn w:val="1"/>
    <w:link w:val="12"/>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6">
    <w:name w:val="toc 1"/>
    <w:basedOn w:val="1"/>
    <w:next w:val="1"/>
    <w:autoRedefine/>
    <w:uiPriority w:val="99"/>
    <w:rPr>
      <w:rFonts w:ascii="Times New Roman" w:hAnsi="Times New Roman"/>
      <w:szCs w:val="24"/>
    </w:rPr>
  </w:style>
  <w:style w:type="paragraph" w:styleId="7">
    <w:name w:val="footnote text"/>
    <w:basedOn w:val="1"/>
    <w:link w:val="16"/>
    <w:semiHidden/>
    <w:uiPriority w:val="99"/>
    <w:pPr>
      <w:snapToGrid w:val="0"/>
      <w:jc w:val="left"/>
    </w:pPr>
    <w:rPr>
      <w:sz w:val="18"/>
      <w:szCs w:val="18"/>
    </w:rPr>
  </w:style>
  <w:style w:type="paragraph" w:styleId="8">
    <w:name w:val="toc 2"/>
    <w:basedOn w:val="1"/>
    <w:next w:val="1"/>
    <w:autoRedefine/>
    <w:uiPriority w:val="99"/>
    <w:pPr>
      <w:ind w:left="420" w:leftChars="200"/>
    </w:pPr>
    <w:rPr>
      <w:rFonts w:ascii="Times New Roman" w:hAnsi="Times New Roman"/>
      <w:szCs w:val="24"/>
    </w:rPr>
  </w:style>
  <w:style w:type="character" w:styleId="11">
    <w:name w:val="footnote reference"/>
    <w:basedOn w:val="10"/>
    <w:semiHidden/>
    <w:uiPriority w:val="99"/>
    <w:rPr>
      <w:rFonts w:cs="Times New Roman"/>
      <w:vertAlign w:val="superscript"/>
    </w:rPr>
  </w:style>
  <w:style w:type="character" w:customStyle="1" w:styleId="12">
    <w:name w:val="页眉 Char"/>
    <w:basedOn w:val="10"/>
    <w:link w:val="5"/>
    <w:locked/>
    <w:uiPriority w:val="99"/>
    <w:rPr>
      <w:rFonts w:ascii="Times New Roman" w:hAnsi="Times New Roman" w:eastAsia="宋体" w:cs="Times New Roman"/>
      <w:sz w:val="18"/>
      <w:szCs w:val="18"/>
    </w:rPr>
  </w:style>
  <w:style w:type="character" w:customStyle="1" w:styleId="13">
    <w:name w:val="页脚 Char"/>
    <w:basedOn w:val="10"/>
    <w:link w:val="4"/>
    <w:locked/>
    <w:uiPriority w:val="99"/>
    <w:rPr>
      <w:rFonts w:ascii="Times New Roman" w:hAnsi="Times New Roman" w:eastAsia="宋体" w:cs="Times New Roman"/>
      <w:sz w:val="18"/>
      <w:szCs w:val="18"/>
    </w:rPr>
  </w:style>
  <w:style w:type="character" w:customStyle="1" w:styleId="14">
    <w:name w:val="批注框文本 Char"/>
    <w:basedOn w:val="10"/>
    <w:link w:val="3"/>
    <w:semiHidden/>
    <w:locked/>
    <w:uiPriority w:val="99"/>
    <w:rPr>
      <w:rFonts w:cs="Times New Roman"/>
      <w:sz w:val="18"/>
      <w:szCs w:val="18"/>
    </w:rPr>
  </w:style>
  <w:style w:type="paragraph" w:customStyle="1" w:styleId="15">
    <w:name w:val="Defaul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6">
    <w:name w:val="脚注文本 Char"/>
    <w:basedOn w:val="10"/>
    <w:link w:val="7"/>
    <w:semiHidden/>
    <w:locked/>
    <w:uiPriority w:val="99"/>
    <w:rPr>
      <w:rFonts w:ascii="Calibri" w:hAnsi="Calibri" w:eastAsia="宋体" w:cs="Times New Roman"/>
      <w:sz w:val="18"/>
      <w:szCs w:val="18"/>
    </w:rPr>
  </w:style>
  <w:style w:type="character" w:customStyle="1" w:styleId="17">
    <w:name w:val="正文文本 Char"/>
    <w:basedOn w:val="10"/>
    <w:link w:val="2"/>
    <w:semiHidden/>
    <w:locked/>
    <w:uiPriority w:val="99"/>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3450</Words>
  <Characters>3784</Characters>
  <Lines>36</Lines>
  <Paragraphs>10</Paragraphs>
  <TotalTime>254</TotalTime>
  <ScaleCrop>false</ScaleCrop>
  <LinksUpToDate>false</LinksUpToDate>
  <CharactersWithSpaces>3825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2019-01-31T03:38:00Z</dcterms:created>
  <dc:creator>guest</dc:creator>
  <cp:lastModifiedBy>BianL</cp:lastModifiedBy>
  <cp:lastPrinted>2018-01-30T06:12:00Z</cp:lastPrinted>
  <dcterms:modified xsi:type="dcterms:W3CDTF">2019-02-01T08:58:08Z</dcterms:modified>
  <dc:title>廊坊市</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eyJoZGlkIjoiOTY1NDE1NDI3YWU5MWQ5YTlkN2Q3ZjQyZmM0N2I3ZDEifQ==</vt:lpwstr>
  </property>
  <property fmtid="{D5CDD505-2E9C-101B-9397-08002B2CF9AE}" pid="3" name="KSOProductBuildVer">
    <vt:lpwstr>2052-12.1.0.26895</vt:lpwstr>
  </property>
  <property fmtid="{D5CDD505-2E9C-101B-9397-08002B2CF9AE}" pid="4" name="ICV">
    <vt:lpwstr>65D7970F6E1A422E8F41EE6B8C1AEF1F_12</vt:lpwstr>
  </property>
</Properties>
</file>