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612A9">
      <w:pPr>
        <w:keepNext w:val="0"/>
        <w:keepLines w:val="0"/>
        <w:pageBreakBefore w:val="0"/>
        <w:kinsoku/>
        <w:wordWrap/>
        <w:overflowPunct/>
        <w:topLinePunct w:val="0"/>
        <w:bidi w:val="0"/>
        <w:spacing w:line="500" w:lineRule="exact"/>
        <w:jc w:val="center"/>
        <w:textAlignment w:val="auto"/>
        <w:rPr>
          <w:rFonts w:ascii="Times New Roman" w:hAnsi="Times New Roman" w:eastAsia="方正小标宋_GBK" w:cs="Times New Roman"/>
          <w:sz w:val="44"/>
          <w:szCs w:val="44"/>
        </w:rPr>
      </w:pPr>
      <w:r>
        <w:rPr>
          <w:rFonts w:hint="eastAsia" w:ascii="Times New Roman" w:hAnsi="Times New Roman" w:eastAsia="方正小标宋_GBK" w:cs="Times New Roman"/>
          <w:sz w:val="44"/>
          <w:szCs w:val="44"/>
          <w:lang w:val="en-US" w:eastAsia="zh-CN"/>
        </w:rPr>
        <w:t>2016年度</w:t>
      </w:r>
      <w:r>
        <w:rPr>
          <w:rFonts w:hint="eastAsia" w:ascii="Times New Roman" w:hAnsi="Times New Roman" w:eastAsia="方正小标宋_GBK" w:cs="Times New Roman"/>
          <w:sz w:val="44"/>
          <w:szCs w:val="44"/>
        </w:rPr>
        <w:t>共青团廊坊市委</w:t>
      </w:r>
      <w:r>
        <w:rPr>
          <w:rFonts w:ascii="Times New Roman" w:hAnsi="Times New Roman" w:eastAsia="方正小标宋_GBK" w:cs="Times New Roman"/>
          <w:sz w:val="44"/>
          <w:szCs w:val="44"/>
        </w:rPr>
        <w:t>部门</w:t>
      </w:r>
      <w:r>
        <w:rPr>
          <w:rFonts w:hint="eastAsia" w:ascii="Times New Roman" w:hAnsi="Times New Roman" w:eastAsia="方正小标宋_GBK" w:cs="Times New Roman"/>
          <w:sz w:val="44"/>
          <w:szCs w:val="44"/>
          <w:lang w:eastAsia="zh-CN"/>
        </w:rPr>
        <w:t>决算信息公开情况</w:t>
      </w:r>
    </w:p>
    <w:p w14:paraId="0739E4EC">
      <w:pPr>
        <w:keepNext w:val="0"/>
        <w:keepLines w:val="0"/>
        <w:pageBreakBefore w:val="0"/>
        <w:widowControl/>
        <w:kinsoku/>
        <w:wordWrap/>
        <w:overflowPunct/>
        <w:topLinePunct w:val="0"/>
        <w:bidi w:val="0"/>
        <w:spacing w:line="500" w:lineRule="exact"/>
        <w:ind w:firstLine="640" w:firstLineChars="200"/>
        <w:jc w:val="left"/>
        <w:textAlignment w:val="auto"/>
        <w:rPr>
          <w:rFonts w:hint="eastAsia" w:ascii="仿宋_GB2312" w:hAnsi="仿宋" w:eastAsia="仿宋_GB2312"/>
          <w:sz w:val="32"/>
          <w:szCs w:val="32"/>
        </w:rPr>
      </w:pPr>
      <w:r>
        <w:rPr>
          <w:rFonts w:hint="eastAsia" w:ascii="仿宋_GB2312" w:hAnsi="仿宋" w:eastAsia="仿宋_GB2312"/>
          <w:sz w:val="32"/>
          <w:szCs w:val="32"/>
        </w:rPr>
        <w:t>按照《预算法》、《河北省财政厅关于印发&lt;河北省预决算公开操作规程实施细则&gt;的通知》（冀财预</w:t>
      </w:r>
      <w:r>
        <w:rPr>
          <w:rFonts w:hint="eastAsia" w:ascii="宋体" w:hAnsi="宋体" w:cs="宋体"/>
          <w:sz w:val="32"/>
          <w:szCs w:val="32"/>
        </w:rPr>
        <w:t>﹝</w:t>
      </w:r>
      <w:r>
        <w:rPr>
          <w:rFonts w:hint="eastAsia" w:ascii="仿宋_GB2312" w:hAnsi="仿宋" w:eastAsia="仿宋_GB2312"/>
          <w:sz w:val="32"/>
          <w:szCs w:val="32"/>
        </w:rPr>
        <w:t>2016</w:t>
      </w:r>
      <w:r>
        <w:rPr>
          <w:rFonts w:hint="eastAsia" w:ascii="宋体" w:hAnsi="宋体" w:cs="宋体"/>
          <w:sz w:val="32"/>
          <w:szCs w:val="32"/>
        </w:rPr>
        <w:t>﹞</w:t>
      </w:r>
      <w:r>
        <w:rPr>
          <w:rFonts w:hint="eastAsia" w:ascii="仿宋_GB2312" w:hAnsi="仿宋" w:eastAsia="仿宋_GB2312"/>
          <w:sz w:val="32"/>
          <w:szCs w:val="32"/>
        </w:rPr>
        <w:t>129号）等规定，现将2016年部门决算公开如下：</w:t>
      </w:r>
    </w:p>
    <w:p w14:paraId="690B5F11">
      <w:pPr>
        <w:keepNext w:val="0"/>
        <w:keepLines w:val="0"/>
        <w:pageBreakBefore w:val="0"/>
        <w:kinsoku/>
        <w:wordWrap/>
        <w:overflowPunct/>
        <w:topLinePunct w:val="0"/>
        <w:bidi w:val="0"/>
        <w:spacing w:line="500" w:lineRule="exact"/>
        <w:ind w:firstLine="640"/>
        <w:textAlignment w:val="auto"/>
        <w:rPr>
          <w:rFonts w:ascii="黑体" w:hAnsi="黑体" w:eastAsia="黑体" w:cs="Times New Roman"/>
          <w:sz w:val="32"/>
          <w:szCs w:val="32"/>
        </w:rPr>
      </w:pPr>
      <w:r>
        <w:rPr>
          <w:rFonts w:hint="eastAsia" w:ascii="黑体" w:hAnsi="黑体" w:eastAsia="黑体" w:cs="Times New Roman"/>
          <w:sz w:val="32"/>
          <w:szCs w:val="32"/>
          <w:lang w:eastAsia="zh-CN"/>
        </w:rPr>
        <w:t>一、</w:t>
      </w:r>
      <w:r>
        <w:rPr>
          <w:rFonts w:hint="eastAsia" w:ascii="黑体" w:hAnsi="黑体" w:eastAsia="黑体" w:cs="Times New Roman"/>
          <w:sz w:val="32"/>
          <w:szCs w:val="32"/>
        </w:rPr>
        <w:t>部门职责及机构设置情况</w:t>
      </w:r>
    </w:p>
    <w:p w14:paraId="04BCA287">
      <w:pPr>
        <w:keepNext w:val="0"/>
        <w:keepLines w:val="0"/>
        <w:pageBreakBefore w:val="0"/>
        <w:kinsoku/>
        <w:wordWrap/>
        <w:overflowPunct/>
        <w:topLinePunct w:val="0"/>
        <w:bidi w:val="0"/>
        <w:spacing w:line="500" w:lineRule="exact"/>
        <w:ind w:firstLine="643" w:firstLineChars="200"/>
        <w:textAlignment w:val="auto"/>
        <w:rPr>
          <w:rFonts w:ascii="仿宋" w:hAnsi="仿宋" w:eastAsia="仿宋" w:cs="Times New Roman"/>
          <w:b/>
          <w:sz w:val="32"/>
          <w:szCs w:val="32"/>
        </w:rPr>
      </w:pPr>
      <w:r>
        <w:rPr>
          <w:rFonts w:hint="eastAsia" w:ascii="仿宋" w:hAnsi="仿宋" w:eastAsia="仿宋" w:cs="Times New Roman"/>
          <w:b/>
          <w:sz w:val="32"/>
          <w:szCs w:val="32"/>
        </w:rPr>
        <w:t>部门</w:t>
      </w:r>
      <w:r>
        <w:rPr>
          <w:rFonts w:ascii="仿宋" w:hAnsi="仿宋" w:eastAsia="仿宋" w:cs="Times New Roman"/>
          <w:b/>
          <w:sz w:val="32"/>
          <w:szCs w:val="32"/>
        </w:rPr>
        <w:t>职责：</w:t>
      </w:r>
    </w:p>
    <w:p w14:paraId="5A536A2D">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1、行使市委赋予的领导全市共青团工作、指导全市青联、学联和少先队工作的职权，对全市性青年社团组织进行指导和管理。</w:t>
      </w:r>
    </w:p>
    <w:p w14:paraId="2361719B">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2、参与制定本市的青少年事业发展规划和青少年工作方针、政策，对青年工作院校、青少年活动阵地、青年报刊和青少年服务机构的建设等事务进行规划和管理。</w:t>
      </w:r>
    </w:p>
    <w:p w14:paraId="6F1B3A1B">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3、参与本市有关青少年事务的法律、地方性法规的制定和实施，协助市委和市政府处理、协调与青少年利益相关的事务。</w:t>
      </w:r>
    </w:p>
    <w:p w14:paraId="7FC53665">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4、调查青年思想动态和青年工作状况，研究青少年运动、青少年工作理论和思想教育问题，提出相应对策，开展各种活动。</w:t>
      </w:r>
    </w:p>
    <w:p w14:paraId="7329F49D">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5、协助市政府教育部门做好大、中、小学生的教育管理工作，维护学校稳定和社会安定团结。</w:t>
      </w:r>
    </w:p>
    <w:p w14:paraId="3ADB9911">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6、维护青少年合法权益，推动青少年工作手段的现代化。</w:t>
      </w:r>
    </w:p>
    <w:p w14:paraId="458B3B3D">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7、在国家经济建设中，组织和带领青年发挥生力军和突击队作用。</w:t>
      </w:r>
    </w:p>
    <w:p w14:paraId="33BE55B2">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8、会同有关部门对全市青少年外事工作实行归口管理和提供服务，参与制定、执行全市的青少年外事政策并落实有关工作。</w:t>
      </w:r>
    </w:p>
    <w:p w14:paraId="0FCF9B0F">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9、参与制定有关本市的青年统战工作的政策，做好青年统战对象的团结教育工作，维护和促进祖国统一和民族团结。</w:t>
      </w:r>
    </w:p>
    <w:p w14:paraId="4CE3EFA1">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10、承担市委、市政府和上级团的领导机关交办的有关事项。</w:t>
      </w:r>
    </w:p>
    <w:p w14:paraId="5BBC353A">
      <w:pPr>
        <w:keepNext w:val="0"/>
        <w:keepLines w:val="0"/>
        <w:pageBreakBefore w:val="0"/>
        <w:kinsoku/>
        <w:wordWrap/>
        <w:overflowPunct/>
        <w:topLinePunct w:val="0"/>
        <w:bidi w:val="0"/>
        <w:spacing w:line="500" w:lineRule="exact"/>
        <w:ind w:firstLine="643" w:firstLineChars="200"/>
        <w:textAlignment w:val="auto"/>
        <w:rPr>
          <w:rFonts w:ascii="仿宋" w:hAnsi="仿宋" w:eastAsia="仿宋" w:cs="Times New Roman"/>
          <w:b/>
          <w:sz w:val="32"/>
          <w:szCs w:val="32"/>
        </w:rPr>
      </w:pPr>
      <w:r>
        <w:rPr>
          <w:rFonts w:hint="eastAsia" w:ascii="仿宋" w:hAnsi="仿宋" w:eastAsia="仿宋" w:cs="Times New Roman"/>
          <w:b/>
          <w:sz w:val="32"/>
          <w:szCs w:val="32"/>
        </w:rPr>
        <w:t>机构设置：</w:t>
      </w:r>
    </w:p>
    <w:p w14:paraId="7997A5F1">
      <w:pPr>
        <w:keepNext w:val="0"/>
        <w:keepLines w:val="0"/>
        <w:pageBreakBefore w:val="0"/>
        <w:kinsoku/>
        <w:wordWrap/>
        <w:overflowPunct/>
        <w:topLinePunct w:val="0"/>
        <w:bidi w:val="0"/>
        <w:spacing w:line="500" w:lineRule="exact"/>
        <w:ind w:right="160" w:firstLine="641"/>
        <w:textAlignment w:val="auto"/>
        <w:rPr>
          <w:rFonts w:ascii="仿宋" w:hAnsi="仿宋" w:eastAsia="仿宋"/>
          <w:sz w:val="32"/>
        </w:rPr>
      </w:pPr>
      <w:r>
        <w:rPr>
          <w:rFonts w:hint="eastAsia" w:ascii="仿宋" w:hAnsi="仿宋" w:eastAsia="仿宋"/>
          <w:sz w:val="32"/>
        </w:rPr>
        <w:t>共青团廊坊市委</w:t>
      </w:r>
      <w:r>
        <w:rPr>
          <w:rFonts w:ascii="仿宋" w:hAnsi="仿宋" w:eastAsia="仿宋"/>
          <w:sz w:val="32"/>
        </w:rPr>
        <w:t>是</w:t>
      </w:r>
      <w:r>
        <w:rPr>
          <w:rFonts w:hint="eastAsia" w:ascii="仿宋" w:hAnsi="仿宋" w:eastAsia="仿宋"/>
          <w:sz w:val="32"/>
        </w:rPr>
        <w:t>中共廊坊市委</w:t>
      </w:r>
      <w:r>
        <w:rPr>
          <w:rFonts w:ascii="仿宋" w:hAnsi="仿宋" w:eastAsia="仿宋"/>
          <w:sz w:val="32"/>
        </w:rPr>
        <w:t>主管全市</w:t>
      </w:r>
      <w:r>
        <w:rPr>
          <w:rFonts w:hint="eastAsia" w:ascii="仿宋" w:hAnsi="仿宋" w:eastAsia="仿宋"/>
          <w:sz w:val="32"/>
        </w:rPr>
        <w:t>共青团</w:t>
      </w:r>
      <w:r>
        <w:rPr>
          <w:rFonts w:ascii="仿宋" w:hAnsi="仿宋" w:eastAsia="仿宋"/>
          <w:sz w:val="32"/>
        </w:rPr>
        <w:t>工作的直属机构，正处级单位。</w:t>
      </w:r>
    </w:p>
    <w:p w14:paraId="5217B947">
      <w:pPr>
        <w:keepNext w:val="0"/>
        <w:keepLines w:val="0"/>
        <w:pageBreakBefore w:val="0"/>
        <w:kinsoku/>
        <w:wordWrap/>
        <w:overflowPunct/>
        <w:topLinePunct w:val="0"/>
        <w:bidi w:val="0"/>
        <w:spacing w:line="500" w:lineRule="exact"/>
        <w:textAlignment w:val="auto"/>
        <w:rPr>
          <w:rFonts w:ascii="仿宋" w:hAnsi="仿宋" w:eastAsia="仿宋"/>
        </w:rPr>
      </w:pPr>
    </w:p>
    <w:p w14:paraId="660A805A">
      <w:pPr>
        <w:keepNext w:val="0"/>
        <w:keepLines w:val="0"/>
        <w:pageBreakBefore w:val="0"/>
        <w:kinsoku/>
        <w:wordWrap/>
        <w:overflowPunct/>
        <w:topLinePunct w:val="0"/>
        <w:bidi w:val="0"/>
        <w:spacing w:line="500" w:lineRule="exact"/>
        <w:textAlignment w:val="auto"/>
        <w:rPr>
          <w:rFonts w:ascii="仿宋" w:hAnsi="仿宋" w:eastAsia="仿宋"/>
          <w:sz w:val="32"/>
        </w:rPr>
      </w:pPr>
      <w:r>
        <w:rPr>
          <w:rFonts w:hint="eastAsia" w:ascii="仿宋" w:hAnsi="仿宋" w:eastAsia="仿宋"/>
          <w:sz w:val="30"/>
        </w:rPr>
        <w:t xml:space="preserve">    共青团廊坊市委</w:t>
      </w:r>
      <w:r>
        <w:rPr>
          <w:rFonts w:ascii="仿宋" w:hAnsi="仿宋" w:eastAsia="仿宋"/>
          <w:sz w:val="30"/>
        </w:rPr>
        <w:t>现有内设</w:t>
      </w:r>
      <w:r>
        <w:rPr>
          <w:rFonts w:hint="eastAsia" w:ascii="仿宋" w:hAnsi="仿宋" w:eastAsia="仿宋"/>
          <w:sz w:val="30"/>
        </w:rPr>
        <w:t>科室8</w:t>
      </w:r>
      <w:r>
        <w:rPr>
          <w:rFonts w:ascii="仿宋" w:hAnsi="仿宋" w:eastAsia="仿宋"/>
          <w:sz w:val="30"/>
        </w:rPr>
        <w:t>个、事业单</w:t>
      </w:r>
      <w:r>
        <w:rPr>
          <w:rFonts w:ascii="仿宋" w:hAnsi="仿宋" w:eastAsia="仿宋"/>
          <w:sz w:val="32"/>
        </w:rPr>
        <w:t>位</w:t>
      </w:r>
      <w:r>
        <w:rPr>
          <w:rFonts w:hint="eastAsia" w:ascii="仿宋" w:hAnsi="仿宋" w:eastAsia="仿宋"/>
          <w:sz w:val="32"/>
        </w:rPr>
        <w:t>1</w:t>
      </w:r>
      <w:r>
        <w:rPr>
          <w:rFonts w:ascii="仿宋" w:hAnsi="仿宋" w:eastAsia="仿宋"/>
          <w:sz w:val="32"/>
        </w:rPr>
        <w:t xml:space="preserve">个。列入财政预算的单位有 </w:t>
      </w:r>
      <w:r>
        <w:rPr>
          <w:rFonts w:hint="eastAsia" w:ascii="仿宋" w:hAnsi="仿宋" w:eastAsia="仿宋"/>
          <w:sz w:val="32"/>
        </w:rPr>
        <w:t>2</w:t>
      </w:r>
      <w:r>
        <w:rPr>
          <w:rFonts w:ascii="仿宋" w:hAnsi="仿宋" w:eastAsia="仿宋"/>
          <w:sz w:val="32"/>
        </w:rPr>
        <w:t xml:space="preserve"> 个，预算实行统一管理。</w:t>
      </w:r>
    </w:p>
    <w:p w14:paraId="5618F076">
      <w:pPr>
        <w:keepNext w:val="0"/>
        <w:keepLines w:val="0"/>
        <w:pageBreakBefore w:val="0"/>
        <w:kinsoku/>
        <w:wordWrap/>
        <w:overflowPunct/>
        <w:topLinePunct w:val="0"/>
        <w:bidi w:val="0"/>
        <w:spacing w:line="500" w:lineRule="exact"/>
        <w:jc w:val="center"/>
        <w:textAlignment w:val="auto"/>
        <w:outlineLvl w:val="0"/>
        <w:rPr>
          <w:rFonts w:ascii="仿宋" w:hAnsi="仿宋" w:eastAsia="仿宋"/>
          <w:sz w:val="32"/>
        </w:rPr>
      </w:pPr>
      <w:bookmarkStart w:id="0" w:name="_Toc479755819"/>
      <w:r>
        <w:rPr>
          <w:rFonts w:hint="eastAsia" w:ascii="仿宋" w:hAnsi="仿宋" w:eastAsia="仿宋"/>
          <w:sz w:val="32"/>
        </w:rPr>
        <w:t>部门基本情况表</w:t>
      </w:r>
      <w:bookmarkEnd w:id="0"/>
    </w:p>
    <w:tbl>
      <w:tblPr>
        <w:tblStyle w:val="7"/>
        <w:tblW w:w="985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758"/>
        <w:gridCol w:w="1559"/>
        <w:gridCol w:w="1276"/>
        <w:gridCol w:w="3260"/>
      </w:tblGrid>
      <w:tr w14:paraId="3DC9A8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3758" w:type="dxa"/>
            <w:vMerge w:val="restart"/>
            <w:shd w:val="clear" w:color="auto" w:fill="auto"/>
            <w:vAlign w:val="center"/>
          </w:tcPr>
          <w:p w14:paraId="6904BD45">
            <w:pPr>
              <w:keepNext w:val="0"/>
              <w:keepLines w:val="0"/>
              <w:pageBreakBefore w:val="0"/>
              <w:kinsoku/>
              <w:wordWrap/>
              <w:overflowPunct/>
              <w:topLinePunct w:val="0"/>
              <w:bidi w:val="0"/>
              <w:spacing w:line="500" w:lineRule="exact"/>
              <w:jc w:val="center"/>
              <w:textAlignment w:val="auto"/>
              <w:rPr>
                <w:rFonts w:ascii="仿宋" w:hAnsi="仿宋" w:eastAsia="仿宋"/>
                <w:b/>
              </w:rPr>
            </w:pPr>
            <w:r>
              <w:rPr>
                <w:rFonts w:hint="eastAsia" w:ascii="仿宋" w:hAnsi="仿宋" w:eastAsia="仿宋"/>
                <w:b/>
              </w:rPr>
              <w:t>单位名称</w:t>
            </w:r>
          </w:p>
        </w:tc>
        <w:tc>
          <w:tcPr>
            <w:tcW w:w="1559" w:type="dxa"/>
            <w:vMerge w:val="restart"/>
            <w:shd w:val="clear" w:color="auto" w:fill="auto"/>
            <w:vAlign w:val="center"/>
          </w:tcPr>
          <w:p w14:paraId="0735A551">
            <w:pPr>
              <w:keepNext w:val="0"/>
              <w:keepLines w:val="0"/>
              <w:pageBreakBefore w:val="0"/>
              <w:kinsoku/>
              <w:wordWrap/>
              <w:overflowPunct/>
              <w:topLinePunct w:val="0"/>
              <w:bidi w:val="0"/>
              <w:spacing w:line="500" w:lineRule="exact"/>
              <w:jc w:val="center"/>
              <w:textAlignment w:val="auto"/>
              <w:rPr>
                <w:rFonts w:ascii="仿宋" w:hAnsi="仿宋" w:eastAsia="仿宋"/>
                <w:b/>
              </w:rPr>
            </w:pPr>
            <w:r>
              <w:rPr>
                <w:rFonts w:hint="eastAsia" w:ascii="仿宋" w:hAnsi="仿宋" w:eastAsia="仿宋"/>
                <w:b/>
              </w:rPr>
              <w:t>单位性质</w:t>
            </w:r>
          </w:p>
        </w:tc>
        <w:tc>
          <w:tcPr>
            <w:tcW w:w="1276" w:type="dxa"/>
            <w:vMerge w:val="restart"/>
            <w:shd w:val="clear" w:color="auto" w:fill="auto"/>
            <w:vAlign w:val="center"/>
          </w:tcPr>
          <w:p w14:paraId="5C934122">
            <w:pPr>
              <w:keepNext w:val="0"/>
              <w:keepLines w:val="0"/>
              <w:pageBreakBefore w:val="0"/>
              <w:kinsoku/>
              <w:wordWrap/>
              <w:overflowPunct/>
              <w:topLinePunct w:val="0"/>
              <w:bidi w:val="0"/>
              <w:spacing w:line="500" w:lineRule="exact"/>
              <w:jc w:val="center"/>
              <w:textAlignment w:val="auto"/>
              <w:rPr>
                <w:rFonts w:ascii="仿宋" w:hAnsi="仿宋" w:eastAsia="仿宋"/>
                <w:b/>
              </w:rPr>
            </w:pPr>
            <w:r>
              <w:rPr>
                <w:rFonts w:hint="eastAsia" w:ascii="仿宋" w:hAnsi="仿宋" w:eastAsia="仿宋"/>
                <w:b/>
              </w:rPr>
              <w:t>单位规格</w:t>
            </w:r>
          </w:p>
        </w:tc>
        <w:tc>
          <w:tcPr>
            <w:tcW w:w="3260" w:type="dxa"/>
            <w:vMerge w:val="restart"/>
            <w:shd w:val="clear" w:color="auto" w:fill="auto"/>
            <w:vAlign w:val="center"/>
          </w:tcPr>
          <w:p w14:paraId="72162AA9">
            <w:pPr>
              <w:keepNext w:val="0"/>
              <w:keepLines w:val="0"/>
              <w:pageBreakBefore w:val="0"/>
              <w:kinsoku/>
              <w:wordWrap/>
              <w:overflowPunct/>
              <w:topLinePunct w:val="0"/>
              <w:bidi w:val="0"/>
              <w:spacing w:line="500" w:lineRule="exact"/>
              <w:jc w:val="center"/>
              <w:textAlignment w:val="auto"/>
              <w:rPr>
                <w:rFonts w:ascii="仿宋" w:hAnsi="仿宋" w:eastAsia="仿宋"/>
                <w:b/>
              </w:rPr>
            </w:pPr>
            <w:r>
              <w:rPr>
                <w:rFonts w:hint="eastAsia" w:ascii="仿宋" w:hAnsi="仿宋" w:eastAsia="仿宋"/>
                <w:b/>
              </w:rPr>
              <w:t>经费保障形式</w:t>
            </w:r>
          </w:p>
        </w:tc>
      </w:tr>
      <w:tr w14:paraId="2F2F0B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3758" w:type="dxa"/>
            <w:vMerge w:val="continue"/>
            <w:shd w:val="clear" w:color="auto" w:fill="auto"/>
            <w:vAlign w:val="center"/>
          </w:tcPr>
          <w:p w14:paraId="2B39A375">
            <w:pPr>
              <w:keepNext w:val="0"/>
              <w:keepLines w:val="0"/>
              <w:pageBreakBefore w:val="0"/>
              <w:kinsoku/>
              <w:wordWrap/>
              <w:overflowPunct/>
              <w:topLinePunct w:val="0"/>
              <w:bidi w:val="0"/>
              <w:spacing w:line="500" w:lineRule="exact"/>
              <w:jc w:val="left"/>
              <w:textAlignment w:val="auto"/>
              <w:outlineLvl w:val="0"/>
              <w:rPr>
                <w:rFonts w:ascii="仿宋" w:hAnsi="仿宋" w:eastAsia="仿宋"/>
              </w:rPr>
            </w:pPr>
          </w:p>
        </w:tc>
        <w:tc>
          <w:tcPr>
            <w:tcW w:w="1559" w:type="dxa"/>
            <w:vMerge w:val="continue"/>
            <w:shd w:val="clear" w:color="auto" w:fill="auto"/>
            <w:vAlign w:val="center"/>
          </w:tcPr>
          <w:p w14:paraId="1A7AD6B3">
            <w:pPr>
              <w:keepNext w:val="0"/>
              <w:keepLines w:val="0"/>
              <w:pageBreakBefore w:val="0"/>
              <w:kinsoku/>
              <w:wordWrap/>
              <w:overflowPunct/>
              <w:topLinePunct w:val="0"/>
              <w:bidi w:val="0"/>
              <w:spacing w:line="500" w:lineRule="exact"/>
              <w:jc w:val="left"/>
              <w:textAlignment w:val="auto"/>
              <w:outlineLvl w:val="0"/>
              <w:rPr>
                <w:rFonts w:ascii="仿宋" w:hAnsi="仿宋" w:eastAsia="仿宋"/>
              </w:rPr>
            </w:pPr>
          </w:p>
        </w:tc>
        <w:tc>
          <w:tcPr>
            <w:tcW w:w="1276" w:type="dxa"/>
            <w:vMerge w:val="continue"/>
            <w:shd w:val="clear" w:color="auto" w:fill="auto"/>
            <w:vAlign w:val="center"/>
          </w:tcPr>
          <w:p w14:paraId="56622417">
            <w:pPr>
              <w:keepNext w:val="0"/>
              <w:keepLines w:val="0"/>
              <w:pageBreakBefore w:val="0"/>
              <w:kinsoku/>
              <w:wordWrap/>
              <w:overflowPunct/>
              <w:topLinePunct w:val="0"/>
              <w:bidi w:val="0"/>
              <w:spacing w:line="500" w:lineRule="exact"/>
              <w:jc w:val="left"/>
              <w:textAlignment w:val="auto"/>
              <w:outlineLvl w:val="0"/>
              <w:rPr>
                <w:rFonts w:ascii="仿宋" w:hAnsi="仿宋" w:eastAsia="仿宋"/>
              </w:rPr>
            </w:pPr>
          </w:p>
        </w:tc>
        <w:tc>
          <w:tcPr>
            <w:tcW w:w="3260" w:type="dxa"/>
            <w:vMerge w:val="continue"/>
            <w:shd w:val="clear" w:color="auto" w:fill="auto"/>
            <w:vAlign w:val="center"/>
          </w:tcPr>
          <w:p w14:paraId="35E0F936">
            <w:pPr>
              <w:keepNext w:val="0"/>
              <w:keepLines w:val="0"/>
              <w:pageBreakBefore w:val="0"/>
              <w:kinsoku/>
              <w:wordWrap/>
              <w:overflowPunct/>
              <w:topLinePunct w:val="0"/>
              <w:bidi w:val="0"/>
              <w:spacing w:line="500" w:lineRule="exact"/>
              <w:jc w:val="left"/>
              <w:textAlignment w:val="auto"/>
              <w:outlineLvl w:val="0"/>
              <w:rPr>
                <w:rFonts w:ascii="仿宋" w:hAnsi="仿宋" w:eastAsia="仿宋"/>
              </w:rPr>
            </w:pPr>
          </w:p>
        </w:tc>
      </w:tr>
      <w:tr w14:paraId="61DF98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758" w:type="dxa"/>
            <w:shd w:val="clear" w:color="auto" w:fill="auto"/>
            <w:vAlign w:val="center"/>
          </w:tcPr>
          <w:p w14:paraId="763BDEC5">
            <w:pPr>
              <w:keepNext w:val="0"/>
              <w:keepLines w:val="0"/>
              <w:pageBreakBefore w:val="0"/>
              <w:kinsoku/>
              <w:wordWrap/>
              <w:overflowPunct/>
              <w:topLinePunct w:val="0"/>
              <w:bidi w:val="0"/>
              <w:spacing w:line="500" w:lineRule="exact"/>
              <w:jc w:val="center"/>
              <w:textAlignment w:val="auto"/>
              <w:rPr>
                <w:rFonts w:ascii="仿宋" w:hAnsi="仿宋" w:eastAsia="仿宋"/>
                <w:b/>
              </w:rPr>
            </w:pPr>
            <w:r>
              <w:rPr>
                <w:rFonts w:hint="eastAsia" w:ascii="仿宋" w:hAnsi="仿宋" w:eastAsia="仿宋"/>
                <w:b/>
              </w:rPr>
              <w:t>合</w:t>
            </w:r>
            <w:r>
              <w:rPr>
                <w:rFonts w:ascii="仿宋" w:hAnsi="仿宋" w:eastAsia="仿宋"/>
                <w:b/>
              </w:rPr>
              <w:t xml:space="preserve">    </w:t>
            </w:r>
            <w:r>
              <w:rPr>
                <w:rFonts w:hint="eastAsia" w:ascii="仿宋" w:hAnsi="仿宋" w:eastAsia="仿宋"/>
                <w:b/>
              </w:rPr>
              <w:t>计</w:t>
            </w:r>
          </w:p>
        </w:tc>
        <w:tc>
          <w:tcPr>
            <w:tcW w:w="1559" w:type="dxa"/>
            <w:shd w:val="clear" w:color="auto" w:fill="auto"/>
            <w:vAlign w:val="center"/>
          </w:tcPr>
          <w:p w14:paraId="16D9FAF4">
            <w:pPr>
              <w:keepNext w:val="0"/>
              <w:keepLines w:val="0"/>
              <w:pageBreakBefore w:val="0"/>
              <w:kinsoku/>
              <w:wordWrap/>
              <w:overflowPunct/>
              <w:topLinePunct w:val="0"/>
              <w:bidi w:val="0"/>
              <w:spacing w:line="500" w:lineRule="exact"/>
              <w:jc w:val="center"/>
              <w:textAlignment w:val="auto"/>
              <w:rPr>
                <w:rFonts w:ascii="仿宋" w:hAnsi="仿宋" w:eastAsia="仿宋"/>
                <w:b/>
              </w:rPr>
            </w:pPr>
          </w:p>
        </w:tc>
        <w:tc>
          <w:tcPr>
            <w:tcW w:w="1276" w:type="dxa"/>
            <w:shd w:val="clear" w:color="auto" w:fill="auto"/>
            <w:vAlign w:val="center"/>
          </w:tcPr>
          <w:p w14:paraId="67B146CE">
            <w:pPr>
              <w:keepNext w:val="0"/>
              <w:keepLines w:val="0"/>
              <w:pageBreakBefore w:val="0"/>
              <w:kinsoku/>
              <w:wordWrap/>
              <w:overflowPunct/>
              <w:topLinePunct w:val="0"/>
              <w:bidi w:val="0"/>
              <w:spacing w:line="500" w:lineRule="exact"/>
              <w:jc w:val="center"/>
              <w:textAlignment w:val="auto"/>
              <w:rPr>
                <w:rFonts w:ascii="仿宋" w:hAnsi="仿宋" w:eastAsia="仿宋"/>
                <w:b/>
              </w:rPr>
            </w:pPr>
          </w:p>
        </w:tc>
        <w:tc>
          <w:tcPr>
            <w:tcW w:w="3260" w:type="dxa"/>
            <w:shd w:val="clear" w:color="auto" w:fill="auto"/>
            <w:vAlign w:val="center"/>
          </w:tcPr>
          <w:p w14:paraId="4C607553">
            <w:pPr>
              <w:keepNext w:val="0"/>
              <w:keepLines w:val="0"/>
              <w:pageBreakBefore w:val="0"/>
              <w:kinsoku/>
              <w:wordWrap/>
              <w:overflowPunct/>
              <w:topLinePunct w:val="0"/>
              <w:bidi w:val="0"/>
              <w:spacing w:line="500" w:lineRule="exact"/>
              <w:jc w:val="center"/>
              <w:textAlignment w:val="auto"/>
              <w:rPr>
                <w:rFonts w:ascii="仿宋" w:hAnsi="仿宋" w:eastAsia="仿宋"/>
                <w:b/>
              </w:rPr>
            </w:pPr>
          </w:p>
        </w:tc>
      </w:tr>
      <w:tr w14:paraId="1A1E5C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758" w:type="dxa"/>
            <w:shd w:val="clear" w:color="auto" w:fill="auto"/>
            <w:vAlign w:val="center"/>
          </w:tcPr>
          <w:p w14:paraId="5FBA1C41">
            <w:pPr>
              <w:keepNext w:val="0"/>
              <w:keepLines w:val="0"/>
              <w:pageBreakBefore w:val="0"/>
              <w:kinsoku/>
              <w:wordWrap/>
              <w:overflowPunct/>
              <w:topLinePunct w:val="0"/>
              <w:bidi w:val="0"/>
              <w:spacing w:line="500" w:lineRule="exact"/>
              <w:jc w:val="left"/>
              <w:textAlignment w:val="auto"/>
              <w:rPr>
                <w:rFonts w:ascii="仿宋" w:hAnsi="仿宋" w:eastAsia="仿宋"/>
              </w:rPr>
            </w:pPr>
            <w:r>
              <w:rPr>
                <w:rFonts w:hint="eastAsia" w:ascii="仿宋" w:hAnsi="仿宋" w:eastAsia="仿宋"/>
              </w:rPr>
              <w:t>中国共产主义青年团廊坊市委员会</w:t>
            </w:r>
          </w:p>
        </w:tc>
        <w:tc>
          <w:tcPr>
            <w:tcW w:w="1559" w:type="dxa"/>
            <w:shd w:val="clear" w:color="auto" w:fill="auto"/>
            <w:vAlign w:val="center"/>
          </w:tcPr>
          <w:p w14:paraId="27107D46">
            <w:pPr>
              <w:keepNext w:val="0"/>
              <w:keepLines w:val="0"/>
              <w:pageBreakBefore w:val="0"/>
              <w:kinsoku/>
              <w:wordWrap/>
              <w:overflowPunct/>
              <w:topLinePunct w:val="0"/>
              <w:bidi w:val="0"/>
              <w:spacing w:line="500" w:lineRule="exact"/>
              <w:jc w:val="center"/>
              <w:textAlignment w:val="auto"/>
              <w:rPr>
                <w:rFonts w:ascii="仿宋" w:hAnsi="仿宋" w:eastAsia="仿宋"/>
              </w:rPr>
            </w:pPr>
            <w:r>
              <w:rPr>
                <w:rFonts w:hint="eastAsia" w:ascii="仿宋" w:hAnsi="仿宋" w:eastAsia="仿宋"/>
              </w:rPr>
              <w:t>行政</w:t>
            </w:r>
          </w:p>
        </w:tc>
        <w:tc>
          <w:tcPr>
            <w:tcW w:w="1276" w:type="dxa"/>
            <w:shd w:val="clear" w:color="auto" w:fill="auto"/>
            <w:vAlign w:val="center"/>
          </w:tcPr>
          <w:p w14:paraId="01AD8453">
            <w:pPr>
              <w:keepNext w:val="0"/>
              <w:keepLines w:val="0"/>
              <w:pageBreakBefore w:val="0"/>
              <w:kinsoku/>
              <w:wordWrap/>
              <w:overflowPunct/>
              <w:topLinePunct w:val="0"/>
              <w:bidi w:val="0"/>
              <w:spacing w:line="500" w:lineRule="exact"/>
              <w:jc w:val="center"/>
              <w:textAlignment w:val="auto"/>
              <w:rPr>
                <w:rFonts w:ascii="仿宋" w:hAnsi="仿宋" w:eastAsia="仿宋"/>
              </w:rPr>
            </w:pPr>
            <w:r>
              <w:rPr>
                <w:rFonts w:hint="eastAsia" w:ascii="仿宋" w:hAnsi="仿宋" w:eastAsia="仿宋"/>
              </w:rPr>
              <w:t>正处级</w:t>
            </w:r>
          </w:p>
        </w:tc>
        <w:tc>
          <w:tcPr>
            <w:tcW w:w="3260" w:type="dxa"/>
            <w:shd w:val="clear" w:color="auto" w:fill="auto"/>
            <w:vAlign w:val="center"/>
          </w:tcPr>
          <w:p w14:paraId="5649F358">
            <w:pPr>
              <w:keepNext w:val="0"/>
              <w:keepLines w:val="0"/>
              <w:pageBreakBefore w:val="0"/>
              <w:kinsoku/>
              <w:wordWrap/>
              <w:overflowPunct/>
              <w:topLinePunct w:val="0"/>
              <w:bidi w:val="0"/>
              <w:spacing w:line="500" w:lineRule="exact"/>
              <w:jc w:val="center"/>
              <w:textAlignment w:val="auto"/>
              <w:rPr>
                <w:rFonts w:ascii="仿宋" w:hAnsi="仿宋" w:eastAsia="仿宋"/>
              </w:rPr>
            </w:pPr>
            <w:r>
              <w:rPr>
                <w:rFonts w:hint="eastAsia" w:ascii="仿宋" w:hAnsi="仿宋" w:eastAsia="仿宋"/>
              </w:rPr>
              <w:t>财政拨款</w:t>
            </w:r>
          </w:p>
        </w:tc>
      </w:tr>
      <w:tr w14:paraId="756EF6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758" w:type="dxa"/>
            <w:shd w:val="clear" w:color="auto" w:fill="auto"/>
            <w:vAlign w:val="center"/>
          </w:tcPr>
          <w:p w14:paraId="7A1BB849">
            <w:pPr>
              <w:keepNext w:val="0"/>
              <w:keepLines w:val="0"/>
              <w:pageBreakBefore w:val="0"/>
              <w:kinsoku/>
              <w:wordWrap/>
              <w:overflowPunct/>
              <w:topLinePunct w:val="0"/>
              <w:bidi w:val="0"/>
              <w:spacing w:line="500" w:lineRule="exact"/>
              <w:jc w:val="left"/>
              <w:textAlignment w:val="auto"/>
              <w:rPr>
                <w:rFonts w:ascii="仿宋" w:hAnsi="仿宋" w:eastAsia="仿宋"/>
              </w:rPr>
            </w:pPr>
            <w:r>
              <w:rPr>
                <w:rFonts w:hint="eastAsia" w:ascii="仿宋" w:hAnsi="仿宋" w:eastAsia="仿宋"/>
              </w:rPr>
              <w:t>廊坊市青少年宫</w:t>
            </w:r>
          </w:p>
        </w:tc>
        <w:tc>
          <w:tcPr>
            <w:tcW w:w="1559" w:type="dxa"/>
            <w:shd w:val="clear" w:color="auto" w:fill="auto"/>
            <w:vAlign w:val="center"/>
          </w:tcPr>
          <w:p w14:paraId="0485EEA7">
            <w:pPr>
              <w:keepNext w:val="0"/>
              <w:keepLines w:val="0"/>
              <w:pageBreakBefore w:val="0"/>
              <w:kinsoku/>
              <w:wordWrap/>
              <w:overflowPunct/>
              <w:topLinePunct w:val="0"/>
              <w:bidi w:val="0"/>
              <w:spacing w:line="500" w:lineRule="exact"/>
              <w:jc w:val="center"/>
              <w:textAlignment w:val="auto"/>
              <w:rPr>
                <w:rFonts w:ascii="仿宋" w:hAnsi="仿宋" w:eastAsia="仿宋"/>
              </w:rPr>
            </w:pPr>
            <w:r>
              <w:rPr>
                <w:rFonts w:hint="eastAsia" w:ascii="仿宋" w:hAnsi="仿宋" w:eastAsia="仿宋"/>
              </w:rPr>
              <w:t>事业</w:t>
            </w:r>
          </w:p>
        </w:tc>
        <w:tc>
          <w:tcPr>
            <w:tcW w:w="1276" w:type="dxa"/>
            <w:shd w:val="clear" w:color="auto" w:fill="auto"/>
            <w:vAlign w:val="center"/>
          </w:tcPr>
          <w:p w14:paraId="4A033F67">
            <w:pPr>
              <w:keepNext w:val="0"/>
              <w:keepLines w:val="0"/>
              <w:pageBreakBefore w:val="0"/>
              <w:kinsoku/>
              <w:wordWrap/>
              <w:overflowPunct/>
              <w:topLinePunct w:val="0"/>
              <w:bidi w:val="0"/>
              <w:spacing w:line="500" w:lineRule="exact"/>
              <w:jc w:val="center"/>
              <w:textAlignment w:val="auto"/>
              <w:rPr>
                <w:rFonts w:ascii="仿宋" w:hAnsi="仿宋" w:eastAsia="仿宋"/>
              </w:rPr>
            </w:pPr>
            <w:r>
              <w:rPr>
                <w:rFonts w:hint="eastAsia" w:ascii="仿宋" w:hAnsi="仿宋" w:eastAsia="仿宋"/>
              </w:rPr>
              <w:t>正科级</w:t>
            </w:r>
          </w:p>
        </w:tc>
        <w:tc>
          <w:tcPr>
            <w:tcW w:w="3260" w:type="dxa"/>
            <w:shd w:val="clear" w:color="auto" w:fill="auto"/>
            <w:vAlign w:val="center"/>
          </w:tcPr>
          <w:p w14:paraId="47AB4A5B">
            <w:pPr>
              <w:keepNext w:val="0"/>
              <w:keepLines w:val="0"/>
              <w:pageBreakBefore w:val="0"/>
              <w:kinsoku/>
              <w:wordWrap/>
              <w:overflowPunct/>
              <w:topLinePunct w:val="0"/>
              <w:bidi w:val="0"/>
              <w:spacing w:line="500" w:lineRule="exact"/>
              <w:jc w:val="center"/>
              <w:textAlignment w:val="auto"/>
              <w:rPr>
                <w:rFonts w:ascii="仿宋" w:hAnsi="仿宋" w:eastAsia="仿宋"/>
              </w:rPr>
            </w:pPr>
            <w:r>
              <w:rPr>
                <w:rFonts w:hint="eastAsia" w:ascii="仿宋" w:hAnsi="仿宋" w:eastAsia="仿宋"/>
              </w:rPr>
              <w:t>财政性资金定额或定项补助</w:t>
            </w:r>
          </w:p>
        </w:tc>
      </w:tr>
    </w:tbl>
    <w:p w14:paraId="08F17D30">
      <w:pPr>
        <w:keepNext w:val="0"/>
        <w:keepLines w:val="0"/>
        <w:pageBreakBefore w:val="0"/>
        <w:kinsoku/>
        <w:wordWrap/>
        <w:overflowPunct/>
        <w:topLinePunct w:val="0"/>
        <w:bidi w:val="0"/>
        <w:spacing w:line="500" w:lineRule="exact"/>
        <w:jc w:val="left"/>
        <w:textAlignment w:val="auto"/>
        <w:outlineLvl w:val="0"/>
      </w:pPr>
    </w:p>
    <w:p w14:paraId="08DFC749">
      <w:pPr>
        <w:keepNext w:val="0"/>
        <w:keepLines w:val="0"/>
        <w:pageBreakBefore w:val="0"/>
        <w:numPr>
          <w:ilvl w:val="0"/>
          <w:numId w:val="1"/>
        </w:numPr>
        <w:kinsoku/>
        <w:wordWrap/>
        <w:overflowPunct/>
        <w:topLinePunct w:val="0"/>
        <w:bidi w:val="0"/>
        <w:spacing w:line="500" w:lineRule="exact"/>
        <w:ind w:firstLine="640"/>
        <w:textAlignment w:val="auto"/>
        <w:rPr>
          <w:rFonts w:hint="eastAsia" w:ascii="黑体" w:hAnsi="黑体" w:eastAsia="黑体"/>
          <w:sz w:val="32"/>
          <w:szCs w:val="32"/>
        </w:rPr>
      </w:pPr>
      <w:r>
        <w:rPr>
          <w:rFonts w:hint="eastAsia" w:ascii="黑体" w:hAnsi="黑体" w:eastAsia="黑体"/>
          <w:sz w:val="32"/>
          <w:szCs w:val="32"/>
        </w:rPr>
        <w:t>部门决算报表（附表）</w:t>
      </w:r>
    </w:p>
    <w:p w14:paraId="4EEFF7E0">
      <w:pPr>
        <w:keepNext w:val="0"/>
        <w:keepLines w:val="0"/>
        <w:pageBreakBefore w:val="0"/>
        <w:kinsoku/>
        <w:wordWrap/>
        <w:overflowPunct/>
        <w:topLinePunct w:val="0"/>
        <w:bidi w:val="0"/>
        <w:spacing w:line="500" w:lineRule="exact"/>
        <w:ind w:firstLine="640" w:firstLineChars="200"/>
        <w:textAlignment w:val="auto"/>
        <w:rPr>
          <w:rFonts w:hint="eastAsia" w:ascii="黑体" w:hAnsi="黑体" w:eastAsia="黑体"/>
          <w:sz w:val="32"/>
          <w:szCs w:val="32"/>
        </w:rPr>
      </w:pPr>
      <w:r>
        <w:rPr>
          <w:rFonts w:hint="eastAsia" w:ascii="黑体" w:hAnsi="黑体" w:eastAsia="黑体"/>
          <w:sz w:val="32"/>
          <w:szCs w:val="32"/>
          <w:lang w:eastAsia="zh-CN"/>
        </w:rPr>
        <w:t>三、</w:t>
      </w:r>
      <w:r>
        <w:rPr>
          <w:rFonts w:hint="eastAsia" w:ascii="黑体" w:hAnsi="黑体" w:eastAsia="黑体"/>
          <w:sz w:val="32"/>
          <w:szCs w:val="32"/>
        </w:rPr>
        <w:t>2016年度部门决算情况说明</w:t>
      </w:r>
    </w:p>
    <w:p w14:paraId="56AF3538">
      <w:pPr>
        <w:keepNext w:val="0"/>
        <w:keepLines w:val="0"/>
        <w:pageBreakBefore w:val="0"/>
        <w:kinsoku/>
        <w:wordWrap/>
        <w:overflowPunct/>
        <w:topLinePunct w:val="0"/>
        <w:bidi w:val="0"/>
        <w:snapToGrid w:val="0"/>
        <w:spacing w:line="500" w:lineRule="exact"/>
        <w:ind w:firstLine="640"/>
        <w:textAlignment w:val="auto"/>
        <w:rPr>
          <w:rFonts w:hint="eastAsia" w:ascii="仿宋_GB2312" w:hAnsi="仿宋_GB2312" w:eastAsia="仿宋_GB2312"/>
          <w:sz w:val="32"/>
          <w:szCs w:val="32"/>
        </w:rPr>
      </w:pPr>
      <w:r>
        <w:rPr>
          <w:rFonts w:hint="eastAsia" w:ascii="楷体" w:hAnsi="楷体" w:eastAsia="楷体" w:cs="Times New Roman"/>
          <w:b/>
          <w:sz w:val="32"/>
          <w:szCs w:val="32"/>
        </w:rPr>
        <w:t>（一）收入支出决算总体情况说明</w:t>
      </w:r>
    </w:p>
    <w:p w14:paraId="73A67F7D">
      <w:pPr>
        <w:widowControl/>
        <w:spacing w:line="584" w:lineRule="exact"/>
        <w:ind w:firstLine="640" w:firstLineChars="200"/>
        <w:jc w:val="left"/>
        <w:rPr>
          <w:rFonts w:hint="eastAsia" w:ascii="仿宋_GB2312" w:hAnsi="仿宋_GB2312" w:eastAsia="仿宋_GB2312"/>
          <w:sz w:val="32"/>
          <w:szCs w:val="32"/>
          <w:lang w:val="en-US" w:eastAsia="zh-CN"/>
        </w:rPr>
      </w:pPr>
      <w:r>
        <w:rPr>
          <w:rFonts w:ascii="仿宋_GB2312" w:hAnsi="仿宋" w:eastAsia="仿宋_GB2312"/>
          <w:sz w:val="32"/>
          <w:szCs w:val="32"/>
        </w:rPr>
        <w:t>反映本部门</w:t>
      </w:r>
      <w:r>
        <w:rPr>
          <w:rFonts w:hint="eastAsia" w:ascii="仿宋_GB2312" w:hAnsi="仿宋_GB2312" w:eastAsia="仿宋_GB2312"/>
          <w:sz w:val="32"/>
          <w:szCs w:val="32"/>
        </w:rPr>
        <w:t>综合收支情况。</w:t>
      </w:r>
      <w:r>
        <w:rPr>
          <w:rFonts w:hint="eastAsia" w:ascii="仿宋_GB2312" w:hAnsi="仿宋_GB2312" w:eastAsia="仿宋_GB2312"/>
          <w:sz w:val="32"/>
          <w:szCs w:val="32"/>
          <w:lang w:val="en-US" w:eastAsia="zh-CN"/>
        </w:rPr>
        <w:t>2017年收入共计5077480.94元，其中：财政拨款收入4490100元，政府性基金收入0元，事业收入0元，其他收入146500元，年初结转和结余440880.94元。2017年支出共计5077480.94元，其中：一般公共服务支出4286155.83元，教育支出11690元，年末结转和结余779635.11元。</w:t>
      </w:r>
      <w:r>
        <w:rPr>
          <w:rFonts w:hint="eastAsia" w:ascii="Times New Roman" w:hAnsi="Times New Roman" w:eastAsia="仿宋_GB2312" w:cs="Times New Roman"/>
          <w:sz w:val="32"/>
          <w:szCs w:val="32"/>
        </w:rPr>
        <w:t>2016年支出较2015年支出</w:t>
      </w:r>
      <w:r>
        <w:rPr>
          <w:rFonts w:hint="eastAsia"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1225717.83</w:t>
      </w:r>
      <w:r>
        <w:rPr>
          <w:rFonts w:hint="eastAsia" w:ascii="Times New Roman" w:hAnsi="Times New Roman" w:eastAsia="仿宋_GB2312" w:cs="Times New Roman"/>
          <w:sz w:val="32"/>
          <w:szCs w:val="32"/>
        </w:rPr>
        <w:t>元。主要是</w:t>
      </w:r>
      <w:r>
        <w:rPr>
          <w:rFonts w:hint="eastAsia" w:ascii="Times New Roman" w:hAnsi="Times New Roman" w:eastAsia="仿宋_GB2312" w:cs="Times New Roman"/>
          <w:sz w:val="32"/>
          <w:szCs w:val="32"/>
          <w:lang w:eastAsia="zh-CN"/>
        </w:rPr>
        <w:t>用于市、县、乡三级青年中心建设、“青年之声”社交互动平台建设等专项经费支出</w:t>
      </w:r>
      <w:r>
        <w:rPr>
          <w:rFonts w:hint="eastAsia" w:ascii="Times New Roman" w:hAnsi="Times New Roman" w:eastAsia="仿宋_GB2312" w:cs="Times New Roman"/>
          <w:sz w:val="32"/>
          <w:szCs w:val="32"/>
        </w:rPr>
        <w:t>。</w:t>
      </w:r>
    </w:p>
    <w:p w14:paraId="2E502117">
      <w:pPr>
        <w:keepNext w:val="0"/>
        <w:keepLines w:val="0"/>
        <w:pageBreakBefore w:val="0"/>
        <w:kinsoku/>
        <w:wordWrap/>
        <w:overflowPunct/>
        <w:topLinePunct w:val="0"/>
        <w:bidi w:val="0"/>
        <w:snapToGrid w:val="0"/>
        <w:spacing w:line="500" w:lineRule="exact"/>
        <w:ind w:firstLine="640"/>
        <w:textAlignment w:val="auto"/>
        <w:rPr>
          <w:rFonts w:hint="eastAsia" w:ascii="楷体" w:hAnsi="楷体" w:eastAsia="楷体" w:cs="Times New Roman"/>
          <w:b/>
          <w:sz w:val="32"/>
          <w:szCs w:val="32"/>
        </w:rPr>
      </w:pPr>
      <w:r>
        <w:rPr>
          <w:rFonts w:hint="eastAsia" w:ascii="楷体" w:hAnsi="楷体" w:eastAsia="楷体" w:cs="Times New Roman"/>
          <w:b/>
          <w:sz w:val="32"/>
          <w:szCs w:val="32"/>
        </w:rPr>
        <w:t>（二）收入决算情况说明</w:t>
      </w:r>
    </w:p>
    <w:p w14:paraId="4FA32CBA">
      <w:pPr>
        <w:keepNext w:val="0"/>
        <w:keepLines w:val="0"/>
        <w:pageBreakBefore w:val="0"/>
        <w:kinsoku/>
        <w:wordWrap/>
        <w:overflowPunct/>
        <w:topLinePunct w:val="0"/>
        <w:bidi w:val="0"/>
        <w:spacing w:line="500" w:lineRule="exact"/>
        <w:ind w:firstLine="640" w:firstLineChars="200"/>
        <w:textAlignment w:val="auto"/>
        <w:rPr>
          <w:rFonts w:hint="eastAsia" w:ascii="仿宋_GB2312" w:hAnsi="仿宋_GB2312" w:eastAsia="仿宋_GB2312"/>
          <w:sz w:val="32"/>
          <w:szCs w:val="32"/>
          <w:lang w:val="en-US" w:eastAsia="zh-CN"/>
        </w:rPr>
      </w:pPr>
      <w:r>
        <w:rPr>
          <w:rFonts w:ascii="仿宋_GB2312" w:hAnsi="仿宋" w:eastAsia="仿宋_GB2312"/>
          <w:sz w:val="32"/>
          <w:szCs w:val="32"/>
        </w:rPr>
        <w:t>反映本部门当年</w:t>
      </w:r>
      <w:r>
        <w:rPr>
          <w:rFonts w:hint="eastAsia" w:ascii="仿宋_GB2312" w:hAnsi="仿宋" w:eastAsia="仿宋_GB2312"/>
          <w:sz w:val="32"/>
          <w:szCs w:val="32"/>
        </w:rPr>
        <w:t>总体收入</w:t>
      </w:r>
      <w:r>
        <w:rPr>
          <w:rFonts w:hint="eastAsia" w:ascii="仿宋_GB2312" w:hAnsi="仿宋_GB2312" w:eastAsia="仿宋_GB2312"/>
          <w:sz w:val="32"/>
          <w:szCs w:val="32"/>
          <w:lang w:val="en-US" w:eastAsia="zh-CN"/>
        </w:rPr>
        <w:t>情况。2017年本年收入4636600元，其中：财政拨款收入4490100元，其他收入146500元。2016年收入较2015年收入增加1618400元。主要是用于市、县、乡三级青年中心建设、“青年之声”社交互动平台建设等专项支出。</w:t>
      </w:r>
    </w:p>
    <w:p w14:paraId="3B76306D">
      <w:pPr>
        <w:keepNext w:val="0"/>
        <w:keepLines w:val="0"/>
        <w:pageBreakBefore w:val="0"/>
        <w:kinsoku/>
        <w:wordWrap/>
        <w:overflowPunct/>
        <w:topLinePunct w:val="0"/>
        <w:bidi w:val="0"/>
        <w:spacing w:line="500" w:lineRule="exact"/>
        <w:ind w:firstLine="643" w:firstLineChars="200"/>
        <w:textAlignment w:val="auto"/>
        <w:rPr>
          <w:rFonts w:hint="eastAsia" w:ascii="仿宋_GB2312" w:hAnsi="仿宋_GB2312" w:eastAsia="仿宋_GB2312"/>
          <w:sz w:val="32"/>
          <w:szCs w:val="32"/>
        </w:rPr>
      </w:pPr>
      <w:r>
        <w:rPr>
          <w:rFonts w:hint="eastAsia" w:ascii="楷体" w:hAnsi="楷体" w:eastAsia="楷体" w:cs="Times New Roman"/>
          <w:b/>
          <w:sz w:val="32"/>
          <w:szCs w:val="32"/>
        </w:rPr>
        <w:t>（三）支出决算情况说明</w:t>
      </w:r>
    </w:p>
    <w:p w14:paraId="68D437B8">
      <w:pPr>
        <w:widowControl/>
        <w:spacing w:line="584" w:lineRule="exact"/>
        <w:ind w:firstLine="640" w:firstLineChars="200"/>
        <w:jc w:val="left"/>
        <w:rPr>
          <w:rFonts w:hint="eastAsia" w:ascii="仿宋_GB2312" w:hAnsi="仿宋" w:eastAsia="仿宋_GB2312"/>
          <w:sz w:val="32"/>
          <w:szCs w:val="32"/>
          <w:lang w:val="en-US" w:eastAsia="zh-CN"/>
        </w:rPr>
      </w:pPr>
      <w:r>
        <w:rPr>
          <w:rFonts w:ascii="仿宋_GB2312" w:hAnsi="仿宋" w:eastAsia="仿宋_GB2312"/>
          <w:sz w:val="32"/>
          <w:szCs w:val="32"/>
        </w:rPr>
        <w:t>反映本部门当年</w:t>
      </w:r>
      <w:r>
        <w:rPr>
          <w:rFonts w:hint="eastAsia" w:ascii="仿宋_GB2312" w:hAnsi="仿宋" w:eastAsia="仿宋_GB2312"/>
          <w:sz w:val="32"/>
          <w:szCs w:val="32"/>
        </w:rPr>
        <w:t>总体支出情况</w:t>
      </w:r>
      <w:r>
        <w:rPr>
          <w:rFonts w:ascii="仿宋_GB2312" w:hAnsi="仿宋" w:eastAsia="仿宋_GB2312"/>
          <w:sz w:val="32"/>
          <w:szCs w:val="32"/>
        </w:rPr>
        <w:t>。</w:t>
      </w:r>
      <w:r>
        <w:rPr>
          <w:rFonts w:hint="eastAsia" w:ascii="仿宋_GB2312" w:hAnsi="仿宋" w:eastAsia="仿宋_GB2312"/>
          <w:sz w:val="32"/>
          <w:szCs w:val="32"/>
          <w:lang w:val="en-US" w:eastAsia="zh-CN"/>
        </w:rPr>
        <w:t>2017年本年支出4297845.83元，其中：基本支出2377928.66元，项目支出1919917.17元。</w:t>
      </w:r>
      <w:r>
        <w:rPr>
          <w:rFonts w:hint="eastAsia" w:ascii="Times New Roman" w:hAnsi="Times New Roman" w:eastAsia="仿宋_GB2312" w:cs="Times New Roman"/>
          <w:sz w:val="32"/>
          <w:szCs w:val="32"/>
        </w:rPr>
        <w:t>2016年支出较2015年支出</w:t>
      </w:r>
      <w:r>
        <w:rPr>
          <w:rFonts w:hint="eastAsia"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1225717.83</w:t>
      </w:r>
      <w:r>
        <w:rPr>
          <w:rFonts w:hint="eastAsia" w:ascii="Times New Roman" w:hAnsi="Times New Roman" w:eastAsia="仿宋_GB2312" w:cs="Times New Roman"/>
          <w:sz w:val="32"/>
          <w:szCs w:val="32"/>
        </w:rPr>
        <w:t>元。主要是</w:t>
      </w:r>
      <w:r>
        <w:rPr>
          <w:rFonts w:hint="eastAsia" w:ascii="Times New Roman" w:hAnsi="Times New Roman" w:eastAsia="仿宋_GB2312" w:cs="Times New Roman"/>
          <w:sz w:val="32"/>
          <w:szCs w:val="32"/>
          <w:lang w:eastAsia="zh-CN"/>
        </w:rPr>
        <w:t>用于市、县、乡三级青年中心建设、“青年之声”社交互动平台建设等专项经费支出</w:t>
      </w:r>
      <w:r>
        <w:rPr>
          <w:rFonts w:hint="eastAsia" w:ascii="Times New Roman" w:hAnsi="Times New Roman" w:eastAsia="仿宋_GB2312" w:cs="Times New Roman"/>
          <w:sz w:val="32"/>
          <w:szCs w:val="32"/>
        </w:rPr>
        <w:t>。</w:t>
      </w:r>
    </w:p>
    <w:p w14:paraId="768442C9">
      <w:pPr>
        <w:keepNext w:val="0"/>
        <w:keepLines w:val="0"/>
        <w:pageBreakBefore w:val="0"/>
        <w:widowControl/>
        <w:kinsoku/>
        <w:wordWrap/>
        <w:overflowPunct/>
        <w:topLinePunct w:val="0"/>
        <w:bidi w:val="0"/>
        <w:spacing w:line="500" w:lineRule="exact"/>
        <w:ind w:firstLine="643" w:firstLineChars="200"/>
        <w:jc w:val="left"/>
        <w:textAlignment w:val="auto"/>
        <w:rPr>
          <w:rFonts w:hint="eastAsia" w:ascii="仿宋_GB2312" w:hAnsi="仿宋" w:eastAsia="仿宋_GB2312"/>
          <w:sz w:val="32"/>
          <w:szCs w:val="32"/>
        </w:rPr>
      </w:pPr>
      <w:r>
        <w:rPr>
          <w:rFonts w:hint="eastAsia" w:ascii="楷体" w:hAnsi="楷体" w:eastAsia="楷体" w:cs="Times New Roman"/>
          <w:b/>
          <w:sz w:val="32"/>
          <w:szCs w:val="32"/>
        </w:rPr>
        <w:t>（四）财政拨款收入支出决算总体情况说明</w:t>
      </w:r>
    </w:p>
    <w:p w14:paraId="528506A0">
      <w:pPr>
        <w:keepNext w:val="0"/>
        <w:keepLines w:val="0"/>
        <w:pageBreakBefore w:val="0"/>
        <w:kinsoku/>
        <w:wordWrap/>
        <w:overflowPunct/>
        <w:topLinePunct w:val="0"/>
        <w:bidi w:val="0"/>
        <w:spacing w:line="500" w:lineRule="exact"/>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反映本部门财政拨款收支情况。</w:t>
      </w:r>
      <w:r>
        <w:rPr>
          <w:rFonts w:hint="eastAsia" w:ascii="Times New Roman" w:hAnsi="Times New Roman" w:eastAsia="仿宋_GB2312" w:cs="Times New Roman"/>
          <w:sz w:val="32"/>
          <w:szCs w:val="32"/>
          <w:lang w:val="en-US" w:eastAsia="zh-CN"/>
        </w:rPr>
        <w:t>2017年财政拨款收入4808300.94元，其中：一般公共预算财政拨款4490100元（基本支出2419100元、项目支出2071000元），年初财政拨款结转和结余318200.94元（基本支出结转195586.02元、项目支出结转和结余122614.92元）。2016年财政拨款支出4230901.13元，其中：一般公共预算财政拨款支出4230901.13元（基本支出2377928.66元、项目支出1852972.47元），较年初预算减少577399.81元，主要原因为养老保险预留金、青少年宫维修建设质保金等经费结转结余。</w:t>
      </w:r>
      <w:r>
        <w:rPr>
          <w:rFonts w:hint="eastAsia" w:ascii="Times New Roman" w:hAnsi="Times New Roman" w:eastAsia="仿宋_GB2312" w:cs="Times New Roman"/>
          <w:sz w:val="32"/>
          <w:szCs w:val="32"/>
        </w:rPr>
        <w:t>2016年支出较2015年支出</w:t>
      </w:r>
      <w:r>
        <w:rPr>
          <w:rFonts w:hint="eastAsia"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1225717.83</w:t>
      </w:r>
      <w:r>
        <w:rPr>
          <w:rFonts w:hint="eastAsia" w:ascii="Times New Roman" w:hAnsi="Times New Roman" w:eastAsia="仿宋_GB2312" w:cs="Times New Roman"/>
          <w:sz w:val="32"/>
          <w:szCs w:val="32"/>
        </w:rPr>
        <w:t>元。主要是</w:t>
      </w:r>
      <w:r>
        <w:rPr>
          <w:rFonts w:hint="eastAsia" w:ascii="Times New Roman" w:hAnsi="Times New Roman" w:eastAsia="仿宋_GB2312" w:cs="Times New Roman"/>
          <w:sz w:val="32"/>
          <w:szCs w:val="32"/>
          <w:lang w:eastAsia="zh-CN"/>
        </w:rPr>
        <w:t>用于市、县、乡三级青年中心建设、“青年之声”社交互动平台建设等专项经费支出</w:t>
      </w:r>
      <w:r>
        <w:rPr>
          <w:rFonts w:hint="eastAsia" w:ascii="Times New Roman" w:hAnsi="Times New Roman" w:eastAsia="仿宋_GB2312" w:cs="Times New Roman"/>
          <w:sz w:val="32"/>
          <w:szCs w:val="32"/>
        </w:rPr>
        <w:t>。</w:t>
      </w:r>
    </w:p>
    <w:p w14:paraId="6CB35701">
      <w:pPr>
        <w:keepNext w:val="0"/>
        <w:keepLines w:val="0"/>
        <w:pageBreakBefore w:val="0"/>
        <w:widowControl/>
        <w:kinsoku/>
        <w:wordWrap/>
        <w:overflowPunct/>
        <w:topLinePunct w:val="0"/>
        <w:bidi w:val="0"/>
        <w:spacing w:line="500" w:lineRule="exact"/>
        <w:ind w:firstLine="643" w:firstLineChars="200"/>
        <w:jc w:val="left"/>
        <w:textAlignment w:val="auto"/>
        <w:rPr>
          <w:rFonts w:hint="eastAsia" w:ascii="仿宋_GB2312" w:hAnsi="仿宋" w:eastAsia="仿宋_GB2312"/>
          <w:sz w:val="32"/>
          <w:szCs w:val="32"/>
        </w:rPr>
      </w:pPr>
      <w:r>
        <w:rPr>
          <w:rFonts w:hint="eastAsia" w:ascii="楷体" w:hAnsi="楷体" w:eastAsia="楷体" w:cs="Times New Roman"/>
          <w:b/>
          <w:sz w:val="32"/>
          <w:szCs w:val="32"/>
        </w:rPr>
        <w:t>（五）“三公”经费情况及增减变化原因</w:t>
      </w:r>
    </w:p>
    <w:p w14:paraId="19F37DC8">
      <w:pPr>
        <w:keepNext w:val="0"/>
        <w:keepLines w:val="0"/>
        <w:pageBreakBefore w:val="0"/>
        <w:widowControl/>
        <w:kinsoku/>
        <w:wordWrap/>
        <w:overflowPunct/>
        <w:topLinePunct w:val="0"/>
        <w:bidi w:val="0"/>
        <w:spacing w:line="500" w:lineRule="exact"/>
        <w:ind w:firstLine="640" w:firstLineChars="200"/>
        <w:jc w:val="left"/>
        <w:textAlignment w:val="auto"/>
        <w:rPr>
          <w:rFonts w:hint="eastAsia" w:ascii="仿宋_GB2312" w:hAnsi="仿宋" w:eastAsia="仿宋_GB2312"/>
          <w:sz w:val="32"/>
          <w:szCs w:val="32"/>
        </w:rPr>
      </w:pPr>
      <w:r>
        <w:rPr>
          <w:rFonts w:hint="eastAsia" w:ascii="仿宋_GB2312" w:hAnsi="仿宋" w:eastAsia="仿宋_GB2312"/>
          <w:sz w:val="32"/>
          <w:szCs w:val="32"/>
        </w:rPr>
        <w:t>2016年度部门“三公”经费支出</w:t>
      </w:r>
      <w:r>
        <w:rPr>
          <w:rFonts w:hint="eastAsia" w:ascii="仿宋_GB2312" w:hAnsi="仿宋" w:eastAsia="仿宋_GB2312"/>
          <w:sz w:val="32"/>
          <w:szCs w:val="32"/>
          <w:lang w:val="en-US" w:eastAsia="zh-CN"/>
        </w:rPr>
        <w:t>35672.98</w:t>
      </w:r>
      <w:r>
        <w:rPr>
          <w:rFonts w:hint="eastAsia" w:ascii="仿宋_GB2312" w:hAnsi="仿宋" w:eastAsia="仿宋_GB2312"/>
          <w:sz w:val="32"/>
          <w:szCs w:val="32"/>
        </w:rPr>
        <w:t>元，比预算减少</w:t>
      </w:r>
      <w:r>
        <w:rPr>
          <w:rFonts w:hint="eastAsia" w:ascii="仿宋_GB2312" w:hAnsi="仿宋" w:eastAsia="仿宋_GB2312"/>
          <w:sz w:val="32"/>
          <w:szCs w:val="32"/>
          <w:lang w:val="en-US" w:eastAsia="zh-CN"/>
        </w:rPr>
        <w:t>11227.02</w:t>
      </w:r>
      <w:r>
        <w:rPr>
          <w:rFonts w:hint="eastAsia" w:ascii="仿宋_GB2312" w:hAnsi="仿宋" w:eastAsia="仿宋_GB2312"/>
          <w:sz w:val="32"/>
          <w:szCs w:val="32"/>
        </w:rPr>
        <w:t>元，比2015年度决算减少</w:t>
      </w:r>
      <w:r>
        <w:rPr>
          <w:rFonts w:hint="eastAsia" w:ascii="仿宋_GB2312" w:hAnsi="仿宋" w:eastAsia="仿宋_GB2312"/>
          <w:sz w:val="32"/>
          <w:szCs w:val="32"/>
          <w:lang w:val="en-US" w:eastAsia="zh-CN"/>
        </w:rPr>
        <w:t>44066.02</w:t>
      </w:r>
      <w:r>
        <w:rPr>
          <w:rFonts w:hint="eastAsia" w:ascii="仿宋_GB2312" w:hAnsi="仿宋" w:eastAsia="仿宋_GB2312"/>
          <w:sz w:val="32"/>
          <w:szCs w:val="32"/>
        </w:rPr>
        <w:t>元。</w:t>
      </w:r>
    </w:p>
    <w:p w14:paraId="6D3A6D03">
      <w:pPr>
        <w:keepNext w:val="0"/>
        <w:keepLines w:val="0"/>
        <w:pageBreakBefore w:val="0"/>
        <w:widowControl/>
        <w:kinsoku/>
        <w:wordWrap/>
        <w:overflowPunct/>
        <w:topLinePunct w:val="0"/>
        <w:bidi w:val="0"/>
        <w:spacing w:line="500" w:lineRule="exact"/>
        <w:ind w:firstLine="640" w:firstLineChars="200"/>
        <w:jc w:val="left"/>
        <w:textAlignment w:val="auto"/>
        <w:rPr>
          <w:rFonts w:hint="eastAsia" w:ascii="仿宋_GB2312" w:hAnsi="仿宋" w:eastAsia="仿宋_GB2312"/>
          <w:sz w:val="32"/>
          <w:szCs w:val="32"/>
        </w:rPr>
      </w:pPr>
      <w:r>
        <w:rPr>
          <w:rFonts w:hint="eastAsia" w:ascii="仿宋_GB2312" w:hAnsi="仿宋" w:eastAsia="仿宋_GB2312"/>
          <w:sz w:val="32"/>
          <w:szCs w:val="32"/>
        </w:rPr>
        <w:t>其中：因公出国（境）费</w:t>
      </w:r>
      <w:r>
        <w:rPr>
          <w:rFonts w:hint="eastAsia" w:ascii="仿宋_GB2312" w:hAnsi="仿宋" w:eastAsia="仿宋_GB2312"/>
          <w:sz w:val="32"/>
          <w:szCs w:val="32"/>
          <w:lang w:val="en-US" w:eastAsia="zh-CN"/>
        </w:rPr>
        <w:t>0</w:t>
      </w:r>
      <w:r>
        <w:rPr>
          <w:rFonts w:hint="eastAsia" w:ascii="仿宋_GB2312" w:hAnsi="仿宋" w:eastAsia="仿宋_GB2312"/>
          <w:sz w:val="32"/>
          <w:szCs w:val="32"/>
        </w:rPr>
        <w:t>元（本单位2016年度组织出国（境）团组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个，因公出国（境）人次数</w:t>
      </w:r>
      <w:r>
        <w:rPr>
          <w:rFonts w:hint="eastAsia" w:ascii="仿宋_GB2312" w:hAnsi="仿宋" w:eastAsia="仿宋_GB2312"/>
          <w:sz w:val="32"/>
          <w:szCs w:val="32"/>
          <w:lang w:val="en-US" w:eastAsia="zh-CN"/>
        </w:rPr>
        <w:t>0</w:t>
      </w:r>
      <w:r>
        <w:rPr>
          <w:rFonts w:hint="eastAsia" w:ascii="仿宋_GB2312" w:hAnsi="仿宋" w:eastAsia="仿宋_GB2312"/>
          <w:sz w:val="32"/>
          <w:szCs w:val="32"/>
        </w:rPr>
        <w:t>人），比预算</w:t>
      </w:r>
      <w:r>
        <w:rPr>
          <w:rFonts w:ascii="仿宋_GB2312" w:hAnsi="仿宋" w:eastAsia="仿宋_GB2312"/>
          <w:sz w:val="32"/>
          <w:szCs w:val="32"/>
        </w:rPr>
        <w:t>增加</w:t>
      </w:r>
      <w:r>
        <w:rPr>
          <w:rFonts w:hint="eastAsia" w:ascii="仿宋_GB2312" w:hAnsi="仿宋" w:eastAsia="仿宋_GB2312"/>
          <w:sz w:val="32"/>
          <w:szCs w:val="32"/>
        </w:rPr>
        <w:t>（减少）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元，比2015年度决算</w:t>
      </w:r>
      <w:r>
        <w:rPr>
          <w:rFonts w:ascii="仿宋_GB2312" w:hAnsi="仿宋" w:eastAsia="仿宋_GB2312"/>
          <w:sz w:val="32"/>
          <w:szCs w:val="32"/>
        </w:rPr>
        <w:t>增加</w:t>
      </w:r>
      <w:r>
        <w:rPr>
          <w:rFonts w:hint="eastAsia" w:ascii="仿宋_GB2312" w:hAnsi="仿宋" w:eastAsia="仿宋_GB2312"/>
          <w:sz w:val="32"/>
          <w:szCs w:val="32"/>
        </w:rPr>
        <w:t>（减少）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元；公务用车购置及运行维护费   </w:t>
      </w:r>
      <w:r>
        <w:rPr>
          <w:rFonts w:hint="eastAsia" w:ascii="仿宋_GB2312" w:hAnsi="仿宋" w:eastAsia="仿宋_GB2312"/>
          <w:sz w:val="32"/>
          <w:szCs w:val="32"/>
          <w:lang w:val="en-US" w:eastAsia="zh-CN"/>
        </w:rPr>
        <w:t>35672.98</w:t>
      </w:r>
      <w:r>
        <w:rPr>
          <w:rFonts w:hint="eastAsia" w:ascii="仿宋_GB2312" w:hAnsi="仿宋" w:eastAsia="仿宋_GB2312"/>
          <w:sz w:val="32"/>
          <w:szCs w:val="32"/>
        </w:rPr>
        <w:t>元（公务用车购置数量</w:t>
      </w:r>
      <w:r>
        <w:rPr>
          <w:rFonts w:hint="eastAsia" w:ascii="仿宋_GB2312" w:hAnsi="仿宋" w:eastAsia="仿宋_GB2312"/>
          <w:sz w:val="32"/>
          <w:szCs w:val="32"/>
          <w:lang w:val="en-US" w:eastAsia="zh-CN"/>
        </w:rPr>
        <w:t>0</w:t>
      </w:r>
      <w:r>
        <w:rPr>
          <w:rFonts w:hint="eastAsia" w:ascii="仿宋_GB2312" w:hAnsi="仿宋" w:eastAsia="仿宋_GB2312"/>
          <w:sz w:val="32"/>
          <w:szCs w:val="32"/>
        </w:rPr>
        <w:t>辆，购置金额</w:t>
      </w:r>
      <w:r>
        <w:rPr>
          <w:rFonts w:hint="eastAsia" w:ascii="仿宋_GB2312" w:hAnsi="仿宋" w:eastAsia="仿宋_GB2312"/>
          <w:sz w:val="32"/>
          <w:szCs w:val="32"/>
          <w:lang w:val="en-US" w:eastAsia="zh-CN"/>
        </w:rPr>
        <w:t>0</w:t>
      </w:r>
      <w:r>
        <w:rPr>
          <w:rFonts w:hint="eastAsia" w:ascii="仿宋_GB2312" w:hAnsi="仿宋" w:eastAsia="仿宋_GB2312"/>
          <w:sz w:val="32"/>
          <w:szCs w:val="32"/>
        </w:rPr>
        <w:t>元，公车运行维护费</w:t>
      </w:r>
      <w:r>
        <w:rPr>
          <w:rFonts w:hint="eastAsia" w:ascii="仿宋_GB2312" w:hAnsi="仿宋" w:eastAsia="仿宋_GB2312"/>
          <w:sz w:val="32"/>
          <w:szCs w:val="32"/>
          <w:lang w:val="en-US" w:eastAsia="zh-CN"/>
        </w:rPr>
        <w:t>35672.98</w:t>
      </w:r>
      <w:r>
        <w:rPr>
          <w:rFonts w:hint="eastAsia" w:ascii="仿宋_GB2312" w:hAnsi="仿宋" w:eastAsia="仿宋_GB2312"/>
          <w:sz w:val="32"/>
          <w:szCs w:val="32"/>
        </w:rPr>
        <w:t>元，年末公务用车保有量</w:t>
      </w:r>
      <w:r>
        <w:rPr>
          <w:rFonts w:hint="eastAsia" w:ascii="仿宋_GB2312" w:hAnsi="仿宋" w:eastAsia="仿宋_GB2312"/>
          <w:sz w:val="32"/>
          <w:szCs w:val="32"/>
          <w:lang w:val="en-US" w:eastAsia="zh-CN"/>
        </w:rPr>
        <w:t>1</w:t>
      </w:r>
      <w:r>
        <w:rPr>
          <w:rFonts w:hint="eastAsia" w:ascii="仿宋_GB2312" w:hAnsi="仿宋" w:eastAsia="仿宋_GB2312"/>
          <w:sz w:val="32"/>
          <w:szCs w:val="32"/>
        </w:rPr>
        <w:t>辆），比预算减少</w:t>
      </w:r>
      <w:r>
        <w:rPr>
          <w:rFonts w:hint="eastAsia" w:ascii="仿宋_GB2312" w:hAnsi="仿宋" w:eastAsia="仿宋_GB2312"/>
          <w:sz w:val="32"/>
          <w:szCs w:val="32"/>
          <w:lang w:val="en-US" w:eastAsia="zh-CN"/>
        </w:rPr>
        <w:t>11227.02</w:t>
      </w:r>
      <w:r>
        <w:rPr>
          <w:rFonts w:hint="eastAsia" w:ascii="仿宋_GB2312" w:hAnsi="仿宋" w:eastAsia="仿宋_GB2312"/>
          <w:sz w:val="32"/>
          <w:szCs w:val="32"/>
        </w:rPr>
        <w:t>元，比2015年度决算减少</w:t>
      </w:r>
      <w:r>
        <w:rPr>
          <w:rFonts w:hint="eastAsia" w:ascii="仿宋_GB2312" w:hAnsi="仿宋" w:eastAsia="仿宋_GB2312"/>
          <w:sz w:val="32"/>
          <w:szCs w:val="32"/>
          <w:lang w:val="en-US" w:eastAsia="zh-CN"/>
        </w:rPr>
        <w:t>44066.02</w:t>
      </w:r>
      <w:r>
        <w:rPr>
          <w:rFonts w:hint="eastAsia" w:ascii="仿宋_GB2312" w:hAnsi="仿宋" w:eastAsia="仿宋_GB2312"/>
          <w:sz w:val="32"/>
          <w:szCs w:val="32"/>
        </w:rPr>
        <w:t>元，原因是</w:t>
      </w:r>
      <w:r>
        <w:rPr>
          <w:rFonts w:hint="eastAsia" w:ascii="仿宋_GB2312" w:hAnsi="仿宋" w:eastAsia="仿宋_GB2312"/>
          <w:sz w:val="32"/>
          <w:szCs w:val="32"/>
          <w:lang w:eastAsia="zh-CN"/>
        </w:rPr>
        <w:t>公车改革收回公务用车一辆，并严格控制和压缩公务用车运行费用支出</w:t>
      </w:r>
      <w:r>
        <w:rPr>
          <w:rFonts w:hint="eastAsia" w:ascii="仿宋_GB2312" w:hAnsi="仿宋" w:eastAsia="仿宋_GB2312"/>
          <w:sz w:val="32"/>
          <w:szCs w:val="32"/>
        </w:rPr>
        <w:t>；公务接待费</w:t>
      </w:r>
      <w:r>
        <w:rPr>
          <w:rFonts w:hint="eastAsia" w:ascii="仿宋_GB2312" w:hAnsi="仿宋" w:eastAsia="仿宋_GB2312"/>
          <w:sz w:val="32"/>
          <w:szCs w:val="32"/>
          <w:lang w:val="en-US" w:eastAsia="zh-CN"/>
        </w:rPr>
        <w:t>0</w:t>
      </w:r>
      <w:r>
        <w:rPr>
          <w:rFonts w:hint="eastAsia" w:ascii="仿宋_GB2312" w:hAnsi="仿宋" w:eastAsia="仿宋_GB2312"/>
          <w:sz w:val="32"/>
          <w:szCs w:val="32"/>
        </w:rPr>
        <w:t>元（2016年度国内公务接待</w:t>
      </w:r>
      <w:r>
        <w:rPr>
          <w:rFonts w:hint="eastAsia" w:ascii="仿宋_GB2312" w:hAnsi="仿宋" w:eastAsia="仿宋_GB2312"/>
          <w:sz w:val="32"/>
          <w:szCs w:val="32"/>
          <w:lang w:val="en-US" w:eastAsia="zh-CN"/>
        </w:rPr>
        <w:t>0</w:t>
      </w:r>
      <w:r>
        <w:rPr>
          <w:rFonts w:hint="eastAsia" w:ascii="仿宋_GB2312" w:hAnsi="仿宋" w:eastAsia="仿宋_GB2312"/>
          <w:sz w:val="32"/>
          <w:szCs w:val="32"/>
        </w:rPr>
        <w:t>批次，合计接待</w:t>
      </w:r>
      <w:r>
        <w:rPr>
          <w:rFonts w:hint="eastAsia" w:ascii="仿宋_GB2312" w:hAnsi="仿宋" w:eastAsia="仿宋_GB2312"/>
          <w:sz w:val="32"/>
          <w:szCs w:val="32"/>
          <w:lang w:val="en-US" w:eastAsia="zh-CN"/>
        </w:rPr>
        <w:t>0</w:t>
      </w:r>
      <w:r>
        <w:rPr>
          <w:rFonts w:hint="eastAsia" w:ascii="仿宋_GB2312" w:hAnsi="仿宋" w:eastAsia="仿宋_GB2312"/>
          <w:sz w:val="32"/>
          <w:szCs w:val="32"/>
        </w:rPr>
        <w:t>人次），比预算</w:t>
      </w:r>
      <w:r>
        <w:rPr>
          <w:rFonts w:ascii="仿宋_GB2312" w:hAnsi="仿宋" w:eastAsia="仿宋_GB2312"/>
          <w:sz w:val="32"/>
          <w:szCs w:val="32"/>
        </w:rPr>
        <w:t>增加</w:t>
      </w:r>
      <w:r>
        <w:rPr>
          <w:rFonts w:hint="eastAsia" w:ascii="仿宋_GB2312" w:hAnsi="仿宋" w:eastAsia="仿宋_GB2312"/>
          <w:sz w:val="32"/>
          <w:szCs w:val="32"/>
        </w:rPr>
        <w:t>（减少）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元，比2015年度决算</w:t>
      </w:r>
      <w:r>
        <w:rPr>
          <w:rFonts w:ascii="仿宋_GB2312" w:hAnsi="仿宋" w:eastAsia="仿宋_GB2312"/>
          <w:sz w:val="32"/>
          <w:szCs w:val="32"/>
        </w:rPr>
        <w:t>增加</w:t>
      </w:r>
      <w:r>
        <w:rPr>
          <w:rFonts w:hint="eastAsia" w:ascii="仿宋_GB2312" w:hAnsi="仿宋" w:eastAsia="仿宋_GB2312"/>
          <w:sz w:val="32"/>
          <w:szCs w:val="32"/>
        </w:rPr>
        <w:t xml:space="preserve">（减少） </w:t>
      </w:r>
      <w:r>
        <w:rPr>
          <w:rFonts w:hint="eastAsia" w:ascii="仿宋_GB2312" w:hAnsi="仿宋" w:eastAsia="仿宋_GB2312"/>
          <w:sz w:val="32"/>
          <w:szCs w:val="32"/>
          <w:lang w:val="en-US" w:eastAsia="zh-CN"/>
        </w:rPr>
        <w:t>0</w:t>
      </w:r>
      <w:r>
        <w:rPr>
          <w:rFonts w:hint="eastAsia" w:ascii="仿宋_GB2312" w:hAnsi="仿宋" w:eastAsia="仿宋_GB2312"/>
          <w:sz w:val="32"/>
          <w:szCs w:val="32"/>
        </w:rPr>
        <w:t>元，原因是</w:t>
      </w:r>
      <w:r>
        <w:rPr>
          <w:rFonts w:hint="eastAsia" w:ascii="仿宋_GB2312" w:hAnsi="仿宋" w:eastAsia="仿宋_GB2312"/>
          <w:sz w:val="32"/>
          <w:szCs w:val="32"/>
          <w:lang w:eastAsia="zh-CN"/>
        </w:rPr>
        <w:t>严格遵守中央“八项”规定等各项规章制度，厉行节俭</w:t>
      </w:r>
      <w:r>
        <w:rPr>
          <w:rFonts w:hint="eastAsia" w:ascii="仿宋_GB2312" w:hAnsi="仿宋" w:eastAsia="仿宋_GB2312"/>
          <w:sz w:val="32"/>
          <w:szCs w:val="32"/>
        </w:rPr>
        <w:t>。</w:t>
      </w:r>
    </w:p>
    <w:p w14:paraId="7E985076">
      <w:pPr>
        <w:keepNext w:val="0"/>
        <w:keepLines w:val="0"/>
        <w:pageBreakBefore w:val="0"/>
        <w:widowControl/>
        <w:kinsoku/>
        <w:wordWrap/>
        <w:overflowPunct/>
        <w:topLinePunct w:val="0"/>
        <w:bidi w:val="0"/>
        <w:spacing w:line="500" w:lineRule="exact"/>
        <w:ind w:firstLine="643" w:firstLineChars="200"/>
        <w:jc w:val="left"/>
        <w:textAlignment w:val="auto"/>
        <w:rPr>
          <w:rFonts w:hint="eastAsia" w:ascii="楷体" w:hAnsi="楷体" w:eastAsia="楷体" w:cs="Times New Roman"/>
          <w:b/>
          <w:sz w:val="32"/>
          <w:szCs w:val="32"/>
        </w:rPr>
      </w:pPr>
      <w:r>
        <w:rPr>
          <w:rFonts w:hint="eastAsia" w:ascii="楷体" w:hAnsi="楷体" w:eastAsia="楷体" w:cs="Times New Roman"/>
          <w:b/>
          <w:sz w:val="32"/>
          <w:szCs w:val="32"/>
        </w:rPr>
        <w:t>（六）机关运行经费支出情况的说明</w:t>
      </w:r>
    </w:p>
    <w:p w14:paraId="69E91DFC">
      <w:pPr>
        <w:keepNext w:val="0"/>
        <w:keepLines w:val="0"/>
        <w:pageBreakBefore w:val="0"/>
        <w:widowControl/>
        <w:kinsoku/>
        <w:wordWrap/>
        <w:overflowPunct/>
        <w:topLinePunct w:val="0"/>
        <w:bidi w:val="0"/>
        <w:spacing w:line="500" w:lineRule="exact"/>
        <w:ind w:firstLine="640" w:firstLineChars="200"/>
        <w:jc w:val="left"/>
        <w:textAlignment w:val="auto"/>
        <w:rPr>
          <w:rFonts w:hint="eastAsia" w:ascii="仿宋_GB2312" w:hAnsi="仿宋" w:eastAsia="仿宋_GB2312" w:cstheme="minorBidi"/>
          <w:kern w:val="2"/>
          <w:sz w:val="32"/>
          <w:szCs w:val="32"/>
          <w:lang w:val="en-US" w:eastAsia="zh-CN" w:bidi="ar-SA"/>
        </w:rPr>
      </w:pPr>
      <w:r>
        <w:rPr>
          <w:rFonts w:hint="eastAsia" w:ascii="仿宋_GB2312" w:hAnsi="仿宋" w:eastAsia="仿宋_GB2312" w:cstheme="minorBidi"/>
          <w:kern w:val="2"/>
          <w:sz w:val="32"/>
          <w:szCs w:val="32"/>
          <w:lang w:val="en-US" w:eastAsia="zh-CN" w:bidi="ar-SA"/>
        </w:rPr>
        <w:t>2016年度部门机关运行经费支出151321.12元，比2015年度减少29.7万元，原因是认真贯彻执行厉行节约,规范管理,严格控制和压缩各项机关运行经费费用支出。</w:t>
      </w:r>
    </w:p>
    <w:p w14:paraId="6111F3EF">
      <w:pPr>
        <w:keepNext w:val="0"/>
        <w:keepLines w:val="0"/>
        <w:pageBreakBefore w:val="0"/>
        <w:widowControl/>
        <w:numPr>
          <w:ilvl w:val="0"/>
          <w:numId w:val="2"/>
        </w:numPr>
        <w:kinsoku/>
        <w:wordWrap/>
        <w:overflowPunct/>
        <w:topLinePunct w:val="0"/>
        <w:bidi w:val="0"/>
        <w:spacing w:line="500" w:lineRule="exact"/>
        <w:ind w:firstLine="643" w:firstLineChars="200"/>
        <w:jc w:val="left"/>
        <w:textAlignment w:val="auto"/>
        <w:rPr>
          <w:rFonts w:hint="eastAsia" w:ascii="楷体" w:hAnsi="楷体" w:eastAsia="楷体" w:cs="Times New Roman"/>
          <w:b/>
          <w:sz w:val="32"/>
          <w:szCs w:val="32"/>
        </w:rPr>
      </w:pPr>
      <w:r>
        <w:rPr>
          <w:rFonts w:hint="eastAsia" w:ascii="楷体" w:hAnsi="楷体" w:eastAsia="楷体" w:cs="Times New Roman"/>
          <w:b/>
          <w:sz w:val="32"/>
          <w:szCs w:val="32"/>
        </w:rPr>
        <w:t>绩效预算信息</w:t>
      </w:r>
    </w:p>
    <w:p w14:paraId="63EA7045">
      <w:pPr>
        <w:keepNext w:val="0"/>
        <w:keepLines w:val="0"/>
        <w:pageBreakBefore w:val="0"/>
        <w:kinsoku/>
        <w:wordWrap/>
        <w:overflowPunct/>
        <w:topLinePunct w:val="0"/>
        <w:bidi w:val="0"/>
        <w:spacing w:line="500" w:lineRule="exact"/>
        <w:ind w:firstLine="640" w:firstLineChars="200"/>
        <w:jc w:val="left"/>
        <w:textAlignment w:val="auto"/>
        <w:rPr>
          <w:rFonts w:ascii="Times New Roman" w:hAnsi="Times New Roman" w:eastAsia="方正仿宋_GBK" w:cs="Times New Roman"/>
          <w:sz w:val="32"/>
          <w:szCs w:val="32"/>
        </w:rPr>
      </w:pPr>
      <w:bookmarkStart w:id="1" w:name="_Toc471398463"/>
      <w:r>
        <w:rPr>
          <w:rFonts w:ascii="Times New Roman" w:hAnsi="Times New Roman" w:eastAsia="方正仿宋_GBK" w:cs="Times New Roman"/>
          <w:sz w:val="32"/>
          <w:szCs w:val="32"/>
        </w:rPr>
        <w:t>总体绩效目标：</w:t>
      </w:r>
    </w:p>
    <w:p w14:paraId="63F3581F">
      <w:pPr>
        <w:keepNext w:val="0"/>
        <w:keepLines w:val="0"/>
        <w:pageBreakBefore w:val="0"/>
        <w:kinsoku/>
        <w:wordWrap/>
        <w:overflowPunct/>
        <w:topLinePunct w:val="0"/>
        <w:bidi w:val="0"/>
        <w:spacing w:line="500" w:lineRule="exact"/>
        <w:ind w:firstLine="640"/>
        <w:textAlignment w:val="auto"/>
        <w:rPr>
          <w:rFonts w:ascii="楷体" w:hAnsi="楷体" w:eastAsia="楷体" w:cs="Times New Roman"/>
          <w:b/>
          <w:sz w:val="32"/>
          <w:szCs w:val="32"/>
        </w:rPr>
      </w:pPr>
      <w:r>
        <w:rPr>
          <w:rFonts w:ascii="楷体" w:hAnsi="楷体" w:eastAsia="楷体" w:cs="Times New Roman"/>
          <w:b/>
          <w:sz w:val="32"/>
          <w:szCs w:val="32"/>
        </w:rPr>
        <w:t>（一）履行育人功能，加强青年思想建设</w:t>
      </w:r>
    </w:p>
    <w:p w14:paraId="21F9EFF2">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1、以共青团改革为工作主线，通过政策宣讲、基层调研、团青座谈会、主题团（队）会、演讲征文比赛、开辟网络论坛等形式，推动共青团改革广泛、深入开展，密切团青关系，增强团组织影响力和凝聚力.</w:t>
      </w:r>
    </w:p>
    <w:p w14:paraId="1A60977E">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2、利用重大节庆日为契机，开展内容广泛的主题教育活动，引导青少年坚定跟党走中国特色社会主义道路的理想信念，弘扬传承社会主义核心价值观</w:t>
      </w:r>
      <w:bookmarkStart w:id="3" w:name="_GoBack"/>
      <w:bookmarkEnd w:id="3"/>
      <w:r>
        <w:rPr>
          <w:rFonts w:ascii="仿宋" w:hAnsi="仿宋" w:eastAsia="仿宋"/>
          <w:sz w:val="32"/>
          <w:szCs w:val="32"/>
        </w:rPr>
        <w:t>，凝聚青年合力，积极为实现廊坊“四个走在全省前列”做贡献。</w:t>
      </w:r>
    </w:p>
    <w:p w14:paraId="1308EA5B">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3、以选树优秀典型为手段，开展“青年文明号”、“优秀共青团员”、“优秀辅导员”等评选表彰活动，激励青少年学习典型，坚持正确的奋斗方向，走健康的成长成才之路。</w:t>
      </w:r>
    </w:p>
    <w:p w14:paraId="20FE5ED8">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4、立足培育新青年、弘扬新风尚、倡导新生活，实施“青春情·基层行”共青团建功美丽乡村工作，以培养和造就有文化、懂技术、会经营的农村青年创业致富领头雁为根本任务，以乡村青年文化、文明生产生活为基本内容，在服务农村工作中培养接地气的团干部。</w:t>
      </w:r>
    </w:p>
    <w:p w14:paraId="47D24A10">
      <w:pPr>
        <w:keepNext w:val="0"/>
        <w:keepLines w:val="0"/>
        <w:pageBreakBefore w:val="0"/>
        <w:kinsoku/>
        <w:wordWrap/>
        <w:overflowPunct/>
        <w:topLinePunct w:val="0"/>
        <w:bidi w:val="0"/>
        <w:spacing w:line="500" w:lineRule="exact"/>
        <w:ind w:firstLine="640"/>
        <w:textAlignment w:val="auto"/>
        <w:rPr>
          <w:rFonts w:ascii="楷体" w:hAnsi="楷体" w:eastAsia="楷体" w:cs="Times New Roman"/>
          <w:b/>
          <w:sz w:val="32"/>
          <w:szCs w:val="32"/>
        </w:rPr>
      </w:pPr>
      <w:r>
        <w:rPr>
          <w:rFonts w:ascii="楷体" w:hAnsi="楷体" w:eastAsia="楷体" w:cs="Times New Roman"/>
          <w:b/>
          <w:sz w:val="32"/>
          <w:szCs w:val="32"/>
        </w:rPr>
        <w:t>（二）发挥组织优势，引导青年建功立业</w:t>
      </w:r>
    </w:p>
    <w:p w14:paraId="79B7AD1D">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1、深化青年就业创业行动。依托廊坊市青年创享服务中心，通过开展第三届廊坊市青年创新创业大赛、青年就业创业培训、岗位见习活动、创业帮扶、筹建青年就业发展服务中心、成立青年就业导师团、开展技能培训等工作，在阵地、人员、项目上实现服务青年创新创业的新突破。</w:t>
      </w:r>
    </w:p>
    <w:p w14:paraId="239D5365">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2、推进治污减霾增绿行动。开展“绿色廊坊”环保主题系列活动，一是通过设立青年绿化路、共青团示范路、建设青年命名纪念林等形式，固化活动成果发挥示范效应。二是强力推进青年“3581行动”集中活动，倡导健康步行、环保骑行、公交出行。三是开展“绿色廊坊”城市定向跑活动，宣传推介廊坊城市地标和城市特色，倡导绿色环保理念，提升市民公交线路知情率，提高步行健身活动参与度。四是开展红领巾环保行动，在中小学生中开展环保主题团队会、绘画征文大赛，营造全市广大青少年关心环保、支持环保、参与环保的良好氛围。</w:t>
      </w:r>
    </w:p>
    <w:p w14:paraId="0507F8C3">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3、深化青年志愿者行动。继续做好“5·18”、“9·26”等大型会议的志愿服务活动。进一步深化扶老助残示范性社区建设，为弱势群体提供切实有效的服务，促进了青年志愿者工作有序健康发展。利用团中央注册平台，通过层级化的推动，推进我市青年志愿者事业发展。</w:t>
      </w:r>
    </w:p>
    <w:p w14:paraId="56485BBB">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4、深化与京津等地青年工作的对接。通过学习考察、青年干部异地培训、举办京津冀青年联合会互访等活动，扩大廊坊影响，促进与京津等地的全面对接和交流合作。</w:t>
      </w:r>
    </w:p>
    <w:p w14:paraId="17990748">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5、深化“青年文明号”创建评比表彰宣传活动。通过开展青工创新创效、青年突击队岗位建功等工作，增强职业青年综合素质，提高企事业单位工作效能和竞争力。</w:t>
      </w:r>
    </w:p>
    <w:p w14:paraId="22AC9996">
      <w:pPr>
        <w:keepNext w:val="0"/>
        <w:keepLines w:val="0"/>
        <w:pageBreakBefore w:val="0"/>
        <w:kinsoku/>
        <w:wordWrap/>
        <w:overflowPunct/>
        <w:topLinePunct w:val="0"/>
        <w:bidi w:val="0"/>
        <w:spacing w:line="500" w:lineRule="exact"/>
        <w:ind w:firstLine="640"/>
        <w:textAlignment w:val="auto"/>
        <w:rPr>
          <w:rFonts w:ascii="楷体" w:hAnsi="楷体" w:eastAsia="楷体" w:cs="Times New Roman"/>
          <w:b/>
          <w:sz w:val="32"/>
          <w:szCs w:val="32"/>
        </w:rPr>
      </w:pPr>
      <w:r>
        <w:rPr>
          <w:rFonts w:ascii="楷体" w:hAnsi="楷体" w:eastAsia="楷体" w:cs="Times New Roman"/>
          <w:b/>
          <w:sz w:val="32"/>
          <w:szCs w:val="32"/>
        </w:rPr>
        <w:t>（三）坚持以人为本，服务青年成长成才</w:t>
      </w:r>
    </w:p>
    <w:p w14:paraId="76699CC3">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1、实施青少年素质拓展计划。通过开展全市青年骨干（团干部）培训班、辅导员技能大赛、市直青年文化艺术节、手拉手互助活动、十八岁成人仪式、大学生创业计划大赛等活动，推进青少年素质教育，促进青少年健康成长。</w:t>
      </w:r>
    </w:p>
    <w:p w14:paraId="6CE96A0D">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、实施青少年关爱计划。通过开展圆梦大学行动、结对帮扶行动等工作，为下岗失业青年、农村贫困青年、残疾青年、失足青少年等弱势青少年群体解决实际困难。</w:t>
      </w:r>
    </w:p>
    <w:p w14:paraId="32AD7224">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实施青少年合法权益维护工程。通过开通维权热线、开展法制宣传月活动、举办“共青团与人大代表、政协委员面对面”活动、廊坊市优秀“青少年维权岗”评选活动等工作，引导青年合理表达利益诉求，维护青年群体和谐稳定，预防青少年违法犯罪。</w:t>
      </w:r>
    </w:p>
    <w:p w14:paraId="60D04834">
      <w:pPr>
        <w:keepNext w:val="0"/>
        <w:keepLines w:val="0"/>
        <w:pageBreakBefore w:val="0"/>
        <w:kinsoku/>
        <w:wordWrap/>
        <w:overflowPunct/>
        <w:topLinePunct w:val="0"/>
        <w:bidi w:val="0"/>
        <w:spacing w:line="500" w:lineRule="exact"/>
        <w:ind w:firstLine="640"/>
        <w:textAlignment w:val="auto"/>
        <w:rPr>
          <w:rFonts w:ascii="楷体" w:hAnsi="楷体" w:eastAsia="楷体" w:cs="Times New Roman"/>
          <w:b/>
          <w:sz w:val="32"/>
          <w:szCs w:val="32"/>
        </w:rPr>
      </w:pPr>
      <w:r>
        <w:rPr>
          <w:rFonts w:ascii="楷体" w:hAnsi="楷体" w:eastAsia="楷体" w:cs="Times New Roman"/>
          <w:b/>
          <w:sz w:val="32"/>
          <w:szCs w:val="32"/>
        </w:rPr>
        <w:t>（四）夯实组织基础，保障事业科学发展</w:t>
      </w:r>
    </w:p>
    <w:p w14:paraId="6CC7B340">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1、在团的组织建设上，以“建强基础抓规范·拓展覆盖增活力”为核心，在传统领域上做强学校、市直属团组织的同时，将进一步活跃“两新”组织、农村、社区团的工作；加强驻北京、天津域外团工委建设；探索青年社会组织服务中心建设，将青年社会组织纳入党领导下的青年组织体系中来，鼓励支持青年社会组织承办共青团和青年工作项目。</w:t>
      </w:r>
    </w:p>
    <w:p w14:paraId="2B069ED7">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2、在团的队伍建设上，一方面大力推进冀团联字[2011]63号文件《关于加强新形势下基层党建带团建工作的实施意见》精神的深入落实，加强对团的工作物质支持和经费保障，推动基层团组织换届工作，并按编制配齐、配强人员；另一方面面向基层、面向社会，选拔优秀青年到团的机关挂职、任职，选拔团的专职干部到经济部门、企业、基层一线挂职锻炼；三是把团干部转岗输送工作纳入对干部的日常调配管理之中，形成团组织积极推荐、党委组织部门统筹安排的团干部转岗输送机制，努力让团干部队伍“活”起来。</w:t>
      </w:r>
    </w:p>
    <w:p w14:paraId="4ECBC1B3">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3、在团的作风建设上，重点推进共青团工作改革，全面落实“4+1”“8+4”“1+100”工作机制，以“强作风·重实干·促发展”为主题，开展大调研和专职团干部联系普通青年活动，在培树积极向上的朝气、敢想敢干的锐气、战胜困难的勇气、干好工作的底气、凝心聚力的静气五个方面提振团干部的精气神。通过狠抓作风建设把工作氛围营造得更加浓厚、把工作任务推进得更加深入、把干部势气提振得更加高昂。</w:t>
      </w:r>
    </w:p>
    <w:p w14:paraId="1DB49671">
      <w:pPr>
        <w:keepNext w:val="0"/>
        <w:keepLines w:val="0"/>
        <w:pageBreakBefore w:val="0"/>
        <w:kinsoku/>
        <w:wordWrap/>
        <w:overflowPunct/>
        <w:topLinePunct w:val="0"/>
        <w:bidi w:val="0"/>
        <w:spacing w:line="500" w:lineRule="exact"/>
        <w:ind w:firstLine="640" w:firstLineChars="200"/>
        <w:textAlignment w:val="auto"/>
        <w:rPr>
          <w:rFonts w:ascii="仿宋" w:hAnsi="仿宋" w:eastAsia="仿宋"/>
          <w:sz w:val="32"/>
          <w:szCs w:val="32"/>
        </w:rPr>
      </w:pPr>
      <w:r>
        <w:rPr>
          <w:rFonts w:ascii="仿宋" w:hAnsi="仿宋" w:eastAsia="仿宋"/>
          <w:sz w:val="32"/>
          <w:szCs w:val="32"/>
        </w:rPr>
        <w:t>4、强化“两大平台”，实现双网互动。全面推进“青年之声”线上平台建设。全面提升“青年之声”服务联盟专家团队的综合运用能力和实际操作能力；将“青年之声”平台延伸至市直机关、企业、高校和基层团组织，实现对更多普通青年的全面覆盖，提高共青团舆论引导的能力。不断规范“青年中心”线下平台建设。通过盘活闲置场地解决阵地问题、通过公益岗位招募解决人员问题、通过共青团特色项目进青年中心解决工作载体问题，市、县、乡三级联动，合力推进青年中心的建设、运行，提高共青团服务青年的能力。</w:t>
      </w:r>
    </w:p>
    <w:p w14:paraId="2C13FD7E">
      <w:pPr>
        <w:keepNext w:val="0"/>
        <w:keepLines w:val="0"/>
        <w:pageBreakBefore w:val="0"/>
        <w:kinsoku/>
        <w:wordWrap/>
        <w:overflowPunct/>
        <w:topLinePunct w:val="0"/>
        <w:bidi w:val="0"/>
        <w:spacing w:line="500" w:lineRule="exact"/>
        <w:ind w:firstLine="643" w:firstLineChars="200"/>
        <w:jc w:val="left"/>
        <w:textAlignment w:val="auto"/>
        <w:outlineLvl w:val="0"/>
        <w:rPr>
          <w:rFonts w:ascii="KaiTi_GB2312" w:hAnsi="黑体" w:eastAsia="KaiTi_GB2312" w:cs="Times New Roman"/>
          <w:b/>
          <w:sz w:val="32"/>
          <w:szCs w:val="32"/>
        </w:rPr>
      </w:pPr>
      <w:r>
        <w:rPr>
          <w:rFonts w:hint="eastAsia" w:ascii="KaiTi_GB2312" w:hAnsi="黑体" w:eastAsia="KaiTi_GB2312" w:cs="Times New Roman"/>
          <w:b/>
          <w:sz w:val="32"/>
          <w:szCs w:val="32"/>
        </w:rPr>
        <w:t>部门职责及工作活动绩效目标指标：</w:t>
      </w:r>
    </w:p>
    <w:p w14:paraId="25B732F3">
      <w:pPr>
        <w:keepNext w:val="0"/>
        <w:keepLines w:val="0"/>
        <w:pageBreakBefore w:val="0"/>
        <w:kinsoku/>
        <w:wordWrap/>
        <w:overflowPunct/>
        <w:topLinePunct w:val="0"/>
        <w:bidi w:val="0"/>
        <w:spacing w:line="500" w:lineRule="exact"/>
        <w:jc w:val="center"/>
        <w:textAlignment w:val="auto"/>
        <w:outlineLvl w:val="0"/>
        <w:rPr>
          <w:rFonts w:ascii="方正小标宋_GBK" w:eastAsia="方正小标宋_GBK"/>
          <w:sz w:val="32"/>
        </w:rPr>
      </w:pPr>
      <w:bookmarkStart w:id="2" w:name="_Toc479755814"/>
      <w:r>
        <w:rPr>
          <w:rFonts w:hint="eastAsia" w:ascii="方正小标宋_GBK" w:eastAsia="方正小标宋_GBK"/>
          <w:sz w:val="32"/>
        </w:rPr>
        <w:t>部门职责-工作活动绩效目标</w:t>
      </w:r>
      <w:bookmarkEnd w:id="2"/>
    </w:p>
    <w:tbl>
      <w:tblPr>
        <w:tblStyle w:val="7"/>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03AECE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3601A84E">
            <w:pPr>
              <w:keepNext w:val="0"/>
              <w:keepLines w:val="0"/>
              <w:pageBreakBefore w:val="0"/>
              <w:kinsoku/>
              <w:wordWrap/>
              <w:overflowPunct/>
              <w:topLinePunct w:val="0"/>
              <w:bidi w:val="0"/>
              <w:spacing w:line="500" w:lineRule="exact"/>
              <w:jc w:val="left"/>
              <w:textAlignment w:val="auto"/>
              <w:rPr>
                <w:rFonts w:ascii="方正小标宋_GBK" w:eastAsia="方正小标宋_GBK"/>
                <w:sz w:val="24"/>
              </w:rPr>
            </w:pPr>
            <w:r>
              <w:rPr>
                <w:rFonts w:hint="eastAsia" w:ascii="方正小标宋_GBK" w:eastAsia="方正小标宋_GBK"/>
                <w:sz w:val="24"/>
              </w:rPr>
              <w:t>301中国共产主义青年团廊坊市委员会</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56E79ABC">
            <w:pPr>
              <w:keepNext w:val="0"/>
              <w:keepLines w:val="0"/>
              <w:pageBreakBefore w:val="0"/>
              <w:kinsoku/>
              <w:wordWrap/>
              <w:overflowPunct/>
              <w:topLinePunct w:val="0"/>
              <w:bidi w:val="0"/>
              <w:spacing w:line="500" w:lineRule="exact"/>
              <w:jc w:val="right"/>
              <w:textAlignment w:val="auto"/>
              <w:rPr>
                <w:rFonts w:ascii="方正书宋_GBK" w:eastAsia="方正书宋_GBK"/>
                <w:sz w:val="24"/>
              </w:rPr>
            </w:pPr>
            <w:r>
              <w:rPr>
                <w:rFonts w:hint="eastAsia" w:ascii="方正书宋_GBK" w:eastAsia="方正书宋_GBK"/>
                <w:sz w:val="24"/>
              </w:rPr>
              <w:t>单位：万元</w:t>
            </w:r>
          </w:p>
        </w:tc>
      </w:tr>
      <w:tr w14:paraId="5CC46F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1C2A62E9">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32059E55">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0510D6C6">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2E235500">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0EB271EB">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70ECD3CE">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评价标准</w:t>
            </w:r>
          </w:p>
        </w:tc>
      </w:tr>
      <w:tr w14:paraId="32D596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135DE53A">
            <w:pPr>
              <w:keepNext w:val="0"/>
              <w:keepLines w:val="0"/>
              <w:pageBreakBefore w:val="0"/>
              <w:kinsoku/>
              <w:wordWrap/>
              <w:overflowPunct/>
              <w:topLinePunct w:val="0"/>
              <w:bidi w:val="0"/>
              <w:spacing w:line="500" w:lineRule="exact"/>
              <w:jc w:val="left"/>
              <w:textAlignment w:val="auto"/>
              <w:outlineLvl w:val="0"/>
            </w:pPr>
          </w:p>
        </w:tc>
        <w:tc>
          <w:tcPr>
            <w:tcW w:w="1276" w:type="dxa"/>
            <w:vMerge w:val="continue"/>
            <w:shd w:val="clear" w:color="auto" w:fill="auto"/>
            <w:vAlign w:val="center"/>
          </w:tcPr>
          <w:p w14:paraId="643EDD99">
            <w:pPr>
              <w:keepNext w:val="0"/>
              <w:keepLines w:val="0"/>
              <w:pageBreakBefore w:val="0"/>
              <w:kinsoku/>
              <w:wordWrap/>
              <w:overflowPunct/>
              <w:topLinePunct w:val="0"/>
              <w:bidi w:val="0"/>
              <w:spacing w:line="500" w:lineRule="exact"/>
              <w:jc w:val="left"/>
              <w:textAlignment w:val="auto"/>
              <w:outlineLvl w:val="0"/>
            </w:pPr>
          </w:p>
        </w:tc>
        <w:tc>
          <w:tcPr>
            <w:tcW w:w="2976" w:type="dxa"/>
            <w:vMerge w:val="continue"/>
            <w:shd w:val="clear" w:color="auto" w:fill="auto"/>
            <w:vAlign w:val="center"/>
          </w:tcPr>
          <w:p w14:paraId="1E69ABA1">
            <w:pPr>
              <w:keepNext w:val="0"/>
              <w:keepLines w:val="0"/>
              <w:pageBreakBefore w:val="0"/>
              <w:kinsoku/>
              <w:wordWrap/>
              <w:overflowPunct/>
              <w:topLinePunct w:val="0"/>
              <w:bidi w:val="0"/>
              <w:spacing w:line="500" w:lineRule="exact"/>
              <w:jc w:val="left"/>
              <w:textAlignment w:val="auto"/>
              <w:outlineLvl w:val="0"/>
            </w:pPr>
          </w:p>
        </w:tc>
        <w:tc>
          <w:tcPr>
            <w:tcW w:w="2976" w:type="dxa"/>
            <w:vMerge w:val="continue"/>
            <w:shd w:val="clear" w:color="auto" w:fill="auto"/>
            <w:vAlign w:val="center"/>
          </w:tcPr>
          <w:p w14:paraId="180437C2">
            <w:pPr>
              <w:keepNext w:val="0"/>
              <w:keepLines w:val="0"/>
              <w:pageBreakBefore w:val="0"/>
              <w:kinsoku/>
              <w:wordWrap/>
              <w:overflowPunct/>
              <w:topLinePunct w:val="0"/>
              <w:bidi w:val="0"/>
              <w:spacing w:line="500" w:lineRule="exact"/>
              <w:jc w:val="left"/>
              <w:textAlignment w:val="auto"/>
              <w:outlineLvl w:val="0"/>
            </w:pPr>
          </w:p>
        </w:tc>
        <w:tc>
          <w:tcPr>
            <w:tcW w:w="1417" w:type="dxa"/>
            <w:vMerge w:val="continue"/>
            <w:shd w:val="clear" w:color="auto" w:fill="auto"/>
            <w:vAlign w:val="center"/>
          </w:tcPr>
          <w:p w14:paraId="78EE4D43">
            <w:pPr>
              <w:keepNext w:val="0"/>
              <w:keepLines w:val="0"/>
              <w:pageBreakBefore w:val="0"/>
              <w:kinsoku/>
              <w:wordWrap/>
              <w:overflowPunct/>
              <w:topLinePunct w:val="0"/>
              <w:bidi w:val="0"/>
              <w:spacing w:line="500" w:lineRule="exact"/>
              <w:jc w:val="left"/>
              <w:textAlignment w:val="auto"/>
              <w:outlineLvl w:val="0"/>
            </w:pPr>
          </w:p>
        </w:tc>
        <w:tc>
          <w:tcPr>
            <w:tcW w:w="737" w:type="dxa"/>
            <w:shd w:val="clear" w:color="auto" w:fill="auto"/>
            <w:vAlign w:val="center"/>
          </w:tcPr>
          <w:p w14:paraId="1C035E0E">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62B548CF">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1E6D6A15">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3D0204A2">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差</w:t>
            </w:r>
          </w:p>
        </w:tc>
      </w:tr>
      <w:tr w14:paraId="043EDC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BBAC656">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组织建设和宣传教育</w:t>
            </w:r>
          </w:p>
        </w:tc>
        <w:tc>
          <w:tcPr>
            <w:tcW w:w="1276" w:type="dxa"/>
            <w:shd w:val="clear" w:color="auto" w:fill="auto"/>
            <w:vAlign w:val="center"/>
          </w:tcPr>
          <w:p w14:paraId="07AC9D2F">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243.60</w:t>
            </w:r>
          </w:p>
        </w:tc>
        <w:tc>
          <w:tcPr>
            <w:tcW w:w="2976" w:type="dxa"/>
            <w:shd w:val="clear" w:color="auto" w:fill="auto"/>
            <w:vAlign w:val="center"/>
          </w:tcPr>
          <w:p w14:paraId="7097973A">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领导全市共青团工作，指导和管理全市青联、少先队、青年志愿者和青年社会组织工作；对青少年活动阵地和青少年服务机构的建设等进行规划和管理；协助市政府教育部门做好学生教育管理工作。</w:t>
            </w:r>
          </w:p>
        </w:tc>
        <w:tc>
          <w:tcPr>
            <w:tcW w:w="2976" w:type="dxa"/>
            <w:shd w:val="clear" w:color="auto" w:fill="auto"/>
            <w:vAlign w:val="center"/>
          </w:tcPr>
          <w:p w14:paraId="1479128C">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各级基层团组织和青年组织建设加强，活力明显提升。</w:t>
            </w:r>
          </w:p>
        </w:tc>
        <w:tc>
          <w:tcPr>
            <w:tcW w:w="1417" w:type="dxa"/>
            <w:shd w:val="clear" w:color="auto" w:fill="auto"/>
            <w:vAlign w:val="center"/>
          </w:tcPr>
          <w:p w14:paraId="3451F0E1">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737" w:type="dxa"/>
            <w:shd w:val="clear" w:color="auto" w:fill="auto"/>
            <w:vAlign w:val="center"/>
          </w:tcPr>
          <w:p w14:paraId="0E757E63">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1C99C4FA">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1918C58D">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223005EE">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r>
      <w:tr w14:paraId="2EBB4B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34EE7F0F">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　　组织建设</w:t>
            </w:r>
          </w:p>
        </w:tc>
        <w:tc>
          <w:tcPr>
            <w:tcW w:w="1276" w:type="dxa"/>
            <w:vMerge w:val="restart"/>
            <w:shd w:val="clear" w:color="auto" w:fill="auto"/>
            <w:vAlign w:val="center"/>
          </w:tcPr>
          <w:p w14:paraId="5B993E51">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196.60</w:t>
            </w:r>
          </w:p>
        </w:tc>
        <w:tc>
          <w:tcPr>
            <w:tcW w:w="2976" w:type="dxa"/>
            <w:vMerge w:val="restart"/>
            <w:shd w:val="clear" w:color="auto" w:fill="auto"/>
            <w:vAlign w:val="center"/>
          </w:tcPr>
          <w:p w14:paraId="2803FF99">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指导市青联和少先队工作，对全市青年志愿组织和青年社会组织进行指导和管理；对青少年活动阵地、青年志愿组织、青年社会组织阵地和青少年服务机构建设等事务进行规划和管理。</w:t>
            </w:r>
          </w:p>
        </w:tc>
        <w:tc>
          <w:tcPr>
            <w:tcW w:w="2976" w:type="dxa"/>
            <w:vMerge w:val="restart"/>
            <w:shd w:val="clear" w:color="auto" w:fill="auto"/>
            <w:vAlign w:val="center"/>
          </w:tcPr>
          <w:p w14:paraId="07078E5A">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强化团干部教育培训，加强思想和作风建设；加强青联、少工委组织建设，加强青年志愿组织和青年社会组织及青少年活动阵地的指导和管理；基层团组织服务能力不断提高。</w:t>
            </w:r>
          </w:p>
        </w:tc>
        <w:tc>
          <w:tcPr>
            <w:tcW w:w="1417" w:type="dxa"/>
            <w:shd w:val="clear" w:color="auto" w:fill="auto"/>
            <w:vAlign w:val="center"/>
          </w:tcPr>
          <w:p w14:paraId="14A5ABCB">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青年志愿者队伍新增注册比例</w:t>
            </w:r>
          </w:p>
        </w:tc>
        <w:tc>
          <w:tcPr>
            <w:tcW w:w="737" w:type="dxa"/>
            <w:shd w:val="clear" w:color="auto" w:fill="auto"/>
            <w:vAlign w:val="center"/>
          </w:tcPr>
          <w:p w14:paraId="77F6ADB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25%</w:t>
            </w:r>
          </w:p>
        </w:tc>
        <w:tc>
          <w:tcPr>
            <w:tcW w:w="737" w:type="dxa"/>
            <w:shd w:val="clear" w:color="auto" w:fill="auto"/>
            <w:vAlign w:val="center"/>
          </w:tcPr>
          <w:p w14:paraId="521C85E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15%</w:t>
            </w:r>
          </w:p>
        </w:tc>
        <w:tc>
          <w:tcPr>
            <w:tcW w:w="737" w:type="dxa"/>
            <w:shd w:val="clear" w:color="auto" w:fill="auto"/>
            <w:vAlign w:val="center"/>
          </w:tcPr>
          <w:p w14:paraId="49C9E699">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65E6EEE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p>
        </w:tc>
      </w:tr>
      <w:tr w14:paraId="74CBB9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B5DEEF8">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73E27F88">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3ECCE4C4">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289EF50E">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5AC9E130">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青年社会组织服务平台培训骨干人员数量</w:t>
            </w:r>
          </w:p>
        </w:tc>
        <w:tc>
          <w:tcPr>
            <w:tcW w:w="737" w:type="dxa"/>
            <w:shd w:val="clear" w:color="auto" w:fill="auto"/>
            <w:vAlign w:val="center"/>
          </w:tcPr>
          <w:p w14:paraId="3B28C49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241E977B">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12596CB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w:t>
            </w:r>
          </w:p>
        </w:tc>
        <w:tc>
          <w:tcPr>
            <w:tcW w:w="737" w:type="dxa"/>
            <w:shd w:val="clear" w:color="auto" w:fill="auto"/>
            <w:vAlign w:val="center"/>
          </w:tcPr>
          <w:p w14:paraId="7BCBDE9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w:t>
            </w:r>
          </w:p>
        </w:tc>
      </w:tr>
      <w:tr w14:paraId="64E9D9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0F4646F">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0A2AB64B">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56BC93F8">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06E0D133">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344A0661">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各类组织建设规范化程度</w:t>
            </w:r>
          </w:p>
        </w:tc>
        <w:tc>
          <w:tcPr>
            <w:tcW w:w="737" w:type="dxa"/>
            <w:shd w:val="clear" w:color="auto" w:fill="auto"/>
            <w:vAlign w:val="center"/>
          </w:tcPr>
          <w:p w14:paraId="6EC89E5A">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1144E5EB">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69A05D1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14:paraId="1EFAB2A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40%</w:t>
            </w:r>
          </w:p>
        </w:tc>
      </w:tr>
      <w:tr w14:paraId="6E4ED0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EF8442F">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7F68361A">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20FE540B">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27710A51">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05C04D1D">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市青联委员代表参加活动或培训覆盖率</w:t>
            </w:r>
          </w:p>
        </w:tc>
        <w:tc>
          <w:tcPr>
            <w:tcW w:w="737" w:type="dxa"/>
            <w:shd w:val="clear" w:color="auto" w:fill="auto"/>
            <w:vAlign w:val="center"/>
          </w:tcPr>
          <w:p w14:paraId="646CF0F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70236275">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14:paraId="11A549B9">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p>
        </w:tc>
        <w:tc>
          <w:tcPr>
            <w:tcW w:w="737" w:type="dxa"/>
            <w:shd w:val="clear" w:color="auto" w:fill="auto"/>
            <w:vAlign w:val="center"/>
          </w:tcPr>
          <w:p w14:paraId="60C3E10E">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p>
        </w:tc>
      </w:tr>
      <w:tr w14:paraId="502375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FC60075">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2B4FB0A3">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08D93601">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22F514D8">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076E9F8F">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市少工委培训少先队工作者人数</w:t>
            </w:r>
          </w:p>
        </w:tc>
        <w:tc>
          <w:tcPr>
            <w:tcW w:w="737" w:type="dxa"/>
            <w:shd w:val="clear" w:color="auto" w:fill="auto"/>
            <w:vAlign w:val="center"/>
          </w:tcPr>
          <w:p w14:paraId="547C880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人次</w:t>
            </w:r>
          </w:p>
        </w:tc>
        <w:tc>
          <w:tcPr>
            <w:tcW w:w="737" w:type="dxa"/>
            <w:shd w:val="clear" w:color="auto" w:fill="auto"/>
            <w:vAlign w:val="center"/>
          </w:tcPr>
          <w:p w14:paraId="38306B4E">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人次</w:t>
            </w:r>
          </w:p>
        </w:tc>
        <w:tc>
          <w:tcPr>
            <w:tcW w:w="737" w:type="dxa"/>
            <w:shd w:val="clear" w:color="auto" w:fill="auto"/>
            <w:vAlign w:val="center"/>
          </w:tcPr>
          <w:p w14:paraId="40F32307">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人次</w:t>
            </w:r>
          </w:p>
        </w:tc>
        <w:tc>
          <w:tcPr>
            <w:tcW w:w="737" w:type="dxa"/>
            <w:shd w:val="clear" w:color="auto" w:fill="auto"/>
            <w:vAlign w:val="center"/>
          </w:tcPr>
          <w:p w14:paraId="1D5582AE">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人次</w:t>
            </w:r>
          </w:p>
        </w:tc>
      </w:tr>
      <w:tr w14:paraId="134050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0914A72">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4D77E600">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23D2F6C5">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43C8D745">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1B9B3AE9">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青年中心标准化建设阵地覆盖率</w:t>
            </w:r>
          </w:p>
        </w:tc>
        <w:tc>
          <w:tcPr>
            <w:tcW w:w="737" w:type="dxa"/>
            <w:shd w:val="clear" w:color="auto" w:fill="auto"/>
            <w:vAlign w:val="center"/>
          </w:tcPr>
          <w:p w14:paraId="151C619A">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2887E5E7">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0625D8A6">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14:paraId="7CC553C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40%</w:t>
            </w:r>
          </w:p>
        </w:tc>
      </w:tr>
      <w:tr w14:paraId="531D15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46E731E1">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　　宣传教育</w:t>
            </w:r>
          </w:p>
        </w:tc>
        <w:tc>
          <w:tcPr>
            <w:tcW w:w="1276" w:type="dxa"/>
            <w:vMerge w:val="restart"/>
            <w:shd w:val="clear" w:color="auto" w:fill="auto"/>
            <w:vAlign w:val="center"/>
          </w:tcPr>
          <w:p w14:paraId="14A4E9A2">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47.00</w:t>
            </w:r>
          </w:p>
        </w:tc>
        <w:tc>
          <w:tcPr>
            <w:tcW w:w="2976" w:type="dxa"/>
            <w:vMerge w:val="restart"/>
            <w:shd w:val="clear" w:color="auto" w:fill="auto"/>
            <w:vAlign w:val="center"/>
          </w:tcPr>
          <w:p w14:paraId="197A7134">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有效利用网络和新媒体加强对青年的宣传力度，加强网络和新媒体正面宣传，用科学理论武装青年，用共同理想感召青年，用社会主义核心价值观引领青年，协助市政府教育部门做好大、中、小学学生的教育管理工作。</w:t>
            </w:r>
          </w:p>
        </w:tc>
        <w:tc>
          <w:tcPr>
            <w:tcW w:w="2976" w:type="dxa"/>
            <w:vMerge w:val="restart"/>
            <w:shd w:val="clear" w:color="auto" w:fill="auto"/>
            <w:vAlign w:val="center"/>
          </w:tcPr>
          <w:p w14:paraId="1556EBB3">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构建团的网络新媒体工作阵地，运用新媒体全方位推进团的工作；利用重要节点节日、各类阵地、各种形式进行思想引导，培养青年骨干，打造适应青少年特点的文化产品。维护青少年队伍稳定，促进和谐社会建设。</w:t>
            </w:r>
          </w:p>
        </w:tc>
        <w:tc>
          <w:tcPr>
            <w:tcW w:w="1417" w:type="dxa"/>
            <w:shd w:val="clear" w:color="auto" w:fill="auto"/>
            <w:vAlign w:val="center"/>
          </w:tcPr>
          <w:p w14:paraId="04FDADF1">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希望工程资助金额</w:t>
            </w:r>
          </w:p>
        </w:tc>
        <w:tc>
          <w:tcPr>
            <w:tcW w:w="737" w:type="dxa"/>
            <w:shd w:val="clear" w:color="auto" w:fill="auto"/>
            <w:vAlign w:val="center"/>
          </w:tcPr>
          <w:p w14:paraId="0F73CF7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万元</w:t>
            </w:r>
          </w:p>
        </w:tc>
        <w:tc>
          <w:tcPr>
            <w:tcW w:w="737" w:type="dxa"/>
            <w:shd w:val="clear" w:color="auto" w:fill="auto"/>
            <w:vAlign w:val="center"/>
          </w:tcPr>
          <w:p w14:paraId="33B1E3CE">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15</w:t>
            </w:r>
            <w:r>
              <w:rPr>
                <w:rFonts w:hint="eastAsia" w:ascii="方正书宋_GBK" w:eastAsia="方正书宋_GBK"/>
              </w:rPr>
              <w:t>万元</w:t>
            </w:r>
          </w:p>
        </w:tc>
        <w:tc>
          <w:tcPr>
            <w:tcW w:w="737" w:type="dxa"/>
            <w:shd w:val="clear" w:color="auto" w:fill="auto"/>
            <w:vAlign w:val="center"/>
          </w:tcPr>
          <w:p w14:paraId="3DB7E25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万元</w:t>
            </w:r>
          </w:p>
        </w:tc>
        <w:tc>
          <w:tcPr>
            <w:tcW w:w="737" w:type="dxa"/>
            <w:shd w:val="clear" w:color="auto" w:fill="auto"/>
            <w:vAlign w:val="center"/>
          </w:tcPr>
          <w:p w14:paraId="2341CEC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万元</w:t>
            </w:r>
          </w:p>
        </w:tc>
      </w:tr>
      <w:tr w14:paraId="4792E3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84F9ED3">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3EBC3B11">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41E15A79">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1D58A0E8">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17363435">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青少年参加纪念</w:t>
            </w:r>
            <w:r>
              <w:rPr>
                <w:rFonts w:hint="cs" w:ascii="方正书宋_GBK" w:eastAsia="方正书宋_GBK"/>
              </w:rPr>
              <w:t>“</w:t>
            </w:r>
            <w:r>
              <w:rPr>
                <w:rFonts w:hint="eastAsia" w:ascii="方正书宋_GBK" w:eastAsia="方正书宋_GBK"/>
              </w:rPr>
              <w:t>五四</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六一</w:t>
            </w:r>
            <w:r>
              <w:rPr>
                <w:rFonts w:hint="cs" w:ascii="方正书宋_GBK" w:eastAsia="方正书宋_GBK"/>
              </w:rPr>
              <w:t>”</w:t>
            </w:r>
            <w:r>
              <w:rPr>
                <w:rFonts w:hint="eastAsia" w:ascii="方正书宋_GBK" w:eastAsia="方正书宋_GBK"/>
              </w:rPr>
              <w:t>等各类思想引导类活动的满意度</w:t>
            </w:r>
          </w:p>
        </w:tc>
        <w:tc>
          <w:tcPr>
            <w:tcW w:w="737" w:type="dxa"/>
            <w:shd w:val="clear" w:color="auto" w:fill="auto"/>
            <w:vAlign w:val="center"/>
          </w:tcPr>
          <w:p w14:paraId="40DF452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26F52AF4">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3CE0B011">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577063B1">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p>
        </w:tc>
      </w:tr>
      <w:tr w14:paraId="09A30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60FE48F">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4403AE3B">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6DFB3DD6">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463E9BC2">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4248BD7B">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团干部教育和培训覆盖率</w:t>
            </w:r>
          </w:p>
        </w:tc>
        <w:tc>
          <w:tcPr>
            <w:tcW w:w="737" w:type="dxa"/>
            <w:shd w:val="clear" w:color="auto" w:fill="auto"/>
            <w:vAlign w:val="center"/>
          </w:tcPr>
          <w:p w14:paraId="3C578E24">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100%</w:t>
            </w:r>
          </w:p>
        </w:tc>
        <w:tc>
          <w:tcPr>
            <w:tcW w:w="737" w:type="dxa"/>
            <w:shd w:val="clear" w:color="auto" w:fill="auto"/>
            <w:vAlign w:val="center"/>
          </w:tcPr>
          <w:p w14:paraId="230A8526">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CCD39B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34BD6BD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60%</w:t>
            </w:r>
          </w:p>
        </w:tc>
      </w:tr>
      <w:tr w14:paraId="37439A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9F280E5">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506C8352">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E05CAC4">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153731CE">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005E8D17">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青年网宣员新增比率</w:t>
            </w:r>
          </w:p>
        </w:tc>
        <w:tc>
          <w:tcPr>
            <w:tcW w:w="737" w:type="dxa"/>
            <w:shd w:val="clear" w:color="auto" w:fill="auto"/>
            <w:vAlign w:val="center"/>
          </w:tcPr>
          <w:p w14:paraId="0676CF77">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w:t>
            </w:r>
          </w:p>
        </w:tc>
        <w:tc>
          <w:tcPr>
            <w:tcW w:w="737" w:type="dxa"/>
            <w:shd w:val="clear" w:color="auto" w:fill="auto"/>
            <w:vAlign w:val="center"/>
          </w:tcPr>
          <w:p w14:paraId="3167513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0EBF8AF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619BA7A1">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p>
        </w:tc>
      </w:tr>
      <w:tr w14:paraId="257B23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BE05A06">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服务、引导青少年工作</w:t>
            </w:r>
          </w:p>
        </w:tc>
        <w:tc>
          <w:tcPr>
            <w:tcW w:w="1276" w:type="dxa"/>
            <w:shd w:val="clear" w:color="auto" w:fill="auto"/>
            <w:vAlign w:val="center"/>
          </w:tcPr>
          <w:p w14:paraId="19C43BC0">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63.20</w:t>
            </w:r>
          </w:p>
        </w:tc>
        <w:tc>
          <w:tcPr>
            <w:tcW w:w="2976" w:type="dxa"/>
            <w:shd w:val="clear" w:color="auto" w:fill="auto"/>
            <w:vAlign w:val="center"/>
          </w:tcPr>
          <w:p w14:paraId="274F1C5A">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深入学习习近平总书记系列重要讲话精神；深化</w:t>
            </w:r>
            <w:r>
              <w:rPr>
                <w:rFonts w:hint="cs" w:ascii="方正书宋_GBK" w:eastAsia="方正书宋_GBK"/>
              </w:rPr>
              <w:t>“</w:t>
            </w:r>
            <w:r>
              <w:rPr>
                <w:rFonts w:hint="eastAsia" w:ascii="方正书宋_GBK" w:eastAsia="方正书宋_GBK"/>
              </w:rPr>
              <w:t>中国梦</w:t>
            </w:r>
            <w:r>
              <w:rPr>
                <w:rFonts w:hint="cs" w:ascii="方正书宋_GBK" w:eastAsia="方正书宋_GBK"/>
              </w:rPr>
              <w:t>”</w:t>
            </w:r>
            <w:r>
              <w:rPr>
                <w:rFonts w:hint="eastAsia" w:ascii="方正书宋_GBK" w:eastAsia="方正书宋_GBK"/>
              </w:rPr>
              <w:t>和社会主义核心价值观教育；调查研究青年思想动态，服务青年创新创业、交流交友、社会融入等需求，组织和带领青年及青年社会组织为全市经济和社会发展作贡献。</w:t>
            </w:r>
          </w:p>
        </w:tc>
        <w:tc>
          <w:tcPr>
            <w:tcW w:w="2976" w:type="dxa"/>
            <w:shd w:val="clear" w:color="auto" w:fill="auto"/>
            <w:vAlign w:val="center"/>
          </w:tcPr>
          <w:p w14:paraId="29746F20">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围绕青年思想动态和青年工作现况，不断加强青少年社会主义核心价值观教育；加强青年统战工作；围绕党政中心工作开展各项活动。</w:t>
            </w:r>
          </w:p>
        </w:tc>
        <w:tc>
          <w:tcPr>
            <w:tcW w:w="1417" w:type="dxa"/>
            <w:shd w:val="clear" w:color="auto" w:fill="auto"/>
            <w:vAlign w:val="center"/>
          </w:tcPr>
          <w:p w14:paraId="4208CF19">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737" w:type="dxa"/>
            <w:shd w:val="clear" w:color="auto" w:fill="auto"/>
            <w:vAlign w:val="center"/>
          </w:tcPr>
          <w:p w14:paraId="7D5A5451">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1B2D9006">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2F435437">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6C043422">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r>
      <w:tr w14:paraId="15BA65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55CA473B">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　青少年服务引导工作</w:t>
            </w:r>
          </w:p>
        </w:tc>
        <w:tc>
          <w:tcPr>
            <w:tcW w:w="1276" w:type="dxa"/>
            <w:vMerge w:val="restart"/>
            <w:shd w:val="clear" w:color="auto" w:fill="auto"/>
            <w:vAlign w:val="center"/>
          </w:tcPr>
          <w:p w14:paraId="6266C451">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63.20</w:t>
            </w:r>
          </w:p>
        </w:tc>
        <w:tc>
          <w:tcPr>
            <w:tcW w:w="2976" w:type="dxa"/>
            <w:vMerge w:val="restart"/>
            <w:shd w:val="clear" w:color="auto" w:fill="auto"/>
            <w:vAlign w:val="center"/>
          </w:tcPr>
          <w:p w14:paraId="18F7617F">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围绕青年思想动态和青年工作现况，调查研究青少年运动、青少年工作理论和思想教育、青年社会组织发展问题；服务青年创新创业、婚恋交友等需求；做好青年统战对象的团结教育工作；围绕党政中心开展团的各项活动。</w:t>
            </w:r>
          </w:p>
        </w:tc>
        <w:tc>
          <w:tcPr>
            <w:tcW w:w="2976" w:type="dxa"/>
            <w:vMerge w:val="restart"/>
            <w:shd w:val="clear" w:color="auto" w:fill="auto"/>
            <w:vAlign w:val="center"/>
          </w:tcPr>
          <w:p w14:paraId="39E6C7E4">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做好青年统战对象的团结教育、引导、服务工作，为全市经济社会发展贡献力量。</w:t>
            </w:r>
          </w:p>
        </w:tc>
        <w:tc>
          <w:tcPr>
            <w:tcW w:w="1417" w:type="dxa"/>
            <w:shd w:val="clear" w:color="auto" w:fill="auto"/>
            <w:vAlign w:val="center"/>
          </w:tcPr>
          <w:p w14:paraId="2A3031E4">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参加破题攻坚调研大赛人数</w:t>
            </w:r>
          </w:p>
        </w:tc>
        <w:tc>
          <w:tcPr>
            <w:tcW w:w="737" w:type="dxa"/>
            <w:shd w:val="clear" w:color="auto" w:fill="auto"/>
            <w:vAlign w:val="center"/>
          </w:tcPr>
          <w:p w14:paraId="18DC10C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人</w:t>
            </w:r>
          </w:p>
        </w:tc>
        <w:tc>
          <w:tcPr>
            <w:tcW w:w="737" w:type="dxa"/>
            <w:shd w:val="clear" w:color="auto" w:fill="auto"/>
            <w:vAlign w:val="center"/>
          </w:tcPr>
          <w:p w14:paraId="2004DE1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w:t>
            </w:r>
            <w:r>
              <w:rPr>
                <w:rFonts w:hint="eastAsia" w:ascii="方正书宋_GBK" w:eastAsia="方正书宋_GBK"/>
              </w:rPr>
              <w:t>人</w:t>
            </w:r>
          </w:p>
        </w:tc>
        <w:tc>
          <w:tcPr>
            <w:tcW w:w="737" w:type="dxa"/>
            <w:shd w:val="clear" w:color="auto" w:fill="auto"/>
            <w:vAlign w:val="center"/>
          </w:tcPr>
          <w:p w14:paraId="1EA08FF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人</w:t>
            </w:r>
          </w:p>
        </w:tc>
        <w:tc>
          <w:tcPr>
            <w:tcW w:w="737" w:type="dxa"/>
            <w:shd w:val="clear" w:color="auto" w:fill="auto"/>
            <w:vAlign w:val="center"/>
          </w:tcPr>
          <w:p w14:paraId="0BD34B06">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人</w:t>
            </w:r>
          </w:p>
        </w:tc>
      </w:tr>
      <w:tr w14:paraId="7320E5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62C5DC1">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35067308">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7C64C14">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0B502C03">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2BBEB48D">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创新创业大赛参赛项目</w:t>
            </w:r>
          </w:p>
        </w:tc>
        <w:tc>
          <w:tcPr>
            <w:tcW w:w="737" w:type="dxa"/>
            <w:shd w:val="clear" w:color="auto" w:fill="auto"/>
            <w:vAlign w:val="center"/>
          </w:tcPr>
          <w:p w14:paraId="12B722C1">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个</w:t>
            </w:r>
          </w:p>
        </w:tc>
        <w:tc>
          <w:tcPr>
            <w:tcW w:w="737" w:type="dxa"/>
            <w:shd w:val="clear" w:color="auto" w:fill="auto"/>
            <w:vAlign w:val="center"/>
          </w:tcPr>
          <w:p w14:paraId="2EAA176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40</w:t>
            </w:r>
            <w:r>
              <w:rPr>
                <w:rFonts w:hint="eastAsia" w:ascii="方正书宋_GBK" w:eastAsia="方正书宋_GBK"/>
              </w:rPr>
              <w:t>个</w:t>
            </w:r>
          </w:p>
        </w:tc>
        <w:tc>
          <w:tcPr>
            <w:tcW w:w="737" w:type="dxa"/>
            <w:shd w:val="clear" w:color="auto" w:fill="auto"/>
            <w:vAlign w:val="center"/>
          </w:tcPr>
          <w:p w14:paraId="552F08FA">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个</w:t>
            </w:r>
          </w:p>
        </w:tc>
        <w:tc>
          <w:tcPr>
            <w:tcW w:w="737" w:type="dxa"/>
            <w:shd w:val="clear" w:color="auto" w:fill="auto"/>
            <w:vAlign w:val="center"/>
          </w:tcPr>
          <w:p w14:paraId="2E1972B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个</w:t>
            </w:r>
          </w:p>
        </w:tc>
      </w:tr>
      <w:tr w14:paraId="255D8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23691FB">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2995A171">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3BD0F553">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23630C79">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31D1B7ED">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举办学习贯彻习近平总书记系列重要讲话精神青年读书班期数</w:t>
            </w:r>
          </w:p>
        </w:tc>
        <w:tc>
          <w:tcPr>
            <w:tcW w:w="737" w:type="dxa"/>
            <w:shd w:val="clear" w:color="auto" w:fill="auto"/>
            <w:vAlign w:val="center"/>
          </w:tcPr>
          <w:p w14:paraId="7F56474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期</w:t>
            </w:r>
          </w:p>
        </w:tc>
        <w:tc>
          <w:tcPr>
            <w:tcW w:w="737" w:type="dxa"/>
            <w:shd w:val="clear" w:color="auto" w:fill="auto"/>
            <w:vAlign w:val="center"/>
          </w:tcPr>
          <w:p w14:paraId="7D95729A">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23140266">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期</w:t>
            </w:r>
          </w:p>
        </w:tc>
        <w:tc>
          <w:tcPr>
            <w:tcW w:w="737" w:type="dxa"/>
            <w:shd w:val="clear" w:color="auto" w:fill="auto"/>
            <w:vAlign w:val="center"/>
          </w:tcPr>
          <w:p w14:paraId="703093F1">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期</w:t>
            </w:r>
          </w:p>
        </w:tc>
      </w:tr>
      <w:tr w14:paraId="7989B2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F300A01">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62293182">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4BB6BF3D">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644CF73E">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768A11A9">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举办学习贯彻习近平总书记系列重要讲话精神青年读书班期数</w:t>
            </w:r>
          </w:p>
        </w:tc>
        <w:tc>
          <w:tcPr>
            <w:tcW w:w="737" w:type="dxa"/>
            <w:shd w:val="clear" w:color="auto" w:fill="auto"/>
            <w:vAlign w:val="center"/>
          </w:tcPr>
          <w:p w14:paraId="10BEB5B5">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期</w:t>
            </w:r>
          </w:p>
        </w:tc>
        <w:tc>
          <w:tcPr>
            <w:tcW w:w="737" w:type="dxa"/>
            <w:shd w:val="clear" w:color="auto" w:fill="auto"/>
            <w:vAlign w:val="center"/>
          </w:tcPr>
          <w:p w14:paraId="0CB6016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42BBB96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期</w:t>
            </w:r>
          </w:p>
        </w:tc>
        <w:tc>
          <w:tcPr>
            <w:tcW w:w="737" w:type="dxa"/>
            <w:shd w:val="clear" w:color="auto" w:fill="auto"/>
            <w:vAlign w:val="center"/>
          </w:tcPr>
          <w:p w14:paraId="71B1069B">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期</w:t>
            </w:r>
          </w:p>
        </w:tc>
      </w:tr>
      <w:tr w14:paraId="2168B7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C904B8B">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维护青少年权益工作</w:t>
            </w:r>
          </w:p>
        </w:tc>
        <w:tc>
          <w:tcPr>
            <w:tcW w:w="1276" w:type="dxa"/>
            <w:shd w:val="clear" w:color="auto" w:fill="auto"/>
            <w:vAlign w:val="center"/>
          </w:tcPr>
          <w:p w14:paraId="7BC6C6DC">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6.00</w:t>
            </w:r>
          </w:p>
        </w:tc>
        <w:tc>
          <w:tcPr>
            <w:tcW w:w="2976" w:type="dxa"/>
            <w:shd w:val="clear" w:color="auto" w:fill="auto"/>
            <w:vAlign w:val="center"/>
          </w:tcPr>
          <w:p w14:paraId="0D49634D">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研究有关青少年发展问题，参与制定本市保护青少年健康成长的法律、地方性法规；构建和完善维护青少年发展权益的机制化、社会化、专业化工作体系。</w:t>
            </w:r>
          </w:p>
        </w:tc>
        <w:tc>
          <w:tcPr>
            <w:tcW w:w="2976" w:type="dxa"/>
            <w:shd w:val="clear" w:color="auto" w:fill="auto"/>
            <w:vAlign w:val="center"/>
          </w:tcPr>
          <w:p w14:paraId="2CA24A00">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加强青少年事务社会工作，加强法治宣传教育，促进青少年健康成长。</w:t>
            </w:r>
          </w:p>
        </w:tc>
        <w:tc>
          <w:tcPr>
            <w:tcW w:w="1417" w:type="dxa"/>
            <w:shd w:val="clear" w:color="auto" w:fill="auto"/>
            <w:vAlign w:val="center"/>
          </w:tcPr>
          <w:p w14:paraId="1DC5D552">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737" w:type="dxa"/>
            <w:shd w:val="clear" w:color="auto" w:fill="auto"/>
            <w:vAlign w:val="center"/>
          </w:tcPr>
          <w:p w14:paraId="40DDA6E1">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3A92B216">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6C96C89B">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372FB326">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r>
      <w:tr w14:paraId="4D596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18753B5D">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　预防青少年违法犯罪</w:t>
            </w:r>
          </w:p>
        </w:tc>
        <w:tc>
          <w:tcPr>
            <w:tcW w:w="1276" w:type="dxa"/>
            <w:vMerge w:val="restart"/>
            <w:shd w:val="clear" w:color="auto" w:fill="auto"/>
            <w:vAlign w:val="center"/>
          </w:tcPr>
          <w:p w14:paraId="00A3799D">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6.00</w:t>
            </w:r>
          </w:p>
        </w:tc>
        <w:tc>
          <w:tcPr>
            <w:tcW w:w="2976" w:type="dxa"/>
            <w:vMerge w:val="restart"/>
            <w:shd w:val="clear" w:color="auto" w:fill="auto"/>
            <w:vAlign w:val="center"/>
          </w:tcPr>
          <w:p w14:paraId="00EBBC38">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推动青少年事务社会工作开展；提高源头治理力度，做好预防青少年违法犯罪工作；做好青少年法治宣传教育工作。</w:t>
            </w:r>
          </w:p>
        </w:tc>
        <w:tc>
          <w:tcPr>
            <w:tcW w:w="2976" w:type="dxa"/>
            <w:vMerge w:val="restart"/>
            <w:shd w:val="clear" w:color="auto" w:fill="auto"/>
            <w:vAlign w:val="center"/>
          </w:tcPr>
          <w:p w14:paraId="4F5A7D02">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增强青少年学法、尊法、守法、用法意识，充分发挥市综治委预防青少年违法犯罪专项组和市青年法律工作者协会作用，青少年事务社会工作有效开展。</w:t>
            </w:r>
          </w:p>
        </w:tc>
        <w:tc>
          <w:tcPr>
            <w:tcW w:w="1417" w:type="dxa"/>
            <w:shd w:val="clear" w:color="auto" w:fill="auto"/>
            <w:vAlign w:val="center"/>
          </w:tcPr>
          <w:p w14:paraId="57CD6AEF">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各级团组织开展法治宣传教育参与人次</w:t>
            </w:r>
          </w:p>
        </w:tc>
        <w:tc>
          <w:tcPr>
            <w:tcW w:w="737" w:type="dxa"/>
            <w:shd w:val="clear" w:color="auto" w:fill="auto"/>
            <w:vAlign w:val="center"/>
          </w:tcPr>
          <w:p w14:paraId="3D227851">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500</w:t>
            </w:r>
            <w:r>
              <w:rPr>
                <w:rFonts w:hint="eastAsia" w:ascii="方正书宋_GBK" w:eastAsia="方正书宋_GBK"/>
              </w:rPr>
              <w:t>人次</w:t>
            </w:r>
          </w:p>
        </w:tc>
        <w:tc>
          <w:tcPr>
            <w:tcW w:w="737" w:type="dxa"/>
            <w:shd w:val="clear" w:color="auto" w:fill="auto"/>
            <w:vAlign w:val="center"/>
          </w:tcPr>
          <w:p w14:paraId="38A3B271">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300</w:t>
            </w:r>
            <w:r>
              <w:rPr>
                <w:rFonts w:hint="eastAsia" w:ascii="方正书宋_GBK" w:eastAsia="方正书宋_GBK"/>
              </w:rPr>
              <w:t>人次</w:t>
            </w:r>
          </w:p>
        </w:tc>
        <w:tc>
          <w:tcPr>
            <w:tcW w:w="737" w:type="dxa"/>
            <w:shd w:val="clear" w:color="auto" w:fill="auto"/>
            <w:vAlign w:val="center"/>
          </w:tcPr>
          <w:p w14:paraId="42FBD3C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人次</w:t>
            </w:r>
          </w:p>
        </w:tc>
        <w:tc>
          <w:tcPr>
            <w:tcW w:w="737" w:type="dxa"/>
            <w:shd w:val="clear" w:color="auto" w:fill="auto"/>
            <w:vAlign w:val="center"/>
          </w:tcPr>
          <w:p w14:paraId="0FBF7FB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人次</w:t>
            </w:r>
          </w:p>
        </w:tc>
      </w:tr>
      <w:tr w14:paraId="30ECA9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40D8CB1">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0AA81517">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2E6ACB31">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6F3907A4">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2A78D0F6">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维权服务对象满意度</w:t>
            </w:r>
          </w:p>
        </w:tc>
        <w:tc>
          <w:tcPr>
            <w:tcW w:w="737" w:type="dxa"/>
            <w:shd w:val="clear" w:color="auto" w:fill="auto"/>
            <w:vAlign w:val="center"/>
          </w:tcPr>
          <w:p w14:paraId="5B5B990E">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1C569294">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187BFB5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2C9CB26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60%</w:t>
            </w:r>
          </w:p>
        </w:tc>
      </w:tr>
      <w:tr w14:paraId="3437BB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3251152">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19774F69">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02E8C8FC">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3E06644F">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72A79E5A">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组织团干部和社会工作人员参与培训、资格考试人数</w:t>
            </w:r>
          </w:p>
        </w:tc>
        <w:tc>
          <w:tcPr>
            <w:tcW w:w="737" w:type="dxa"/>
            <w:shd w:val="clear" w:color="auto" w:fill="auto"/>
            <w:vAlign w:val="center"/>
          </w:tcPr>
          <w:p w14:paraId="6FDE5367">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69BDE80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w:t>
            </w:r>
          </w:p>
        </w:tc>
        <w:tc>
          <w:tcPr>
            <w:tcW w:w="737" w:type="dxa"/>
            <w:shd w:val="clear" w:color="auto" w:fill="auto"/>
            <w:vAlign w:val="center"/>
          </w:tcPr>
          <w:p w14:paraId="71E64E85">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w:t>
            </w:r>
          </w:p>
        </w:tc>
        <w:tc>
          <w:tcPr>
            <w:tcW w:w="737" w:type="dxa"/>
            <w:shd w:val="clear" w:color="auto" w:fill="auto"/>
            <w:vAlign w:val="center"/>
          </w:tcPr>
          <w:p w14:paraId="7BBF443B">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w:t>
            </w:r>
          </w:p>
        </w:tc>
      </w:tr>
      <w:tr w14:paraId="21A19F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AE842DF">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769C66AD">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1D21670F">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E6C0264">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63D4D1EC">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组织团干部和社会工作人员参与培训、资格考试人数</w:t>
            </w:r>
          </w:p>
        </w:tc>
        <w:tc>
          <w:tcPr>
            <w:tcW w:w="737" w:type="dxa"/>
            <w:shd w:val="clear" w:color="auto" w:fill="auto"/>
            <w:vAlign w:val="center"/>
          </w:tcPr>
          <w:p w14:paraId="3F391707">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25305EA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w:t>
            </w:r>
          </w:p>
        </w:tc>
        <w:tc>
          <w:tcPr>
            <w:tcW w:w="737" w:type="dxa"/>
            <w:shd w:val="clear" w:color="auto" w:fill="auto"/>
            <w:vAlign w:val="center"/>
          </w:tcPr>
          <w:p w14:paraId="5E4A67D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w:t>
            </w:r>
          </w:p>
        </w:tc>
        <w:tc>
          <w:tcPr>
            <w:tcW w:w="737" w:type="dxa"/>
            <w:shd w:val="clear" w:color="auto" w:fill="auto"/>
            <w:vAlign w:val="center"/>
          </w:tcPr>
          <w:p w14:paraId="6C3C7E13">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w:t>
            </w:r>
          </w:p>
        </w:tc>
      </w:tr>
      <w:tr w14:paraId="390F6E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7FDABDF">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团委事务管理</w:t>
            </w:r>
          </w:p>
        </w:tc>
        <w:tc>
          <w:tcPr>
            <w:tcW w:w="1276" w:type="dxa"/>
            <w:shd w:val="clear" w:color="auto" w:fill="auto"/>
            <w:vAlign w:val="center"/>
          </w:tcPr>
          <w:p w14:paraId="3E08052E">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7.00</w:t>
            </w:r>
          </w:p>
        </w:tc>
        <w:tc>
          <w:tcPr>
            <w:tcW w:w="2976" w:type="dxa"/>
            <w:shd w:val="clear" w:color="auto" w:fill="auto"/>
            <w:vAlign w:val="center"/>
          </w:tcPr>
          <w:p w14:paraId="4AA34E98">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负责团市委综合业务管理。</w:t>
            </w:r>
          </w:p>
        </w:tc>
        <w:tc>
          <w:tcPr>
            <w:tcW w:w="2976" w:type="dxa"/>
            <w:shd w:val="clear" w:color="auto" w:fill="auto"/>
            <w:vAlign w:val="center"/>
          </w:tcPr>
          <w:p w14:paraId="2AFA972E">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工作任务圆满完成，促进共青团事业发展。</w:t>
            </w:r>
          </w:p>
        </w:tc>
        <w:tc>
          <w:tcPr>
            <w:tcW w:w="1417" w:type="dxa"/>
            <w:shd w:val="clear" w:color="auto" w:fill="auto"/>
            <w:vAlign w:val="center"/>
          </w:tcPr>
          <w:p w14:paraId="0B50DE38">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737" w:type="dxa"/>
            <w:shd w:val="clear" w:color="auto" w:fill="auto"/>
            <w:vAlign w:val="center"/>
          </w:tcPr>
          <w:p w14:paraId="599EB6A3">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5C74FA39">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1523AF48">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13B90844">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r>
      <w:tr w14:paraId="690A83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530E8C33">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　　综合业务管理</w:t>
            </w:r>
          </w:p>
        </w:tc>
        <w:tc>
          <w:tcPr>
            <w:tcW w:w="1276" w:type="dxa"/>
            <w:vMerge w:val="restart"/>
            <w:shd w:val="clear" w:color="auto" w:fill="auto"/>
            <w:vAlign w:val="center"/>
          </w:tcPr>
          <w:p w14:paraId="4A255152">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7.00</w:t>
            </w:r>
          </w:p>
        </w:tc>
        <w:tc>
          <w:tcPr>
            <w:tcW w:w="2976" w:type="dxa"/>
            <w:vMerge w:val="restart"/>
            <w:shd w:val="clear" w:color="auto" w:fill="auto"/>
            <w:vAlign w:val="center"/>
          </w:tcPr>
          <w:p w14:paraId="5A806F03">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参与制定全市的青少年事业发展规划和青少年工作方针、政策；承担市委、市政府和团省委交办的有关事项。</w:t>
            </w:r>
          </w:p>
        </w:tc>
        <w:tc>
          <w:tcPr>
            <w:tcW w:w="2976" w:type="dxa"/>
            <w:vMerge w:val="restart"/>
            <w:shd w:val="clear" w:color="auto" w:fill="auto"/>
            <w:vAlign w:val="center"/>
          </w:tcPr>
          <w:p w14:paraId="36C971D1">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高质量完成全市青少年发展规划和方针政策的制定，圆满完成市委、市政府和团省委交办的各项任务。</w:t>
            </w:r>
          </w:p>
        </w:tc>
        <w:tc>
          <w:tcPr>
            <w:tcW w:w="1417" w:type="dxa"/>
            <w:shd w:val="clear" w:color="auto" w:fill="auto"/>
            <w:vAlign w:val="center"/>
          </w:tcPr>
          <w:p w14:paraId="57847A6B">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受到市委、团省委领导肯定性批示数</w:t>
            </w:r>
          </w:p>
        </w:tc>
        <w:tc>
          <w:tcPr>
            <w:tcW w:w="737" w:type="dxa"/>
            <w:shd w:val="clear" w:color="auto" w:fill="auto"/>
            <w:vAlign w:val="center"/>
          </w:tcPr>
          <w:p w14:paraId="6B6B09A4">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次</w:t>
            </w:r>
          </w:p>
        </w:tc>
        <w:tc>
          <w:tcPr>
            <w:tcW w:w="737" w:type="dxa"/>
            <w:shd w:val="clear" w:color="auto" w:fill="auto"/>
            <w:vAlign w:val="center"/>
          </w:tcPr>
          <w:p w14:paraId="2AEFD7A7">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2</w:t>
            </w:r>
            <w:r>
              <w:rPr>
                <w:rFonts w:hint="eastAsia" w:ascii="方正书宋_GBK" w:eastAsia="方正书宋_GBK"/>
              </w:rPr>
              <w:t>次</w:t>
            </w:r>
          </w:p>
        </w:tc>
        <w:tc>
          <w:tcPr>
            <w:tcW w:w="737" w:type="dxa"/>
            <w:shd w:val="clear" w:color="auto" w:fill="auto"/>
            <w:vAlign w:val="center"/>
          </w:tcPr>
          <w:p w14:paraId="726A5FF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1</w:t>
            </w:r>
            <w:r>
              <w:rPr>
                <w:rFonts w:hint="eastAsia" w:ascii="方正书宋_GBK" w:eastAsia="方正书宋_GBK"/>
              </w:rPr>
              <w:t>次</w:t>
            </w:r>
          </w:p>
        </w:tc>
        <w:tc>
          <w:tcPr>
            <w:tcW w:w="737" w:type="dxa"/>
            <w:shd w:val="clear" w:color="auto" w:fill="auto"/>
            <w:vAlign w:val="center"/>
          </w:tcPr>
          <w:p w14:paraId="0FEBD2C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0</w:t>
            </w:r>
            <w:r>
              <w:rPr>
                <w:rFonts w:hint="eastAsia" w:ascii="方正书宋_GBK" w:eastAsia="方正书宋_GBK"/>
              </w:rPr>
              <w:t>次</w:t>
            </w:r>
          </w:p>
        </w:tc>
      </w:tr>
      <w:tr w14:paraId="69F541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6907624">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68691DCA">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006FF2B7">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615C3F2F">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062279F5">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常态化下沉基层机关干部人数</w:t>
            </w:r>
          </w:p>
        </w:tc>
        <w:tc>
          <w:tcPr>
            <w:tcW w:w="737" w:type="dxa"/>
            <w:shd w:val="clear" w:color="auto" w:fill="auto"/>
            <w:vAlign w:val="center"/>
          </w:tcPr>
          <w:p w14:paraId="374BD6C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人次</w:t>
            </w:r>
          </w:p>
        </w:tc>
        <w:tc>
          <w:tcPr>
            <w:tcW w:w="737" w:type="dxa"/>
            <w:shd w:val="clear" w:color="auto" w:fill="auto"/>
            <w:vAlign w:val="center"/>
          </w:tcPr>
          <w:p w14:paraId="5627CBA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4</w:t>
            </w:r>
            <w:r>
              <w:rPr>
                <w:rFonts w:hint="eastAsia" w:ascii="方正书宋_GBK" w:eastAsia="方正书宋_GBK"/>
              </w:rPr>
              <w:t>人次</w:t>
            </w:r>
          </w:p>
        </w:tc>
        <w:tc>
          <w:tcPr>
            <w:tcW w:w="737" w:type="dxa"/>
            <w:shd w:val="clear" w:color="auto" w:fill="auto"/>
            <w:vAlign w:val="center"/>
          </w:tcPr>
          <w:p w14:paraId="5933E4B6">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人次</w:t>
            </w:r>
          </w:p>
        </w:tc>
        <w:tc>
          <w:tcPr>
            <w:tcW w:w="737" w:type="dxa"/>
            <w:shd w:val="clear" w:color="auto" w:fill="auto"/>
            <w:vAlign w:val="center"/>
          </w:tcPr>
          <w:p w14:paraId="54C75695">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人次</w:t>
            </w:r>
          </w:p>
        </w:tc>
      </w:tr>
      <w:tr w14:paraId="37F442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8AC0D7B">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2C71B1DD">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643733D2">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51CDB113">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7EBC0E2A">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助力脱贫攻坚活动覆盖率</w:t>
            </w:r>
          </w:p>
        </w:tc>
        <w:tc>
          <w:tcPr>
            <w:tcW w:w="737" w:type="dxa"/>
            <w:shd w:val="clear" w:color="auto" w:fill="auto"/>
            <w:vAlign w:val="center"/>
          </w:tcPr>
          <w:p w14:paraId="22DB44B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7D534554">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276E4B39">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2ECC497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60%</w:t>
            </w:r>
          </w:p>
        </w:tc>
      </w:tr>
      <w:tr w14:paraId="36F012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AD07C9D">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组织青少年参加校外教育</w:t>
            </w:r>
          </w:p>
        </w:tc>
        <w:tc>
          <w:tcPr>
            <w:tcW w:w="1276" w:type="dxa"/>
            <w:shd w:val="clear" w:color="auto" w:fill="auto"/>
            <w:vAlign w:val="center"/>
          </w:tcPr>
          <w:p w14:paraId="58E62D93">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82.00</w:t>
            </w:r>
          </w:p>
        </w:tc>
        <w:tc>
          <w:tcPr>
            <w:tcW w:w="2976" w:type="dxa"/>
            <w:shd w:val="clear" w:color="auto" w:fill="auto"/>
            <w:vAlign w:val="center"/>
          </w:tcPr>
          <w:p w14:paraId="2621C5B2">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开展思想引领、文化艺术、科普创意、体育健身等基础培训及专业技能、职业素养培训，开展道德实践、教育实践、社会实践等公益活动及文化交流、文艺演出、比赛竞技等活动。</w:t>
            </w:r>
          </w:p>
        </w:tc>
        <w:tc>
          <w:tcPr>
            <w:tcW w:w="2976" w:type="dxa"/>
            <w:shd w:val="clear" w:color="auto" w:fill="auto"/>
            <w:vAlign w:val="center"/>
          </w:tcPr>
          <w:p w14:paraId="5FFB2D89">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打造艺术人才的摇篮、健康成长的乐园，服务青少年全面发展；打造校外培训的龙头、素质教育的品牌，搭建青少年成长平台；打造思想引领的阵地，文明创建的窗口，传播文明、践行社会主义核心价值观。</w:t>
            </w:r>
          </w:p>
        </w:tc>
        <w:tc>
          <w:tcPr>
            <w:tcW w:w="1417" w:type="dxa"/>
            <w:shd w:val="clear" w:color="auto" w:fill="auto"/>
            <w:vAlign w:val="center"/>
          </w:tcPr>
          <w:p w14:paraId="3BBB88D9">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737" w:type="dxa"/>
            <w:shd w:val="clear" w:color="auto" w:fill="auto"/>
            <w:vAlign w:val="center"/>
          </w:tcPr>
          <w:p w14:paraId="128531EA">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25F8D70B">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73E487D3">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49F00E71">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r>
      <w:tr w14:paraId="151CB2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09805CFE">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　　组织培训</w:t>
            </w:r>
          </w:p>
        </w:tc>
        <w:tc>
          <w:tcPr>
            <w:tcW w:w="1276" w:type="dxa"/>
            <w:vMerge w:val="restart"/>
            <w:shd w:val="clear" w:color="auto" w:fill="auto"/>
            <w:vAlign w:val="center"/>
          </w:tcPr>
          <w:p w14:paraId="45527EFC">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82.00</w:t>
            </w:r>
          </w:p>
        </w:tc>
        <w:tc>
          <w:tcPr>
            <w:tcW w:w="2976" w:type="dxa"/>
            <w:vMerge w:val="restart"/>
            <w:shd w:val="clear" w:color="auto" w:fill="auto"/>
            <w:vAlign w:val="center"/>
          </w:tcPr>
          <w:p w14:paraId="3072ECC8">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广泛开展青少年特长培训活动</w:t>
            </w:r>
          </w:p>
        </w:tc>
        <w:tc>
          <w:tcPr>
            <w:tcW w:w="2976" w:type="dxa"/>
            <w:vMerge w:val="restart"/>
            <w:shd w:val="clear" w:color="auto" w:fill="auto"/>
            <w:vAlign w:val="center"/>
          </w:tcPr>
          <w:p w14:paraId="609A1B75">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培养青少年特长兴趣，扩展青少年知识层面，提高青少年综合素质，促进青少年全面发展</w:t>
            </w:r>
          </w:p>
        </w:tc>
        <w:tc>
          <w:tcPr>
            <w:tcW w:w="1417" w:type="dxa"/>
            <w:shd w:val="clear" w:color="auto" w:fill="auto"/>
            <w:vAlign w:val="center"/>
          </w:tcPr>
          <w:p w14:paraId="53EBF0CC">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培养文化类优秀学员</w:t>
            </w:r>
          </w:p>
        </w:tc>
        <w:tc>
          <w:tcPr>
            <w:tcW w:w="737" w:type="dxa"/>
            <w:shd w:val="clear" w:color="auto" w:fill="auto"/>
            <w:vAlign w:val="center"/>
          </w:tcPr>
          <w:p w14:paraId="0DADE107">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32DC81F5">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80</w:t>
            </w:r>
            <w:r>
              <w:rPr>
                <w:rFonts w:hint="eastAsia" w:ascii="方正书宋_GBK" w:eastAsia="方正书宋_GBK"/>
              </w:rPr>
              <w:t>人</w:t>
            </w:r>
          </w:p>
        </w:tc>
        <w:tc>
          <w:tcPr>
            <w:tcW w:w="737" w:type="dxa"/>
            <w:shd w:val="clear" w:color="auto" w:fill="auto"/>
            <w:vAlign w:val="center"/>
          </w:tcPr>
          <w:p w14:paraId="7EB854EB">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30203BC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50</w:t>
            </w:r>
            <w:r>
              <w:rPr>
                <w:rFonts w:hint="eastAsia" w:ascii="方正书宋_GBK" w:eastAsia="方正书宋_GBK"/>
              </w:rPr>
              <w:t>人一下</w:t>
            </w:r>
          </w:p>
        </w:tc>
      </w:tr>
      <w:tr w14:paraId="74A972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90BA6E2">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58E85CBA">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DBC26FB">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499F9C9F">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6BD20CAA">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组织青少年参加学习的人数</w:t>
            </w:r>
          </w:p>
        </w:tc>
        <w:tc>
          <w:tcPr>
            <w:tcW w:w="737" w:type="dxa"/>
            <w:shd w:val="clear" w:color="auto" w:fill="auto"/>
            <w:vAlign w:val="center"/>
          </w:tcPr>
          <w:p w14:paraId="6A22F0D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7261E3F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360DFA94">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14:paraId="4157C11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40%</w:t>
            </w:r>
          </w:p>
        </w:tc>
      </w:tr>
      <w:tr w14:paraId="293285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297C259">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37DA7143">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4E6E43D7">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50C0028">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26DFC193">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培养艺术类优秀学员</w:t>
            </w:r>
          </w:p>
        </w:tc>
        <w:tc>
          <w:tcPr>
            <w:tcW w:w="737" w:type="dxa"/>
            <w:shd w:val="clear" w:color="auto" w:fill="auto"/>
            <w:vAlign w:val="center"/>
          </w:tcPr>
          <w:p w14:paraId="7D94BC9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200</w:t>
            </w:r>
            <w:r>
              <w:rPr>
                <w:rFonts w:hint="eastAsia" w:ascii="方正书宋_GBK" w:eastAsia="方正书宋_GBK"/>
              </w:rPr>
              <w:t>人</w:t>
            </w:r>
          </w:p>
        </w:tc>
        <w:tc>
          <w:tcPr>
            <w:tcW w:w="737" w:type="dxa"/>
            <w:shd w:val="clear" w:color="auto" w:fill="auto"/>
            <w:vAlign w:val="center"/>
          </w:tcPr>
          <w:p w14:paraId="58F6C68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150</w:t>
            </w:r>
            <w:r>
              <w:rPr>
                <w:rFonts w:hint="eastAsia" w:ascii="方正书宋_GBK" w:eastAsia="方正书宋_GBK"/>
              </w:rPr>
              <w:t>人</w:t>
            </w:r>
          </w:p>
        </w:tc>
        <w:tc>
          <w:tcPr>
            <w:tcW w:w="737" w:type="dxa"/>
            <w:shd w:val="clear" w:color="auto" w:fill="auto"/>
            <w:vAlign w:val="center"/>
          </w:tcPr>
          <w:p w14:paraId="14DD01FE">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287ED31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100</w:t>
            </w:r>
            <w:r>
              <w:rPr>
                <w:rFonts w:hint="eastAsia" w:ascii="方正书宋_GBK" w:eastAsia="方正书宋_GBK"/>
              </w:rPr>
              <w:t>人一下</w:t>
            </w:r>
          </w:p>
        </w:tc>
      </w:tr>
      <w:tr w14:paraId="1F5E91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622CF4A">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0C471EDA">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347E086E">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E59A858">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2CA8EF56">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培养体育类优秀学员</w:t>
            </w:r>
          </w:p>
        </w:tc>
        <w:tc>
          <w:tcPr>
            <w:tcW w:w="737" w:type="dxa"/>
            <w:shd w:val="clear" w:color="auto" w:fill="auto"/>
            <w:vAlign w:val="center"/>
          </w:tcPr>
          <w:p w14:paraId="0BB7EA55">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200</w:t>
            </w:r>
            <w:r>
              <w:rPr>
                <w:rFonts w:hint="eastAsia" w:ascii="方正书宋_GBK" w:eastAsia="方正书宋_GBK"/>
              </w:rPr>
              <w:t>人</w:t>
            </w:r>
          </w:p>
        </w:tc>
        <w:tc>
          <w:tcPr>
            <w:tcW w:w="737" w:type="dxa"/>
            <w:shd w:val="clear" w:color="auto" w:fill="auto"/>
            <w:vAlign w:val="center"/>
          </w:tcPr>
          <w:p w14:paraId="37A0C215">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150</w:t>
            </w:r>
            <w:r>
              <w:rPr>
                <w:rFonts w:hint="eastAsia" w:ascii="方正书宋_GBK" w:eastAsia="方正书宋_GBK"/>
              </w:rPr>
              <w:t>人</w:t>
            </w:r>
          </w:p>
        </w:tc>
        <w:tc>
          <w:tcPr>
            <w:tcW w:w="737" w:type="dxa"/>
            <w:shd w:val="clear" w:color="auto" w:fill="auto"/>
            <w:vAlign w:val="center"/>
          </w:tcPr>
          <w:p w14:paraId="0B64F03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4BD9568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100</w:t>
            </w:r>
            <w:r>
              <w:rPr>
                <w:rFonts w:hint="eastAsia" w:ascii="方正书宋_GBK" w:eastAsia="方正书宋_GBK"/>
              </w:rPr>
              <w:t>人一下</w:t>
            </w:r>
          </w:p>
        </w:tc>
      </w:tr>
      <w:tr w14:paraId="24B616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6DA8527C">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　　宣传教育</w:t>
            </w:r>
          </w:p>
        </w:tc>
        <w:tc>
          <w:tcPr>
            <w:tcW w:w="1276" w:type="dxa"/>
            <w:vMerge w:val="restart"/>
            <w:shd w:val="clear" w:color="auto" w:fill="auto"/>
            <w:vAlign w:val="center"/>
          </w:tcPr>
          <w:p w14:paraId="189594FE">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restart"/>
            <w:shd w:val="clear" w:color="auto" w:fill="auto"/>
            <w:vAlign w:val="center"/>
          </w:tcPr>
          <w:p w14:paraId="087A63D3">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通过活动开展，加强青少年思想引领工作，引导青少年传承传统美德，践行社会主义核心价值观。</w:t>
            </w:r>
          </w:p>
        </w:tc>
        <w:tc>
          <w:tcPr>
            <w:tcW w:w="2976" w:type="dxa"/>
            <w:vMerge w:val="restart"/>
            <w:shd w:val="clear" w:color="auto" w:fill="auto"/>
            <w:vAlign w:val="center"/>
          </w:tcPr>
          <w:p w14:paraId="7033695C">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利用青少年宫阵地和网络新媒体，利用重要时间节点和传统节日，广泛开展思想引领活动。</w:t>
            </w:r>
          </w:p>
        </w:tc>
        <w:tc>
          <w:tcPr>
            <w:tcW w:w="1417" w:type="dxa"/>
            <w:shd w:val="clear" w:color="auto" w:fill="auto"/>
            <w:vAlign w:val="center"/>
          </w:tcPr>
          <w:p w14:paraId="69CA31CE">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深入开展道德讲堂活动，以开学第一课形式，引领青少年践行社会主义核心价值观；深入开展感恩教育，</w:t>
            </w:r>
            <w:r>
              <w:rPr>
                <w:rFonts w:hint="cs" w:ascii="方正书宋_GBK" w:eastAsia="方正书宋_GBK"/>
              </w:rPr>
              <w:t>“</w:t>
            </w:r>
            <w:r>
              <w:rPr>
                <w:rFonts w:hint="eastAsia" w:ascii="方正书宋_GBK" w:eastAsia="方正书宋_GBK"/>
              </w:rPr>
              <w:t>母亲节</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父亲节</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六一</w:t>
            </w:r>
            <w:r>
              <w:rPr>
                <w:rFonts w:hint="cs" w:ascii="方正书宋_GBK" w:eastAsia="方正书宋_GBK"/>
              </w:rPr>
              <w:t>”</w:t>
            </w:r>
            <w:r>
              <w:rPr>
                <w:rFonts w:hint="eastAsia" w:ascii="方正书宋_GBK" w:eastAsia="方正书宋_GBK"/>
              </w:rPr>
              <w:t>、</w:t>
            </w:r>
            <w:r>
              <w:rPr>
                <w:rFonts w:ascii="方正书宋_GBK" w:eastAsia="方正书宋_GBK"/>
              </w:rPr>
              <w:t>"</w:t>
            </w:r>
            <w:r>
              <w:rPr>
                <w:rFonts w:hint="eastAsia" w:ascii="方正书宋_GBK" w:eastAsia="方正书宋_GBK"/>
              </w:rPr>
              <w:t>教师节</w:t>
            </w:r>
            <w:r>
              <w:rPr>
                <w:rFonts w:hint="cs" w:ascii="方正书宋_GBK" w:eastAsia="方正书宋_GBK"/>
              </w:rPr>
              <w:t>”</w:t>
            </w:r>
            <w:r>
              <w:rPr>
                <w:rFonts w:hint="eastAsia" w:ascii="方正书宋_GBK" w:eastAsia="方正书宋_GBK"/>
              </w:rPr>
              <w:t>等节日开展活动。</w:t>
            </w:r>
          </w:p>
        </w:tc>
        <w:tc>
          <w:tcPr>
            <w:tcW w:w="737" w:type="dxa"/>
            <w:shd w:val="clear" w:color="auto" w:fill="auto"/>
            <w:vAlign w:val="center"/>
          </w:tcPr>
          <w:p w14:paraId="405DFB6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35A323E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5FF9C48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3C8FAD6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p>
        </w:tc>
      </w:tr>
      <w:tr w14:paraId="294860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E76E5FA">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2A4ECB19">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92BCAD3">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3B9CD4B7">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5E920A08">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青少年学员新增比率</w:t>
            </w:r>
          </w:p>
        </w:tc>
        <w:tc>
          <w:tcPr>
            <w:tcW w:w="737" w:type="dxa"/>
            <w:shd w:val="clear" w:color="auto" w:fill="auto"/>
            <w:vAlign w:val="center"/>
          </w:tcPr>
          <w:p w14:paraId="51E77EE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w:t>
            </w:r>
          </w:p>
        </w:tc>
        <w:tc>
          <w:tcPr>
            <w:tcW w:w="737" w:type="dxa"/>
            <w:shd w:val="clear" w:color="auto" w:fill="auto"/>
            <w:vAlign w:val="center"/>
          </w:tcPr>
          <w:p w14:paraId="4BD160C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2A21D7A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51A615E1">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p>
        </w:tc>
      </w:tr>
      <w:tr w14:paraId="7A43F7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2672CE3">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4C0790EC">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5E826324">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5E7AF83">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250085C3">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少年宫教育和培训覆盖率</w:t>
            </w:r>
          </w:p>
        </w:tc>
        <w:tc>
          <w:tcPr>
            <w:tcW w:w="737" w:type="dxa"/>
            <w:shd w:val="clear" w:color="auto" w:fill="auto"/>
            <w:vAlign w:val="center"/>
          </w:tcPr>
          <w:p w14:paraId="42E909FB">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ascii="方正书宋_GBK" w:eastAsia="方正书宋_GBK"/>
              </w:rPr>
              <w:t>100%</w:t>
            </w:r>
          </w:p>
        </w:tc>
        <w:tc>
          <w:tcPr>
            <w:tcW w:w="737" w:type="dxa"/>
            <w:shd w:val="clear" w:color="auto" w:fill="auto"/>
            <w:vAlign w:val="center"/>
          </w:tcPr>
          <w:p w14:paraId="1B6D0985">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1D11B8EA">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2BCD7B0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60%</w:t>
            </w:r>
          </w:p>
        </w:tc>
      </w:tr>
      <w:tr w14:paraId="0BDFD7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CAC9D10">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开展公益展演活动</w:t>
            </w:r>
          </w:p>
        </w:tc>
        <w:tc>
          <w:tcPr>
            <w:tcW w:w="1276" w:type="dxa"/>
            <w:shd w:val="clear" w:color="auto" w:fill="auto"/>
            <w:vAlign w:val="center"/>
          </w:tcPr>
          <w:p w14:paraId="75BC07AE">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45.00</w:t>
            </w:r>
          </w:p>
        </w:tc>
        <w:tc>
          <w:tcPr>
            <w:tcW w:w="2976" w:type="dxa"/>
            <w:shd w:val="clear" w:color="auto" w:fill="auto"/>
            <w:vAlign w:val="center"/>
          </w:tcPr>
          <w:p w14:paraId="07A3A2E6">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发挥艺术人才优势，开展艺术团展演活动，丰富文化生活。</w:t>
            </w:r>
          </w:p>
        </w:tc>
        <w:tc>
          <w:tcPr>
            <w:tcW w:w="2976" w:type="dxa"/>
            <w:shd w:val="clear" w:color="auto" w:fill="auto"/>
            <w:vAlign w:val="center"/>
          </w:tcPr>
          <w:p w14:paraId="309B45C4">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挖掘和培养艺术人才，充实小伙伴艺术团力量，提升艺术水准，深入社区、学校、企业、军营等地，开展文艺展演活动。</w:t>
            </w:r>
          </w:p>
        </w:tc>
        <w:tc>
          <w:tcPr>
            <w:tcW w:w="1417" w:type="dxa"/>
            <w:shd w:val="clear" w:color="auto" w:fill="auto"/>
            <w:vAlign w:val="center"/>
          </w:tcPr>
          <w:p w14:paraId="69B84548">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737" w:type="dxa"/>
            <w:shd w:val="clear" w:color="auto" w:fill="auto"/>
            <w:vAlign w:val="center"/>
          </w:tcPr>
          <w:p w14:paraId="0706EFDC">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3B2FA16F">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324D7354">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52180FD5">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r>
      <w:tr w14:paraId="2180C8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7F27B71D">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开展公益展演活动</w:t>
            </w:r>
          </w:p>
        </w:tc>
        <w:tc>
          <w:tcPr>
            <w:tcW w:w="1276" w:type="dxa"/>
            <w:vMerge w:val="restart"/>
            <w:shd w:val="clear" w:color="auto" w:fill="auto"/>
            <w:vAlign w:val="center"/>
          </w:tcPr>
          <w:p w14:paraId="639B5AA6">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45.00</w:t>
            </w:r>
          </w:p>
        </w:tc>
        <w:tc>
          <w:tcPr>
            <w:tcW w:w="2976" w:type="dxa"/>
            <w:vMerge w:val="restart"/>
            <w:shd w:val="clear" w:color="auto" w:fill="auto"/>
            <w:vAlign w:val="center"/>
          </w:tcPr>
          <w:p w14:paraId="38167A65">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在学员当中选拔优秀人才充实青少年宫的</w:t>
            </w:r>
            <w:r>
              <w:rPr>
                <w:rFonts w:hint="cs" w:ascii="方正书宋_GBK" w:eastAsia="方正书宋_GBK"/>
              </w:rPr>
              <w:t>“</w:t>
            </w:r>
            <w:r>
              <w:rPr>
                <w:rFonts w:hint="eastAsia" w:ascii="方正书宋_GBK" w:eastAsia="方正书宋_GBK"/>
              </w:rPr>
              <w:t>小伙伴</w:t>
            </w:r>
            <w:r>
              <w:rPr>
                <w:rFonts w:hint="cs" w:ascii="方正书宋_GBK" w:eastAsia="方正书宋_GBK"/>
              </w:rPr>
              <w:t>”</w:t>
            </w:r>
            <w:r>
              <w:rPr>
                <w:rFonts w:hint="eastAsia" w:ascii="方正书宋_GBK" w:eastAsia="方正书宋_GBK"/>
              </w:rPr>
              <w:t>艺术团，在少年宫开展公益展演活动，组织开展社区及送演出下乡活动。</w:t>
            </w:r>
          </w:p>
        </w:tc>
        <w:tc>
          <w:tcPr>
            <w:tcW w:w="2976" w:type="dxa"/>
            <w:vMerge w:val="restart"/>
            <w:shd w:val="clear" w:color="auto" w:fill="auto"/>
            <w:vAlign w:val="center"/>
          </w:tcPr>
          <w:p w14:paraId="4DD8D936">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增加少年宫学员的演出经验，提高青少年宫社会知名度，让更多的孩子加入到少年宫的队伍</w:t>
            </w:r>
          </w:p>
        </w:tc>
        <w:tc>
          <w:tcPr>
            <w:tcW w:w="1417" w:type="dxa"/>
            <w:shd w:val="clear" w:color="auto" w:fill="auto"/>
            <w:vAlign w:val="center"/>
          </w:tcPr>
          <w:p w14:paraId="695F04E9">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参加公益活动人数占报名人数的比率</w:t>
            </w:r>
          </w:p>
        </w:tc>
        <w:tc>
          <w:tcPr>
            <w:tcW w:w="737" w:type="dxa"/>
            <w:shd w:val="clear" w:color="auto" w:fill="auto"/>
            <w:vAlign w:val="center"/>
          </w:tcPr>
          <w:p w14:paraId="59FF3BD4">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28B7F821">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06E816E4">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7389FE5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p>
        </w:tc>
      </w:tr>
      <w:tr w14:paraId="48DF27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752D34E">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05FF7942">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5F5A0D3B">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11D18065">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2D340BEE">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参加公益活动的人数</w:t>
            </w:r>
          </w:p>
        </w:tc>
        <w:tc>
          <w:tcPr>
            <w:tcW w:w="737" w:type="dxa"/>
            <w:shd w:val="clear" w:color="auto" w:fill="auto"/>
            <w:vAlign w:val="center"/>
          </w:tcPr>
          <w:p w14:paraId="58611AE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521A0E2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r>
              <w:rPr>
                <w:rFonts w:hint="eastAsia" w:ascii="方正书宋_GBK" w:eastAsia="方正书宋_GBK"/>
              </w:rPr>
              <w:t>人</w:t>
            </w:r>
          </w:p>
        </w:tc>
        <w:tc>
          <w:tcPr>
            <w:tcW w:w="737" w:type="dxa"/>
            <w:shd w:val="clear" w:color="auto" w:fill="auto"/>
            <w:vAlign w:val="center"/>
          </w:tcPr>
          <w:p w14:paraId="1B751DB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584805A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r>
      <w:tr w14:paraId="475D53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91D6C09">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195519B6">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2E602AD">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7982BD5">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0EB73C3A">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组织公益活动的次数</w:t>
            </w:r>
          </w:p>
        </w:tc>
        <w:tc>
          <w:tcPr>
            <w:tcW w:w="737" w:type="dxa"/>
            <w:shd w:val="clear" w:color="auto" w:fill="auto"/>
            <w:vAlign w:val="center"/>
          </w:tcPr>
          <w:p w14:paraId="28F866EB">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次</w:t>
            </w:r>
          </w:p>
        </w:tc>
        <w:tc>
          <w:tcPr>
            <w:tcW w:w="737" w:type="dxa"/>
            <w:shd w:val="clear" w:color="auto" w:fill="auto"/>
            <w:vAlign w:val="center"/>
          </w:tcPr>
          <w:p w14:paraId="6BB8670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w:t>
            </w:r>
            <w:r>
              <w:rPr>
                <w:rFonts w:hint="eastAsia" w:ascii="方正书宋_GBK" w:eastAsia="方正书宋_GBK"/>
              </w:rPr>
              <w:t>次</w:t>
            </w:r>
          </w:p>
        </w:tc>
        <w:tc>
          <w:tcPr>
            <w:tcW w:w="737" w:type="dxa"/>
            <w:shd w:val="clear" w:color="auto" w:fill="auto"/>
            <w:vAlign w:val="center"/>
          </w:tcPr>
          <w:p w14:paraId="3F555EE7">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c>
          <w:tcPr>
            <w:tcW w:w="737" w:type="dxa"/>
            <w:shd w:val="clear" w:color="auto" w:fill="auto"/>
            <w:vAlign w:val="center"/>
          </w:tcPr>
          <w:p w14:paraId="0B4CA34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r>
      <w:tr w14:paraId="035645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FF6D82B">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开展青少年教育实践活动</w:t>
            </w:r>
          </w:p>
        </w:tc>
        <w:tc>
          <w:tcPr>
            <w:tcW w:w="1276" w:type="dxa"/>
            <w:shd w:val="clear" w:color="auto" w:fill="auto"/>
            <w:vAlign w:val="center"/>
          </w:tcPr>
          <w:p w14:paraId="2A9009FA">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10.00</w:t>
            </w:r>
          </w:p>
        </w:tc>
        <w:tc>
          <w:tcPr>
            <w:tcW w:w="2976" w:type="dxa"/>
            <w:shd w:val="clear" w:color="auto" w:fill="auto"/>
            <w:vAlign w:val="center"/>
          </w:tcPr>
          <w:p w14:paraId="4D57F408">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突出公益性，免费开展各类教育实践活动，引领青少年在活动中体验快乐，在实践中收获成长。</w:t>
            </w:r>
          </w:p>
        </w:tc>
        <w:tc>
          <w:tcPr>
            <w:tcW w:w="2976" w:type="dxa"/>
            <w:shd w:val="clear" w:color="auto" w:fill="auto"/>
            <w:vAlign w:val="center"/>
          </w:tcPr>
          <w:p w14:paraId="3E5128AA">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整合社会资源，通过共建共享等形式，建立青少年教育实践基地，广泛开展各类教育实践活动，为青少年成长成才、全面发展搭建平台。</w:t>
            </w:r>
          </w:p>
        </w:tc>
        <w:tc>
          <w:tcPr>
            <w:tcW w:w="1417" w:type="dxa"/>
            <w:shd w:val="clear" w:color="auto" w:fill="auto"/>
            <w:vAlign w:val="center"/>
          </w:tcPr>
          <w:p w14:paraId="542FEB84">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737" w:type="dxa"/>
            <w:shd w:val="clear" w:color="auto" w:fill="auto"/>
            <w:vAlign w:val="center"/>
          </w:tcPr>
          <w:p w14:paraId="564D7DAE">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310A70A4">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47F6923C">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52D42B45">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r>
      <w:tr w14:paraId="426333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5EC2E44A">
            <w:pPr>
              <w:keepNext w:val="0"/>
              <w:keepLines w:val="0"/>
              <w:pageBreakBefore w:val="0"/>
              <w:kinsoku/>
              <w:wordWrap/>
              <w:overflowPunct/>
              <w:topLinePunct w:val="0"/>
              <w:bidi w:val="0"/>
              <w:spacing w:line="500" w:lineRule="exact"/>
              <w:jc w:val="left"/>
              <w:textAlignment w:val="auto"/>
              <w:rPr>
                <w:rFonts w:ascii="方正书宋_GBK" w:eastAsia="方正书宋_GBK"/>
                <w:b/>
              </w:rPr>
            </w:pPr>
            <w:r>
              <w:rPr>
                <w:rFonts w:hint="eastAsia" w:ascii="方正书宋_GBK" w:eastAsia="方正书宋_GBK"/>
                <w:b/>
              </w:rPr>
              <w:t>开展青少年教育实践活动</w:t>
            </w:r>
          </w:p>
        </w:tc>
        <w:tc>
          <w:tcPr>
            <w:tcW w:w="1276" w:type="dxa"/>
            <w:vMerge w:val="restart"/>
            <w:shd w:val="clear" w:color="auto" w:fill="auto"/>
            <w:vAlign w:val="center"/>
          </w:tcPr>
          <w:p w14:paraId="45C26726">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10.00</w:t>
            </w:r>
          </w:p>
        </w:tc>
        <w:tc>
          <w:tcPr>
            <w:tcW w:w="2976" w:type="dxa"/>
            <w:vMerge w:val="restart"/>
            <w:shd w:val="clear" w:color="auto" w:fill="auto"/>
            <w:vAlign w:val="center"/>
          </w:tcPr>
          <w:p w14:paraId="45F96E10">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建立</w:t>
            </w:r>
            <w:r>
              <w:rPr>
                <w:rFonts w:hint="cs" w:ascii="方正书宋_GBK" w:eastAsia="方正书宋_GBK"/>
              </w:rPr>
              <w:t>“</w:t>
            </w:r>
            <w:r>
              <w:rPr>
                <w:rFonts w:hint="eastAsia" w:ascii="方正书宋_GBK" w:eastAsia="方正书宋_GBK"/>
              </w:rPr>
              <w:t>文明小使者</w:t>
            </w:r>
            <w:r>
              <w:rPr>
                <w:rFonts w:hint="cs" w:ascii="方正书宋_GBK" w:eastAsia="方正书宋_GBK"/>
              </w:rPr>
              <w:t>”</w:t>
            </w:r>
            <w:r>
              <w:rPr>
                <w:rFonts w:hint="eastAsia" w:ascii="方正书宋_GBK" w:eastAsia="方正书宋_GBK"/>
              </w:rPr>
              <w:t>志愿者队伍，让青少年在志愿服务中传播文明理念，免费开展各类教育实践活动。</w:t>
            </w:r>
          </w:p>
        </w:tc>
        <w:tc>
          <w:tcPr>
            <w:tcW w:w="2976" w:type="dxa"/>
            <w:vMerge w:val="restart"/>
            <w:shd w:val="clear" w:color="auto" w:fill="auto"/>
            <w:vAlign w:val="center"/>
          </w:tcPr>
          <w:p w14:paraId="1B8CA13F">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整合社会资源，建立青少年教育实践基地，广泛开展各类教育实践活动，为青少年成长成才、全面发展搭建平台。</w:t>
            </w:r>
          </w:p>
        </w:tc>
        <w:tc>
          <w:tcPr>
            <w:tcW w:w="1417" w:type="dxa"/>
            <w:shd w:val="clear" w:color="auto" w:fill="auto"/>
            <w:vAlign w:val="center"/>
          </w:tcPr>
          <w:p w14:paraId="63581909">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参加社会实践活动学员的比率</w:t>
            </w:r>
          </w:p>
        </w:tc>
        <w:tc>
          <w:tcPr>
            <w:tcW w:w="737" w:type="dxa"/>
            <w:shd w:val="clear" w:color="auto" w:fill="auto"/>
            <w:vAlign w:val="center"/>
          </w:tcPr>
          <w:p w14:paraId="28DC850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39E9841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7E0A1C19">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4673446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p>
        </w:tc>
      </w:tr>
      <w:tr w14:paraId="0EDA1F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741DA98">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63F04D4F">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4101108E">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45C3106E">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206039E0">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组织参加</w:t>
            </w:r>
            <w:r>
              <w:rPr>
                <w:rFonts w:hint="cs" w:ascii="方正书宋_GBK" w:eastAsia="方正书宋_GBK"/>
              </w:rPr>
              <w:t>“</w:t>
            </w:r>
            <w:r>
              <w:rPr>
                <w:rFonts w:hint="eastAsia" w:ascii="方正书宋_GBK" w:eastAsia="方正书宋_GBK"/>
              </w:rPr>
              <w:t>文明小使者</w:t>
            </w:r>
            <w:r>
              <w:rPr>
                <w:rFonts w:hint="cs" w:ascii="方正书宋_GBK" w:eastAsia="方正书宋_GBK"/>
              </w:rPr>
              <w:t>”</w:t>
            </w:r>
            <w:r>
              <w:rPr>
                <w:rFonts w:hint="eastAsia" w:ascii="方正书宋_GBK" w:eastAsia="方正书宋_GBK"/>
              </w:rPr>
              <w:t>志愿者人数</w:t>
            </w:r>
          </w:p>
        </w:tc>
        <w:tc>
          <w:tcPr>
            <w:tcW w:w="737" w:type="dxa"/>
            <w:shd w:val="clear" w:color="auto" w:fill="auto"/>
            <w:vAlign w:val="center"/>
          </w:tcPr>
          <w:p w14:paraId="6EB67AD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人次</w:t>
            </w:r>
          </w:p>
        </w:tc>
        <w:tc>
          <w:tcPr>
            <w:tcW w:w="737" w:type="dxa"/>
            <w:shd w:val="clear" w:color="auto" w:fill="auto"/>
            <w:vAlign w:val="center"/>
          </w:tcPr>
          <w:p w14:paraId="265DC24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人次</w:t>
            </w:r>
          </w:p>
        </w:tc>
        <w:tc>
          <w:tcPr>
            <w:tcW w:w="737" w:type="dxa"/>
            <w:shd w:val="clear" w:color="auto" w:fill="auto"/>
            <w:vAlign w:val="center"/>
          </w:tcPr>
          <w:p w14:paraId="7FE51E99">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人次</w:t>
            </w:r>
          </w:p>
        </w:tc>
        <w:tc>
          <w:tcPr>
            <w:tcW w:w="737" w:type="dxa"/>
            <w:shd w:val="clear" w:color="auto" w:fill="auto"/>
            <w:vAlign w:val="center"/>
          </w:tcPr>
          <w:p w14:paraId="6B8A40B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人次</w:t>
            </w:r>
          </w:p>
        </w:tc>
      </w:tr>
      <w:tr w14:paraId="3B6DE1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C48BFE6">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3899523C">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5055891A">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A8E58C9">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008311D4">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组织社会实践活动的次数</w:t>
            </w:r>
          </w:p>
        </w:tc>
        <w:tc>
          <w:tcPr>
            <w:tcW w:w="737" w:type="dxa"/>
            <w:shd w:val="clear" w:color="auto" w:fill="auto"/>
            <w:vAlign w:val="center"/>
          </w:tcPr>
          <w:p w14:paraId="04782B7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次</w:t>
            </w:r>
          </w:p>
        </w:tc>
        <w:tc>
          <w:tcPr>
            <w:tcW w:w="737" w:type="dxa"/>
            <w:shd w:val="clear" w:color="auto" w:fill="auto"/>
            <w:vAlign w:val="center"/>
          </w:tcPr>
          <w:p w14:paraId="59668A27">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w:t>
            </w:r>
            <w:r>
              <w:rPr>
                <w:rFonts w:hint="eastAsia" w:ascii="方正书宋_GBK" w:eastAsia="方正书宋_GBK"/>
              </w:rPr>
              <w:t>次</w:t>
            </w:r>
          </w:p>
        </w:tc>
        <w:tc>
          <w:tcPr>
            <w:tcW w:w="737" w:type="dxa"/>
            <w:shd w:val="clear" w:color="auto" w:fill="auto"/>
            <w:vAlign w:val="center"/>
          </w:tcPr>
          <w:p w14:paraId="6DF1096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c>
          <w:tcPr>
            <w:tcW w:w="737" w:type="dxa"/>
            <w:shd w:val="clear" w:color="auto" w:fill="auto"/>
            <w:vAlign w:val="center"/>
          </w:tcPr>
          <w:p w14:paraId="337C5DA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r>
      <w:tr w14:paraId="61B223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554B18D">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开展公益讲堂活动</w:t>
            </w:r>
          </w:p>
        </w:tc>
        <w:tc>
          <w:tcPr>
            <w:tcW w:w="1276" w:type="dxa"/>
            <w:shd w:val="clear" w:color="auto" w:fill="auto"/>
            <w:vAlign w:val="center"/>
          </w:tcPr>
          <w:p w14:paraId="637129EB">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5.00</w:t>
            </w:r>
          </w:p>
        </w:tc>
        <w:tc>
          <w:tcPr>
            <w:tcW w:w="2976" w:type="dxa"/>
            <w:shd w:val="clear" w:color="auto" w:fill="auto"/>
            <w:vAlign w:val="center"/>
          </w:tcPr>
          <w:p w14:paraId="4FE34A05">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突出公益性，坚持开放性，打造属于广大市民的公益讲堂，弘扬新风尚，传播正能量。</w:t>
            </w:r>
          </w:p>
        </w:tc>
        <w:tc>
          <w:tcPr>
            <w:tcW w:w="2976" w:type="dxa"/>
            <w:shd w:val="clear" w:color="auto" w:fill="auto"/>
            <w:vAlign w:val="center"/>
          </w:tcPr>
          <w:p w14:paraId="3DA13A8D">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适应社会文明进步和市民素质提升要求，聘请教育、心理、法律、安全、卫生等方面专家学者，在青少年宫开办固定讲堂，并在社区、学校、企业等地开办流动讲堂，开展讲座，传播知识，弘扬新风</w:t>
            </w:r>
          </w:p>
        </w:tc>
        <w:tc>
          <w:tcPr>
            <w:tcW w:w="1417" w:type="dxa"/>
            <w:shd w:val="clear" w:color="auto" w:fill="auto"/>
            <w:vAlign w:val="center"/>
          </w:tcPr>
          <w:p w14:paraId="61DA66E7">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737" w:type="dxa"/>
            <w:shd w:val="clear" w:color="auto" w:fill="auto"/>
            <w:vAlign w:val="center"/>
          </w:tcPr>
          <w:p w14:paraId="5EA74486">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716320DD">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3ABA2130">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0CC46F89">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r>
      <w:tr w14:paraId="38DE8E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71C7EA13">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开展公益讲堂活动</w:t>
            </w:r>
          </w:p>
        </w:tc>
        <w:tc>
          <w:tcPr>
            <w:tcW w:w="1276" w:type="dxa"/>
            <w:vMerge w:val="restart"/>
            <w:shd w:val="clear" w:color="auto" w:fill="auto"/>
            <w:vAlign w:val="center"/>
          </w:tcPr>
          <w:p w14:paraId="6A3BF65A">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ascii="方正书宋_GBK" w:eastAsia="方正书宋_GBK"/>
              </w:rPr>
              <w:t>5.00</w:t>
            </w:r>
          </w:p>
        </w:tc>
        <w:tc>
          <w:tcPr>
            <w:tcW w:w="2976" w:type="dxa"/>
            <w:vMerge w:val="restart"/>
            <w:shd w:val="clear" w:color="auto" w:fill="auto"/>
            <w:vAlign w:val="center"/>
          </w:tcPr>
          <w:p w14:paraId="5D21D53C">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适应社会文明进步和市民素质提升要求，聘请教育、心理、法律、安全、卫生等方面专家学者，在青少年宫开办固定讲堂，并在社区、学校、企业等地开办流动讲堂，开展讲座，传播知识，弘扬新风</w:t>
            </w:r>
          </w:p>
        </w:tc>
        <w:tc>
          <w:tcPr>
            <w:tcW w:w="2976" w:type="dxa"/>
            <w:vMerge w:val="restart"/>
            <w:shd w:val="clear" w:color="auto" w:fill="auto"/>
            <w:vAlign w:val="center"/>
          </w:tcPr>
          <w:p w14:paraId="3E8FF034">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增强青少年的心里承受能力和社会适应能力，使其更好的适应生存和学习的环境，增强青少年的法制意识，弘扬社会新风尚。</w:t>
            </w:r>
          </w:p>
        </w:tc>
        <w:tc>
          <w:tcPr>
            <w:tcW w:w="1417" w:type="dxa"/>
            <w:shd w:val="clear" w:color="auto" w:fill="auto"/>
            <w:vAlign w:val="center"/>
          </w:tcPr>
          <w:p w14:paraId="5F7DC7FA">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参加公益讲堂人数占报名人数的比率</w:t>
            </w:r>
          </w:p>
        </w:tc>
        <w:tc>
          <w:tcPr>
            <w:tcW w:w="737" w:type="dxa"/>
            <w:shd w:val="clear" w:color="auto" w:fill="auto"/>
            <w:vAlign w:val="center"/>
          </w:tcPr>
          <w:p w14:paraId="2D2B75A6">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2A3EB404">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1FE37F18">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1CAB2E5B">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p>
        </w:tc>
      </w:tr>
      <w:tr w14:paraId="5D8A34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254E4A2">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2642D021">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36F6370">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6E516815">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6B79C9DF">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组织参加公益讲堂的人数</w:t>
            </w:r>
          </w:p>
        </w:tc>
        <w:tc>
          <w:tcPr>
            <w:tcW w:w="737" w:type="dxa"/>
            <w:shd w:val="clear" w:color="auto" w:fill="auto"/>
            <w:vAlign w:val="center"/>
          </w:tcPr>
          <w:p w14:paraId="57A82C5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68AB863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r>
              <w:rPr>
                <w:rFonts w:hint="eastAsia" w:ascii="方正书宋_GBK" w:eastAsia="方正书宋_GBK"/>
              </w:rPr>
              <w:t>人</w:t>
            </w:r>
          </w:p>
        </w:tc>
        <w:tc>
          <w:tcPr>
            <w:tcW w:w="737" w:type="dxa"/>
            <w:shd w:val="clear" w:color="auto" w:fill="auto"/>
            <w:vAlign w:val="center"/>
          </w:tcPr>
          <w:p w14:paraId="056C348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75D39179">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r>
      <w:tr w14:paraId="283CDB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1350AD9">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017AEFF3">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5032E452">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106F1236">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1C023D34">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组织开展公益讲堂的次数</w:t>
            </w:r>
          </w:p>
        </w:tc>
        <w:tc>
          <w:tcPr>
            <w:tcW w:w="737" w:type="dxa"/>
            <w:shd w:val="clear" w:color="auto" w:fill="auto"/>
            <w:vAlign w:val="center"/>
          </w:tcPr>
          <w:p w14:paraId="02CE26C5">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次</w:t>
            </w:r>
          </w:p>
        </w:tc>
        <w:tc>
          <w:tcPr>
            <w:tcW w:w="737" w:type="dxa"/>
            <w:shd w:val="clear" w:color="auto" w:fill="auto"/>
            <w:vAlign w:val="center"/>
          </w:tcPr>
          <w:p w14:paraId="45A50EB2">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w:t>
            </w:r>
            <w:r>
              <w:rPr>
                <w:rFonts w:hint="eastAsia" w:ascii="方正书宋_GBK" w:eastAsia="方正书宋_GBK"/>
              </w:rPr>
              <w:t>次</w:t>
            </w:r>
          </w:p>
        </w:tc>
        <w:tc>
          <w:tcPr>
            <w:tcW w:w="737" w:type="dxa"/>
            <w:shd w:val="clear" w:color="auto" w:fill="auto"/>
            <w:vAlign w:val="center"/>
          </w:tcPr>
          <w:p w14:paraId="6F10695C">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c>
          <w:tcPr>
            <w:tcW w:w="737" w:type="dxa"/>
            <w:shd w:val="clear" w:color="auto" w:fill="auto"/>
            <w:vAlign w:val="center"/>
          </w:tcPr>
          <w:p w14:paraId="7F0B1703">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r>
      <w:tr w14:paraId="59497A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FB77032">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开展展示交流活动</w:t>
            </w:r>
          </w:p>
        </w:tc>
        <w:tc>
          <w:tcPr>
            <w:tcW w:w="1276" w:type="dxa"/>
            <w:shd w:val="clear" w:color="auto" w:fill="auto"/>
            <w:vAlign w:val="center"/>
          </w:tcPr>
          <w:p w14:paraId="36172E1B">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shd w:val="clear" w:color="auto" w:fill="auto"/>
            <w:vAlign w:val="center"/>
          </w:tcPr>
          <w:p w14:paraId="4284301D">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发挥青少年宫平台作用，组织开展全市性的比赛、交流、展示活动。</w:t>
            </w:r>
          </w:p>
        </w:tc>
        <w:tc>
          <w:tcPr>
            <w:tcW w:w="2976" w:type="dxa"/>
            <w:shd w:val="clear" w:color="auto" w:fill="auto"/>
            <w:vAlign w:val="center"/>
          </w:tcPr>
          <w:p w14:paraId="26C24A80">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建立少年科学院，开展首届青少年创新创意大赛，引导青少年爱科学、善创造；联合职能部门，开展青少年文化艺术节活动。</w:t>
            </w:r>
          </w:p>
        </w:tc>
        <w:tc>
          <w:tcPr>
            <w:tcW w:w="1417" w:type="dxa"/>
            <w:shd w:val="clear" w:color="auto" w:fill="auto"/>
            <w:vAlign w:val="center"/>
          </w:tcPr>
          <w:p w14:paraId="57713460">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737" w:type="dxa"/>
            <w:shd w:val="clear" w:color="auto" w:fill="auto"/>
            <w:vAlign w:val="center"/>
          </w:tcPr>
          <w:p w14:paraId="34C711BA">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702D8FD0">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3C7DFC5F">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c>
          <w:tcPr>
            <w:tcW w:w="737" w:type="dxa"/>
            <w:shd w:val="clear" w:color="auto" w:fill="auto"/>
            <w:vAlign w:val="center"/>
          </w:tcPr>
          <w:p w14:paraId="724FA877">
            <w:pPr>
              <w:keepNext w:val="0"/>
              <w:keepLines w:val="0"/>
              <w:pageBreakBefore w:val="0"/>
              <w:kinsoku/>
              <w:wordWrap/>
              <w:overflowPunct/>
              <w:topLinePunct w:val="0"/>
              <w:bidi w:val="0"/>
              <w:spacing w:line="500" w:lineRule="exact"/>
              <w:jc w:val="center"/>
              <w:textAlignment w:val="auto"/>
              <w:rPr>
                <w:rFonts w:ascii="方正书宋_GBK" w:eastAsia="方正书宋_GBK"/>
              </w:rPr>
            </w:pPr>
          </w:p>
        </w:tc>
      </w:tr>
      <w:tr w14:paraId="0B53A9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5EEB2B81">
            <w:pPr>
              <w:keepNext w:val="0"/>
              <w:keepLines w:val="0"/>
              <w:pageBreakBefore w:val="0"/>
              <w:kinsoku/>
              <w:wordWrap/>
              <w:overflowPunct/>
              <w:topLinePunct w:val="0"/>
              <w:bidi w:val="0"/>
              <w:spacing w:line="500" w:lineRule="exact"/>
              <w:jc w:val="center"/>
              <w:textAlignment w:val="auto"/>
              <w:rPr>
                <w:rFonts w:ascii="方正书宋_GBK" w:eastAsia="方正书宋_GBK"/>
                <w:b/>
              </w:rPr>
            </w:pPr>
            <w:r>
              <w:rPr>
                <w:rFonts w:hint="eastAsia" w:ascii="方正书宋_GBK" w:eastAsia="方正书宋_GBK"/>
                <w:b/>
              </w:rPr>
              <w:t>开展展示交流活动</w:t>
            </w:r>
          </w:p>
        </w:tc>
        <w:tc>
          <w:tcPr>
            <w:tcW w:w="1276" w:type="dxa"/>
            <w:vMerge w:val="restart"/>
            <w:shd w:val="clear" w:color="auto" w:fill="auto"/>
            <w:vAlign w:val="center"/>
          </w:tcPr>
          <w:p w14:paraId="38586D54">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restart"/>
            <w:shd w:val="clear" w:color="auto" w:fill="auto"/>
            <w:vAlign w:val="center"/>
          </w:tcPr>
          <w:p w14:paraId="5B7F710E">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建立少年科学院，开展首届青少年创新创意大赛，引导青少年爱科学、善创造；联合职能部门，开展青少年文化艺术节活动。</w:t>
            </w:r>
          </w:p>
        </w:tc>
        <w:tc>
          <w:tcPr>
            <w:tcW w:w="2976" w:type="dxa"/>
            <w:vMerge w:val="restart"/>
            <w:shd w:val="clear" w:color="auto" w:fill="auto"/>
            <w:vAlign w:val="center"/>
          </w:tcPr>
          <w:p w14:paraId="157A4EAE">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为青少年创造更多的外出交流演出的机会，使他们把学到的知识和技能得到充分的展示，能够更在交流的过程中学到别人的优点，同时也能弥补我们工作中的不足。</w:t>
            </w:r>
          </w:p>
        </w:tc>
        <w:tc>
          <w:tcPr>
            <w:tcW w:w="1417" w:type="dxa"/>
            <w:shd w:val="clear" w:color="auto" w:fill="auto"/>
            <w:vAlign w:val="center"/>
          </w:tcPr>
          <w:p w14:paraId="257323AD">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参加外出交流人数占报名人数的比率</w:t>
            </w:r>
          </w:p>
        </w:tc>
        <w:tc>
          <w:tcPr>
            <w:tcW w:w="737" w:type="dxa"/>
            <w:shd w:val="clear" w:color="auto" w:fill="auto"/>
            <w:vAlign w:val="center"/>
          </w:tcPr>
          <w:p w14:paraId="6EA012A4">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2244570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4682F52F">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080528DE">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30%</w:t>
            </w:r>
          </w:p>
        </w:tc>
      </w:tr>
      <w:tr w14:paraId="6E7AC5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DA38BF1">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0F747706">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40404C10">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36B26EE1">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429FA1D9">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组织参加外出交流的人数</w:t>
            </w:r>
          </w:p>
        </w:tc>
        <w:tc>
          <w:tcPr>
            <w:tcW w:w="737" w:type="dxa"/>
            <w:shd w:val="clear" w:color="auto" w:fill="auto"/>
            <w:vAlign w:val="center"/>
          </w:tcPr>
          <w:p w14:paraId="16AB83D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42EFAF15">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80</w:t>
            </w:r>
            <w:r>
              <w:rPr>
                <w:rFonts w:hint="eastAsia" w:ascii="方正书宋_GBK" w:eastAsia="方正书宋_GBK"/>
              </w:rPr>
              <w:t>人</w:t>
            </w:r>
          </w:p>
        </w:tc>
        <w:tc>
          <w:tcPr>
            <w:tcW w:w="737" w:type="dxa"/>
            <w:shd w:val="clear" w:color="auto" w:fill="auto"/>
            <w:vAlign w:val="center"/>
          </w:tcPr>
          <w:p w14:paraId="70FACA97">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09F105D3">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r>
      <w:tr w14:paraId="3F6391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7242DA0">
            <w:pPr>
              <w:keepNext w:val="0"/>
              <w:keepLines w:val="0"/>
              <w:pageBreakBefore w:val="0"/>
              <w:kinsoku/>
              <w:wordWrap/>
              <w:overflowPunct/>
              <w:topLinePunct w:val="0"/>
              <w:bidi w:val="0"/>
              <w:spacing w:line="500" w:lineRule="exact"/>
              <w:jc w:val="left"/>
              <w:textAlignment w:val="auto"/>
              <w:rPr>
                <w:rFonts w:ascii="方正书宋_GBK" w:eastAsia="方正书宋_GBK"/>
                <w:b/>
              </w:rPr>
            </w:pPr>
          </w:p>
        </w:tc>
        <w:tc>
          <w:tcPr>
            <w:tcW w:w="1276" w:type="dxa"/>
            <w:vMerge w:val="continue"/>
            <w:shd w:val="clear" w:color="auto" w:fill="auto"/>
            <w:vAlign w:val="center"/>
          </w:tcPr>
          <w:p w14:paraId="298B05C5">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FBB8580">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2976" w:type="dxa"/>
            <w:vMerge w:val="continue"/>
            <w:shd w:val="clear" w:color="auto" w:fill="auto"/>
            <w:vAlign w:val="center"/>
          </w:tcPr>
          <w:p w14:paraId="7C372064">
            <w:pPr>
              <w:keepNext w:val="0"/>
              <w:keepLines w:val="0"/>
              <w:pageBreakBefore w:val="0"/>
              <w:kinsoku/>
              <w:wordWrap/>
              <w:overflowPunct/>
              <w:topLinePunct w:val="0"/>
              <w:bidi w:val="0"/>
              <w:spacing w:line="500" w:lineRule="exact"/>
              <w:jc w:val="left"/>
              <w:textAlignment w:val="auto"/>
              <w:rPr>
                <w:rFonts w:ascii="方正书宋_GBK" w:eastAsia="方正书宋_GBK"/>
              </w:rPr>
            </w:pPr>
          </w:p>
        </w:tc>
        <w:tc>
          <w:tcPr>
            <w:tcW w:w="1417" w:type="dxa"/>
            <w:shd w:val="clear" w:color="auto" w:fill="auto"/>
            <w:vAlign w:val="center"/>
          </w:tcPr>
          <w:p w14:paraId="19D5280B">
            <w:pPr>
              <w:keepNext w:val="0"/>
              <w:keepLines w:val="0"/>
              <w:pageBreakBefore w:val="0"/>
              <w:kinsoku/>
              <w:wordWrap/>
              <w:overflowPunct/>
              <w:topLinePunct w:val="0"/>
              <w:bidi w:val="0"/>
              <w:spacing w:line="500" w:lineRule="exact"/>
              <w:jc w:val="left"/>
              <w:textAlignment w:val="auto"/>
              <w:rPr>
                <w:rFonts w:ascii="方正书宋_GBK" w:eastAsia="方正书宋_GBK"/>
              </w:rPr>
            </w:pPr>
            <w:r>
              <w:rPr>
                <w:rFonts w:hint="eastAsia" w:ascii="方正书宋_GBK" w:eastAsia="方正书宋_GBK"/>
              </w:rPr>
              <w:t>组织开展交流活动的次数</w:t>
            </w:r>
          </w:p>
        </w:tc>
        <w:tc>
          <w:tcPr>
            <w:tcW w:w="737" w:type="dxa"/>
            <w:shd w:val="clear" w:color="auto" w:fill="auto"/>
            <w:vAlign w:val="center"/>
          </w:tcPr>
          <w:p w14:paraId="044D986D">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次</w:t>
            </w:r>
          </w:p>
        </w:tc>
        <w:tc>
          <w:tcPr>
            <w:tcW w:w="737" w:type="dxa"/>
            <w:shd w:val="clear" w:color="auto" w:fill="auto"/>
            <w:vAlign w:val="center"/>
          </w:tcPr>
          <w:p w14:paraId="3BA5A8F1">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8</w:t>
            </w:r>
            <w:r>
              <w:rPr>
                <w:rFonts w:hint="eastAsia" w:ascii="方正书宋_GBK" w:eastAsia="方正书宋_GBK"/>
              </w:rPr>
              <w:t>次</w:t>
            </w:r>
          </w:p>
        </w:tc>
        <w:tc>
          <w:tcPr>
            <w:tcW w:w="737" w:type="dxa"/>
            <w:shd w:val="clear" w:color="auto" w:fill="auto"/>
            <w:vAlign w:val="center"/>
          </w:tcPr>
          <w:p w14:paraId="7F981FB0">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c>
          <w:tcPr>
            <w:tcW w:w="737" w:type="dxa"/>
            <w:shd w:val="clear" w:color="auto" w:fill="auto"/>
            <w:vAlign w:val="center"/>
          </w:tcPr>
          <w:p w14:paraId="1F487034">
            <w:pPr>
              <w:keepNext w:val="0"/>
              <w:keepLines w:val="0"/>
              <w:pageBreakBefore w:val="0"/>
              <w:kinsoku/>
              <w:wordWrap/>
              <w:overflowPunct/>
              <w:topLinePunct w:val="0"/>
              <w:bidi w:val="0"/>
              <w:spacing w:line="500" w:lineRule="exact"/>
              <w:jc w:val="center"/>
              <w:textAlignment w:val="auto"/>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r>
    </w:tbl>
    <w:p w14:paraId="65467844">
      <w:pPr>
        <w:keepNext w:val="0"/>
        <w:keepLines w:val="0"/>
        <w:pageBreakBefore w:val="0"/>
        <w:kinsoku/>
        <w:wordWrap/>
        <w:overflowPunct/>
        <w:topLinePunct w:val="0"/>
        <w:bidi w:val="0"/>
        <w:spacing w:line="500" w:lineRule="exact"/>
        <w:jc w:val="left"/>
        <w:textAlignment w:val="auto"/>
        <w:outlineLvl w:val="0"/>
        <w:sectPr>
          <w:pgSz w:w="16839" w:h="11907" w:orient="landscape"/>
          <w:pgMar w:top="1020" w:right="1361" w:bottom="1020" w:left="1361" w:header="851" w:footer="992" w:gutter="0"/>
          <w:cols w:space="425" w:num="1"/>
          <w:docGrid w:type="lines" w:linePitch="312" w:charSpace="0"/>
        </w:sectPr>
      </w:pPr>
    </w:p>
    <w:bookmarkEnd w:id="1"/>
    <w:p w14:paraId="0B9001FB">
      <w:pPr>
        <w:keepNext w:val="0"/>
        <w:keepLines w:val="0"/>
        <w:pageBreakBefore w:val="0"/>
        <w:kinsoku/>
        <w:wordWrap/>
        <w:overflowPunct/>
        <w:topLinePunct w:val="0"/>
        <w:autoSpaceDE w:val="0"/>
        <w:autoSpaceDN w:val="0"/>
        <w:bidi w:val="0"/>
        <w:adjustRightInd w:val="0"/>
        <w:spacing w:line="500" w:lineRule="exact"/>
        <w:ind w:firstLine="600" w:firstLineChars="200"/>
        <w:jc w:val="left"/>
        <w:textAlignment w:val="auto"/>
        <w:rPr>
          <w:rFonts w:hint="eastAsia" w:ascii="仿宋" w:hAnsi="仿宋" w:eastAsia="仿宋" w:cs="仿宋"/>
          <w:sz w:val="30"/>
          <w:szCs w:val="30"/>
          <w:shd w:val="clear" w:fill="FAFAFA"/>
        </w:rPr>
      </w:pPr>
      <w:r>
        <w:rPr>
          <w:rFonts w:hint="eastAsia" w:ascii="仿宋" w:hAnsi="仿宋" w:eastAsia="仿宋" w:cs="仿宋"/>
          <w:sz w:val="30"/>
          <w:szCs w:val="30"/>
          <w:shd w:val="clear" w:fill="FAFAFA"/>
          <w:lang w:eastAsia="zh-CN"/>
        </w:rPr>
        <w:t>根据绩效目标，</w:t>
      </w:r>
      <w:r>
        <w:rPr>
          <w:rFonts w:hint="eastAsia" w:ascii="仿宋" w:hAnsi="仿宋" w:eastAsia="仿宋" w:cs="仿宋"/>
          <w:sz w:val="30"/>
          <w:szCs w:val="30"/>
          <w:shd w:val="clear" w:fill="FAFAFA"/>
        </w:rPr>
        <w:t>对</w:t>
      </w:r>
      <w:r>
        <w:rPr>
          <w:rFonts w:hint="eastAsia" w:ascii="仿宋" w:hAnsi="仿宋" w:eastAsia="仿宋" w:cs="仿宋"/>
          <w:sz w:val="30"/>
          <w:szCs w:val="30"/>
          <w:shd w:val="clear" w:fill="FAFAFA"/>
          <w:lang w:eastAsia="zh-CN"/>
        </w:rPr>
        <w:t>共青团廊坊市委财政支出</w:t>
      </w:r>
      <w:r>
        <w:rPr>
          <w:rFonts w:hint="eastAsia" w:ascii="仿宋" w:hAnsi="仿宋" w:eastAsia="仿宋" w:cs="仿宋"/>
          <w:sz w:val="30"/>
          <w:szCs w:val="30"/>
          <w:shd w:val="clear" w:fill="FAFAFA"/>
        </w:rPr>
        <w:t>进行了绩效评价，绩效综合等级为优。</w:t>
      </w:r>
    </w:p>
    <w:p w14:paraId="58789934">
      <w:pPr>
        <w:keepNext w:val="0"/>
        <w:keepLines w:val="0"/>
        <w:pageBreakBefore w:val="0"/>
        <w:widowControl/>
        <w:numPr>
          <w:ilvl w:val="0"/>
          <w:numId w:val="0"/>
        </w:numPr>
        <w:kinsoku/>
        <w:wordWrap/>
        <w:overflowPunct/>
        <w:topLinePunct w:val="0"/>
        <w:bidi w:val="0"/>
        <w:spacing w:line="500" w:lineRule="exact"/>
        <w:jc w:val="left"/>
        <w:textAlignment w:val="auto"/>
        <w:rPr>
          <w:rFonts w:hint="eastAsia" w:ascii="楷体" w:hAnsi="楷体" w:eastAsia="楷体" w:cs="Times New Roman"/>
          <w:b/>
          <w:sz w:val="32"/>
          <w:szCs w:val="32"/>
        </w:rPr>
      </w:pPr>
      <w:r>
        <w:rPr>
          <w:rFonts w:hint="eastAsia" w:ascii="楷体" w:hAnsi="楷体" w:eastAsia="楷体" w:cs="Times New Roman"/>
          <w:b/>
          <w:sz w:val="32"/>
          <w:szCs w:val="32"/>
          <w:lang w:val="en-US" w:eastAsia="zh-CN"/>
        </w:rPr>
        <w:t xml:space="preserve">    </w:t>
      </w:r>
      <w:r>
        <w:rPr>
          <w:rFonts w:hint="eastAsia" w:ascii="楷体" w:hAnsi="楷体" w:eastAsia="楷体" w:cs="Times New Roman"/>
          <w:b/>
          <w:sz w:val="32"/>
          <w:szCs w:val="32"/>
        </w:rPr>
        <w:t>（八）政府采购决算情况</w:t>
      </w:r>
    </w:p>
    <w:p w14:paraId="01407B95">
      <w:pPr>
        <w:autoSpaceDE w:val="0"/>
        <w:autoSpaceDN w:val="0"/>
        <w:adjustRightInd w:val="0"/>
        <w:spacing w:line="520" w:lineRule="exact"/>
        <w:ind w:firstLine="640" w:firstLineChars="200"/>
        <w:jc w:val="left"/>
        <w:rPr>
          <w:rFonts w:hint="eastAsia" w:ascii="仿宋_GB2312" w:hAnsi="仿宋_GB2312" w:eastAsia="仿宋_GB2312" w:cs="仿宋_GB2312"/>
          <w:color w:val="333333"/>
          <w:kern w:val="0"/>
          <w:sz w:val="32"/>
          <w:szCs w:val="32"/>
          <w:shd w:val="clear" w:color="auto" w:fill="FFFFFF"/>
          <w:lang w:val="en-US" w:eastAsia="zh-CN"/>
        </w:rPr>
      </w:pPr>
      <w:r>
        <w:rPr>
          <w:rFonts w:ascii="仿宋_GB2312" w:hAnsi="仿宋_GB2312" w:eastAsia="仿宋_GB2312" w:cs="仿宋_GB2312"/>
          <w:color w:val="333333"/>
          <w:kern w:val="0"/>
          <w:sz w:val="32"/>
          <w:szCs w:val="32"/>
          <w:shd w:val="clear" w:color="auto" w:fill="FFFFFF"/>
        </w:rPr>
        <w:t>201</w:t>
      </w:r>
      <w:r>
        <w:rPr>
          <w:rFonts w:hint="eastAsia" w:ascii="仿宋_GB2312" w:hAnsi="仿宋_GB2312" w:eastAsia="仿宋_GB2312" w:cs="仿宋_GB2312"/>
          <w:color w:val="333333"/>
          <w:kern w:val="0"/>
          <w:sz w:val="32"/>
          <w:szCs w:val="32"/>
          <w:shd w:val="clear" w:color="auto" w:fill="FFFFFF"/>
        </w:rPr>
        <w:t>6</w:t>
      </w:r>
      <w:r>
        <w:rPr>
          <w:rFonts w:ascii="仿宋_GB2312" w:hAnsi="仿宋_GB2312" w:eastAsia="仿宋_GB2312" w:cs="仿宋_GB2312"/>
          <w:color w:val="333333"/>
          <w:kern w:val="0"/>
          <w:sz w:val="32"/>
          <w:szCs w:val="32"/>
          <w:shd w:val="clear" w:color="auto" w:fill="FFFFFF"/>
        </w:rPr>
        <w:t>年</w:t>
      </w:r>
      <w:r>
        <w:rPr>
          <w:rFonts w:hint="eastAsia" w:ascii="仿宋_GB2312" w:hAnsi="仿宋_GB2312" w:eastAsia="仿宋_GB2312" w:cs="仿宋_GB2312"/>
          <w:color w:val="333333"/>
          <w:kern w:val="0"/>
          <w:sz w:val="32"/>
          <w:szCs w:val="32"/>
          <w:shd w:val="clear" w:color="auto" w:fill="FFFFFF"/>
        </w:rPr>
        <w:t>度部门</w:t>
      </w:r>
      <w:r>
        <w:rPr>
          <w:rFonts w:ascii="仿宋_GB2312" w:hAnsi="仿宋_GB2312" w:eastAsia="仿宋_GB2312" w:cs="仿宋_GB2312"/>
          <w:color w:val="333333"/>
          <w:kern w:val="0"/>
          <w:sz w:val="32"/>
          <w:szCs w:val="32"/>
          <w:shd w:val="clear" w:color="auto" w:fill="FFFFFF"/>
        </w:rPr>
        <w:t>政府采购</w:t>
      </w:r>
      <w:r>
        <w:rPr>
          <w:rFonts w:hint="eastAsia" w:ascii="仿宋_GB2312" w:hAnsi="仿宋_GB2312" w:eastAsia="仿宋_GB2312" w:cs="仿宋_GB2312"/>
          <w:color w:val="333333"/>
          <w:kern w:val="0"/>
          <w:sz w:val="32"/>
          <w:szCs w:val="32"/>
          <w:shd w:val="clear" w:color="auto" w:fill="FFFFFF"/>
        </w:rPr>
        <w:t>支出</w:t>
      </w:r>
      <w:r>
        <w:rPr>
          <w:rFonts w:hint="eastAsia" w:ascii="仿宋_GB2312" w:hAnsi="仿宋_GB2312" w:eastAsia="仿宋_GB2312" w:cs="仿宋_GB2312"/>
          <w:color w:val="333333"/>
          <w:kern w:val="0"/>
          <w:sz w:val="32"/>
          <w:szCs w:val="32"/>
          <w:shd w:val="clear" w:color="auto" w:fill="FFFFFF"/>
          <w:lang w:val="en-US" w:eastAsia="zh-CN"/>
        </w:rPr>
        <w:t>12.057</w:t>
      </w:r>
      <w:r>
        <w:rPr>
          <w:rFonts w:ascii="仿宋_GB2312" w:hAnsi="仿宋_GB2312" w:eastAsia="仿宋_GB2312" w:cs="仿宋_GB2312"/>
          <w:color w:val="333333"/>
          <w:kern w:val="0"/>
          <w:sz w:val="32"/>
          <w:szCs w:val="32"/>
          <w:shd w:val="clear" w:color="auto" w:fill="FFFFFF"/>
        </w:rPr>
        <w:t>万元</w:t>
      </w:r>
      <w:r>
        <w:rPr>
          <w:rFonts w:hint="eastAsia" w:ascii="仿宋_GB2312" w:hAnsi="仿宋_GB2312" w:eastAsia="仿宋_GB2312" w:cs="仿宋_GB2312"/>
          <w:color w:val="333333"/>
          <w:kern w:val="0"/>
          <w:sz w:val="32"/>
          <w:szCs w:val="32"/>
          <w:shd w:val="clear" w:color="auto" w:fill="FFFFFF"/>
        </w:rPr>
        <w:t>，其中：政府采购货物支出</w:t>
      </w:r>
      <w:r>
        <w:rPr>
          <w:rFonts w:hint="eastAsia" w:ascii="仿宋_GB2312" w:hAnsi="仿宋_GB2312" w:eastAsia="仿宋_GB2312" w:cs="仿宋_GB2312"/>
          <w:color w:val="333333"/>
          <w:kern w:val="0"/>
          <w:sz w:val="32"/>
          <w:szCs w:val="32"/>
          <w:shd w:val="clear" w:color="auto" w:fill="FFFFFF"/>
          <w:lang w:val="en-US" w:eastAsia="zh-CN"/>
        </w:rPr>
        <w:t>12.057</w:t>
      </w:r>
      <w:r>
        <w:rPr>
          <w:rFonts w:ascii="仿宋_GB2312" w:hAnsi="仿宋_GB2312" w:eastAsia="仿宋_GB2312" w:cs="仿宋_GB2312"/>
          <w:color w:val="333333"/>
          <w:kern w:val="0"/>
          <w:sz w:val="32"/>
          <w:szCs w:val="32"/>
          <w:shd w:val="clear" w:color="auto" w:fill="FFFFFF"/>
        </w:rPr>
        <w:t>万元</w:t>
      </w:r>
      <w:r>
        <w:rPr>
          <w:rFonts w:hint="eastAsia" w:ascii="仿宋_GB2312" w:hAnsi="仿宋_GB2312" w:eastAsia="仿宋_GB2312" w:cs="仿宋_GB2312"/>
          <w:color w:val="333333"/>
          <w:kern w:val="0"/>
          <w:sz w:val="32"/>
          <w:szCs w:val="32"/>
          <w:shd w:val="clear" w:color="auto" w:fill="FFFFFF"/>
        </w:rPr>
        <w:t>，政府采购工程支出</w:t>
      </w:r>
      <w:r>
        <w:rPr>
          <w:rFonts w:hint="eastAsia" w:ascii="仿宋_GB2312" w:hAnsi="仿宋_GB2312" w:eastAsia="仿宋_GB2312" w:cs="仿宋_GB2312"/>
          <w:color w:val="333333"/>
          <w:kern w:val="0"/>
          <w:sz w:val="32"/>
          <w:szCs w:val="32"/>
          <w:shd w:val="clear" w:color="auto" w:fill="FFFFFF"/>
          <w:lang w:val="en-US" w:eastAsia="zh-CN"/>
        </w:rPr>
        <w:t>0</w:t>
      </w:r>
      <w:r>
        <w:rPr>
          <w:rFonts w:hint="eastAsia" w:ascii="仿宋_GB2312" w:hAnsi="仿宋_GB2312" w:eastAsia="仿宋_GB2312" w:cs="仿宋_GB2312"/>
          <w:color w:val="333333"/>
          <w:kern w:val="0"/>
          <w:sz w:val="32"/>
          <w:szCs w:val="32"/>
          <w:shd w:val="clear" w:color="auto" w:fill="FFFFFF"/>
        </w:rPr>
        <w:t>元，政府采购服务支出</w:t>
      </w:r>
      <w:r>
        <w:rPr>
          <w:rFonts w:hint="eastAsia" w:ascii="仿宋_GB2312" w:hAnsi="仿宋_GB2312" w:eastAsia="仿宋_GB2312" w:cs="仿宋_GB2312"/>
          <w:color w:val="333333"/>
          <w:kern w:val="0"/>
          <w:sz w:val="32"/>
          <w:szCs w:val="32"/>
          <w:shd w:val="clear" w:color="auto" w:fill="FFFFFF"/>
          <w:lang w:val="en-US" w:eastAsia="zh-CN"/>
        </w:rPr>
        <w:t>0</w:t>
      </w:r>
      <w:r>
        <w:rPr>
          <w:rFonts w:hint="eastAsia" w:ascii="仿宋_GB2312" w:hAnsi="仿宋_GB2312" w:eastAsia="仿宋_GB2312" w:cs="仿宋_GB2312"/>
          <w:color w:val="333333"/>
          <w:kern w:val="0"/>
          <w:sz w:val="32"/>
          <w:szCs w:val="32"/>
          <w:shd w:val="clear" w:color="auto" w:fill="FFFFFF"/>
        </w:rPr>
        <w:t>元。</w:t>
      </w:r>
      <w:r>
        <w:rPr>
          <w:rFonts w:hint="eastAsia" w:ascii="仿宋_GB2312" w:hAnsi="仿宋_GB2312" w:eastAsia="仿宋_GB2312" w:cs="仿宋_GB2312"/>
          <w:color w:val="333333"/>
          <w:kern w:val="0"/>
          <w:sz w:val="32"/>
          <w:szCs w:val="32"/>
          <w:shd w:val="clear" w:color="auto" w:fill="FFFFFF"/>
          <w:lang w:eastAsia="zh-CN"/>
        </w:rPr>
        <w:t>其中：包括办公电脑</w:t>
      </w:r>
      <w:r>
        <w:rPr>
          <w:rFonts w:hint="eastAsia" w:ascii="仿宋_GB2312" w:hAnsi="仿宋_GB2312" w:eastAsia="仿宋_GB2312" w:cs="仿宋_GB2312"/>
          <w:color w:val="333333"/>
          <w:kern w:val="0"/>
          <w:sz w:val="32"/>
          <w:szCs w:val="32"/>
          <w:shd w:val="clear" w:color="auto" w:fill="FFFFFF"/>
          <w:lang w:val="en-US" w:eastAsia="zh-CN"/>
        </w:rPr>
        <w:t>23台，金额10.01万元；空调9台，金额2.047万元。</w:t>
      </w:r>
    </w:p>
    <w:p w14:paraId="00F2DED9">
      <w:pPr>
        <w:keepNext w:val="0"/>
        <w:keepLines w:val="0"/>
        <w:pageBreakBefore w:val="0"/>
        <w:widowControl/>
        <w:numPr>
          <w:ilvl w:val="0"/>
          <w:numId w:val="0"/>
        </w:numPr>
        <w:kinsoku/>
        <w:wordWrap/>
        <w:overflowPunct/>
        <w:topLinePunct w:val="0"/>
        <w:bidi w:val="0"/>
        <w:spacing w:line="500" w:lineRule="exact"/>
        <w:jc w:val="left"/>
        <w:textAlignment w:val="auto"/>
        <w:rPr>
          <w:rFonts w:hint="eastAsia" w:ascii="楷体" w:hAnsi="楷体" w:eastAsia="楷体" w:cs="Times New Roman"/>
          <w:b/>
          <w:sz w:val="32"/>
          <w:szCs w:val="32"/>
        </w:rPr>
      </w:pPr>
      <w:r>
        <w:rPr>
          <w:rFonts w:hint="eastAsia" w:ascii="楷体" w:hAnsi="楷体" w:eastAsia="楷体" w:cs="Times New Roman"/>
          <w:b/>
          <w:sz w:val="32"/>
          <w:szCs w:val="32"/>
          <w:lang w:val="en-US" w:eastAsia="zh-CN"/>
        </w:rPr>
        <w:t xml:space="preserve">    </w:t>
      </w:r>
      <w:r>
        <w:rPr>
          <w:rFonts w:hint="eastAsia" w:ascii="楷体" w:hAnsi="楷体" w:eastAsia="楷体" w:cs="Times New Roman"/>
          <w:b/>
          <w:sz w:val="32"/>
          <w:szCs w:val="32"/>
        </w:rPr>
        <w:t>（九）国有资产信息</w:t>
      </w:r>
    </w:p>
    <w:p w14:paraId="5FBE90ED">
      <w:pPr>
        <w:spacing w:line="520" w:lineRule="exact"/>
        <w:ind w:firstLine="640" w:firstLineChars="200"/>
        <w:rPr>
          <w:rFonts w:hint="eastAsia" w:ascii="仿宋" w:hAnsi="仿宋" w:eastAsia="仿宋"/>
          <w:sz w:val="32"/>
          <w:szCs w:val="32"/>
        </w:rPr>
      </w:pPr>
      <w:r>
        <w:rPr>
          <w:rFonts w:hint="eastAsia" w:ascii="仿宋" w:hAnsi="仿宋" w:eastAsia="仿宋"/>
          <w:sz w:val="32"/>
          <w:szCs w:val="32"/>
        </w:rPr>
        <w:t>共青团廊坊市委</w:t>
      </w:r>
      <w:r>
        <w:rPr>
          <w:rFonts w:hint="eastAsia" w:ascii="仿宋" w:hAnsi="仿宋" w:eastAsia="仿宋"/>
          <w:sz w:val="32"/>
          <w:szCs w:val="32"/>
          <w:lang w:val="en-US" w:eastAsia="zh-CN"/>
        </w:rPr>
        <w:t>2015</w:t>
      </w:r>
      <w:r>
        <w:rPr>
          <w:rFonts w:hint="eastAsia" w:ascii="仿宋" w:hAnsi="仿宋" w:eastAsia="仿宋"/>
          <w:sz w:val="32"/>
          <w:szCs w:val="32"/>
        </w:rPr>
        <w:t>年末固定资产金额为</w:t>
      </w:r>
      <w:r>
        <w:rPr>
          <w:rFonts w:hint="eastAsia" w:ascii="仿宋" w:hAnsi="仿宋" w:eastAsia="仿宋"/>
          <w:sz w:val="32"/>
          <w:szCs w:val="32"/>
          <w:lang w:val="en-US" w:eastAsia="zh-CN"/>
        </w:rPr>
        <w:t>87.9548万元，其中：车辆3台，价值64.17万元；其他固定资产23.7948万元。2016年共青团廊坊市委核销车辆2辆，价值46.19万元，新购置其他固定资产27.31万元，年末固定资产金额为</w:t>
      </w:r>
      <w:r>
        <w:rPr>
          <w:rFonts w:hint="eastAsia" w:ascii="仿宋" w:hAnsi="仿宋" w:eastAsia="仿宋"/>
          <w:sz w:val="32"/>
          <w:szCs w:val="32"/>
        </w:rPr>
        <w:t>69.0748万元</w:t>
      </w:r>
      <w:r>
        <w:rPr>
          <w:rFonts w:hint="eastAsia" w:ascii="仿宋" w:hAnsi="仿宋" w:eastAsia="仿宋"/>
          <w:sz w:val="32"/>
          <w:szCs w:val="32"/>
          <w:lang w:eastAsia="zh-CN"/>
        </w:rPr>
        <w:t>。</w:t>
      </w:r>
    </w:p>
    <w:p w14:paraId="60872F0D">
      <w:pPr>
        <w:keepNext w:val="0"/>
        <w:keepLines w:val="0"/>
        <w:pageBreakBefore w:val="0"/>
        <w:kinsoku/>
        <w:wordWrap/>
        <w:overflowPunct/>
        <w:topLinePunct w:val="0"/>
        <w:bidi w:val="0"/>
        <w:spacing w:line="500" w:lineRule="exact"/>
        <w:ind w:firstLine="640"/>
        <w:textAlignment w:val="auto"/>
        <w:rPr>
          <w:rFonts w:ascii="仿宋" w:hAnsi="仿宋" w:eastAsia="仿宋"/>
          <w:sz w:val="32"/>
          <w:szCs w:val="32"/>
        </w:rPr>
      </w:pPr>
      <w:r>
        <w:rPr>
          <w:rFonts w:hint="eastAsia" w:ascii="仿宋" w:hAnsi="仿宋" w:eastAsia="仿宋"/>
          <w:sz w:val="32"/>
          <w:szCs w:val="32"/>
        </w:rPr>
        <w:t>详见下表。</w:t>
      </w:r>
    </w:p>
    <w:p w14:paraId="4197E380">
      <w:pPr>
        <w:keepNext w:val="0"/>
        <w:keepLines w:val="0"/>
        <w:pageBreakBefore w:val="0"/>
        <w:kinsoku/>
        <w:wordWrap/>
        <w:overflowPunct/>
        <w:topLinePunct w:val="0"/>
        <w:bidi w:val="0"/>
        <w:spacing w:line="500" w:lineRule="exact"/>
        <w:ind w:left="4340"/>
        <w:textAlignment w:val="auto"/>
        <w:rPr>
          <w:rFonts w:ascii="宋体" w:hAnsi="宋体" w:eastAsia="宋体"/>
          <w:b/>
          <w:sz w:val="32"/>
        </w:rPr>
      </w:pPr>
      <w:r>
        <w:rPr>
          <w:rFonts w:hint="eastAsia" w:ascii="宋体" w:hAnsi="宋体" w:eastAsia="宋体"/>
          <w:b/>
          <w:sz w:val="32"/>
        </w:rPr>
        <w:t>共青团廊坊市委</w:t>
      </w:r>
      <w:r>
        <w:rPr>
          <w:rFonts w:ascii="宋体" w:hAnsi="宋体" w:eastAsia="宋体"/>
          <w:b/>
          <w:sz w:val="32"/>
        </w:rPr>
        <w:t>固定资产占用情况表</w:t>
      </w:r>
    </w:p>
    <w:p w14:paraId="582272A2">
      <w:pPr>
        <w:keepNext w:val="0"/>
        <w:keepLines w:val="0"/>
        <w:pageBreakBefore w:val="0"/>
        <w:kinsoku/>
        <w:wordWrap/>
        <w:overflowPunct/>
        <w:topLinePunct w:val="0"/>
        <w:bidi w:val="0"/>
        <w:spacing w:line="500" w:lineRule="exact"/>
        <w:textAlignment w:val="auto"/>
        <w:rPr>
          <w:rFonts w:ascii="Times New Roman" w:hAnsi="Times New Roman" w:eastAsia="Times New Roman"/>
        </w:rPr>
      </w:pPr>
    </w:p>
    <w:tbl>
      <w:tblPr>
        <w:tblStyle w:val="7"/>
        <w:tblW w:w="13500" w:type="dxa"/>
        <w:tblInd w:w="0" w:type="dxa"/>
        <w:tblLayout w:type="fixed"/>
        <w:tblCellMar>
          <w:top w:w="0" w:type="dxa"/>
          <w:left w:w="0" w:type="dxa"/>
          <w:bottom w:w="0" w:type="dxa"/>
          <w:right w:w="0" w:type="dxa"/>
        </w:tblCellMar>
      </w:tblPr>
      <w:tblGrid>
        <w:gridCol w:w="5240"/>
        <w:gridCol w:w="3160"/>
        <w:gridCol w:w="5100"/>
      </w:tblGrid>
      <w:tr w14:paraId="7868642B">
        <w:tblPrEx>
          <w:tblCellMar>
            <w:top w:w="0" w:type="dxa"/>
            <w:left w:w="0" w:type="dxa"/>
            <w:bottom w:w="0" w:type="dxa"/>
            <w:right w:w="0" w:type="dxa"/>
          </w:tblCellMar>
        </w:tblPrEx>
        <w:trPr>
          <w:trHeight w:val="245" w:hRule="atLeast"/>
        </w:trPr>
        <w:tc>
          <w:tcPr>
            <w:tcW w:w="5240" w:type="dxa"/>
            <w:vAlign w:val="bottom"/>
          </w:tcPr>
          <w:p w14:paraId="20B1B994">
            <w:pPr>
              <w:keepNext w:val="0"/>
              <w:keepLines w:val="0"/>
              <w:pageBreakBefore w:val="0"/>
              <w:kinsoku/>
              <w:wordWrap/>
              <w:overflowPunct/>
              <w:topLinePunct w:val="0"/>
              <w:bidi w:val="0"/>
              <w:spacing w:line="500" w:lineRule="exact"/>
              <w:textAlignment w:val="auto"/>
              <w:rPr>
                <w:rFonts w:ascii="Times New Roman" w:hAnsi="Times New Roman" w:eastAsia="Times New Roman"/>
              </w:rPr>
            </w:pPr>
          </w:p>
        </w:tc>
        <w:tc>
          <w:tcPr>
            <w:tcW w:w="3160" w:type="dxa"/>
            <w:vAlign w:val="bottom"/>
          </w:tcPr>
          <w:p w14:paraId="6001EC90">
            <w:pPr>
              <w:keepNext w:val="0"/>
              <w:keepLines w:val="0"/>
              <w:pageBreakBefore w:val="0"/>
              <w:kinsoku/>
              <w:wordWrap/>
              <w:overflowPunct/>
              <w:topLinePunct w:val="0"/>
              <w:bidi w:val="0"/>
              <w:spacing w:line="500" w:lineRule="exact"/>
              <w:textAlignment w:val="auto"/>
              <w:rPr>
                <w:rFonts w:ascii="Times New Roman" w:hAnsi="Times New Roman" w:eastAsia="Times New Roman"/>
              </w:rPr>
            </w:pPr>
          </w:p>
        </w:tc>
        <w:tc>
          <w:tcPr>
            <w:tcW w:w="5100" w:type="dxa"/>
            <w:vAlign w:val="bottom"/>
          </w:tcPr>
          <w:p w14:paraId="7FB39567">
            <w:pPr>
              <w:keepNext w:val="0"/>
              <w:keepLines w:val="0"/>
              <w:pageBreakBefore w:val="0"/>
              <w:kinsoku/>
              <w:wordWrap/>
              <w:overflowPunct/>
              <w:topLinePunct w:val="0"/>
              <w:bidi w:val="0"/>
              <w:spacing w:line="500" w:lineRule="exact"/>
              <w:jc w:val="center"/>
              <w:textAlignment w:val="auto"/>
              <w:rPr>
                <w:rFonts w:ascii="宋体" w:hAnsi="宋体" w:eastAsia="宋体"/>
                <w:w w:val="91"/>
                <w:sz w:val="22"/>
              </w:rPr>
            </w:pPr>
            <w:r>
              <w:rPr>
                <w:rFonts w:ascii="宋体" w:hAnsi="宋体" w:eastAsia="宋体"/>
                <w:w w:val="91"/>
                <w:sz w:val="22"/>
              </w:rPr>
              <w:t>截止时间：2016 年 12 月 31 日</w:t>
            </w:r>
          </w:p>
        </w:tc>
      </w:tr>
      <w:tr w14:paraId="59B0566F">
        <w:tblPrEx>
          <w:tblCellMar>
            <w:top w:w="0" w:type="dxa"/>
            <w:left w:w="0" w:type="dxa"/>
            <w:bottom w:w="0" w:type="dxa"/>
            <w:right w:w="0" w:type="dxa"/>
          </w:tblCellMar>
        </w:tblPrEx>
        <w:trPr>
          <w:trHeight w:val="90" w:hRule="atLeast"/>
        </w:trPr>
        <w:tc>
          <w:tcPr>
            <w:tcW w:w="5240" w:type="dxa"/>
            <w:tcBorders>
              <w:top w:val="single" w:color="auto" w:sz="4" w:space="0"/>
              <w:left w:val="single" w:color="auto" w:sz="4" w:space="0"/>
              <w:bottom w:val="single" w:color="auto" w:sz="4" w:space="0"/>
              <w:right w:val="single" w:color="auto" w:sz="4" w:space="0"/>
            </w:tcBorders>
            <w:vAlign w:val="bottom"/>
          </w:tcPr>
          <w:p w14:paraId="6C228D8A">
            <w:pPr>
              <w:keepNext w:val="0"/>
              <w:keepLines w:val="0"/>
              <w:pageBreakBefore w:val="0"/>
              <w:kinsoku/>
              <w:wordWrap/>
              <w:overflowPunct/>
              <w:topLinePunct w:val="0"/>
              <w:bidi w:val="0"/>
              <w:spacing w:line="500" w:lineRule="exact"/>
              <w:jc w:val="center"/>
              <w:textAlignment w:val="auto"/>
              <w:rPr>
                <w:rFonts w:ascii="宋体" w:hAnsi="宋体" w:eastAsia="宋体"/>
                <w:b/>
                <w:w w:val="98"/>
                <w:sz w:val="22"/>
              </w:rPr>
            </w:pPr>
            <w:r>
              <w:rPr>
                <w:rFonts w:ascii="宋体" w:hAnsi="宋体" w:eastAsia="宋体"/>
                <w:b/>
                <w:w w:val="98"/>
                <w:sz w:val="22"/>
              </w:rPr>
              <w:t>项   目</w:t>
            </w:r>
          </w:p>
        </w:tc>
        <w:tc>
          <w:tcPr>
            <w:tcW w:w="3160" w:type="dxa"/>
            <w:tcBorders>
              <w:top w:val="single" w:color="auto" w:sz="4" w:space="0"/>
              <w:left w:val="single" w:color="auto" w:sz="4" w:space="0"/>
              <w:bottom w:val="single" w:color="auto" w:sz="4" w:space="0"/>
              <w:right w:val="single" w:color="auto" w:sz="4" w:space="0"/>
            </w:tcBorders>
            <w:vAlign w:val="bottom"/>
          </w:tcPr>
          <w:p w14:paraId="52A387F4">
            <w:pPr>
              <w:keepNext w:val="0"/>
              <w:keepLines w:val="0"/>
              <w:pageBreakBefore w:val="0"/>
              <w:kinsoku/>
              <w:wordWrap/>
              <w:overflowPunct/>
              <w:topLinePunct w:val="0"/>
              <w:bidi w:val="0"/>
              <w:spacing w:line="500" w:lineRule="exact"/>
              <w:jc w:val="center"/>
              <w:textAlignment w:val="auto"/>
              <w:rPr>
                <w:rFonts w:ascii="宋体" w:hAnsi="宋体" w:eastAsia="宋体"/>
                <w:b/>
                <w:w w:val="99"/>
                <w:sz w:val="22"/>
              </w:rPr>
            </w:pPr>
            <w:r>
              <w:rPr>
                <w:rFonts w:ascii="宋体" w:hAnsi="宋体" w:eastAsia="宋体"/>
                <w:b/>
                <w:w w:val="99"/>
                <w:sz w:val="22"/>
              </w:rPr>
              <w:t>数量</w:t>
            </w:r>
          </w:p>
        </w:tc>
        <w:tc>
          <w:tcPr>
            <w:tcW w:w="5100" w:type="dxa"/>
            <w:tcBorders>
              <w:top w:val="single" w:color="auto" w:sz="4" w:space="0"/>
              <w:left w:val="single" w:color="auto" w:sz="4" w:space="0"/>
              <w:bottom w:val="single" w:color="auto" w:sz="4" w:space="0"/>
              <w:right w:val="single" w:color="auto" w:sz="4" w:space="0"/>
            </w:tcBorders>
            <w:vAlign w:val="bottom"/>
          </w:tcPr>
          <w:p w14:paraId="373BCB03">
            <w:pPr>
              <w:keepNext w:val="0"/>
              <w:keepLines w:val="0"/>
              <w:pageBreakBefore w:val="0"/>
              <w:kinsoku/>
              <w:wordWrap/>
              <w:overflowPunct/>
              <w:topLinePunct w:val="0"/>
              <w:bidi w:val="0"/>
              <w:spacing w:line="500" w:lineRule="exact"/>
              <w:jc w:val="center"/>
              <w:textAlignment w:val="auto"/>
              <w:rPr>
                <w:rFonts w:ascii="宋体" w:hAnsi="宋体" w:eastAsia="宋体"/>
                <w:b/>
                <w:sz w:val="22"/>
              </w:rPr>
            </w:pPr>
            <w:r>
              <w:rPr>
                <w:rFonts w:ascii="宋体" w:hAnsi="宋体" w:eastAsia="宋体"/>
                <w:b/>
                <w:sz w:val="22"/>
              </w:rPr>
              <w:t>价值（金额单位：万元）</w:t>
            </w:r>
          </w:p>
        </w:tc>
      </w:tr>
      <w:tr w14:paraId="0B906A73">
        <w:tblPrEx>
          <w:tblCellMar>
            <w:top w:w="0" w:type="dxa"/>
            <w:left w:w="0" w:type="dxa"/>
            <w:bottom w:w="0" w:type="dxa"/>
            <w:right w:w="0" w:type="dxa"/>
          </w:tblCellMar>
        </w:tblPrEx>
        <w:trPr>
          <w:trHeight w:val="376" w:hRule="atLeast"/>
        </w:trPr>
        <w:tc>
          <w:tcPr>
            <w:tcW w:w="5240" w:type="dxa"/>
            <w:tcBorders>
              <w:top w:val="single" w:color="auto" w:sz="4" w:space="0"/>
              <w:left w:val="single" w:color="auto" w:sz="4" w:space="0"/>
              <w:bottom w:val="single" w:color="auto" w:sz="4" w:space="0"/>
              <w:right w:val="single" w:color="auto" w:sz="4" w:space="0"/>
            </w:tcBorders>
            <w:vAlign w:val="bottom"/>
          </w:tcPr>
          <w:p w14:paraId="7B5DEC75">
            <w:pPr>
              <w:keepNext w:val="0"/>
              <w:keepLines w:val="0"/>
              <w:pageBreakBefore w:val="0"/>
              <w:kinsoku/>
              <w:wordWrap/>
              <w:overflowPunct/>
              <w:topLinePunct w:val="0"/>
              <w:bidi w:val="0"/>
              <w:spacing w:line="500" w:lineRule="exact"/>
              <w:jc w:val="center"/>
              <w:textAlignment w:val="auto"/>
              <w:rPr>
                <w:rFonts w:ascii="宋体" w:hAnsi="宋体" w:eastAsia="宋体"/>
                <w:w w:val="99"/>
                <w:sz w:val="22"/>
              </w:rPr>
            </w:pPr>
            <w:r>
              <w:rPr>
                <w:rFonts w:ascii="宋体" w:hAnsi="宋体" w:eastAsia="宋体"/>
                <w:w w:val="99"/>
                <w:sz w:val="22"/>
              </w:rPr>
              <w:t>固定资产总额</w:t>
            </w:r>
          </w:p>
        </w:tc>
        <w:tc>
          <w:tcPr>
            <w:tcW w:w="3160" w:type="dxa"/>
            <w:tcBorders>
              <w:top w:val="single" w:color="auto" w:sz="4" w:space="0"/>
              <w:left w:val="single" w:color="auto" w:sz="4" w:space="0"/>
              <w:bottom w:val="single" w:color="auto" w:sz="4" w:space="0"/>
              <w:right w:val="single" w:color="auto" w:sz="4" w:space="0"/>
            </w:tcBorders>
            <w:vAlign w:val="bottom"/>
          </w:tcPr>
          <w:p w14:paraId="601BCC83">
            <w:pPr>
              <w:keepNext w:val="0"/>
              <w:keepLines w:val="0"/>
              <w:pageBreakBefore w:val="0"/>
              <w:kinsoku/>
              <w:wordWrap/>
              <w:overflowPunct/>
              <w:topLinePunct w:val="0"/>
              <w:bidi w:val="0"/>
              <w:spacing w:line="500" w:lineRule="exact"/>
              <w:jc w:val="center"/>
              <w:textAlignment w:val="auto"/>
              <w:rPr>
                <w:rFonts w:ascii="宋体" w:hAnsi="宋体" w:eastAsia="宋体"/>
                <w:w w:val="99"/>
                <w:sz w:val="22"/>
              </w:rPr>
            </w:pPr>
            <w:r>
              <w:rPr>
                <w:rFonts w:ascii="宋体" w:hAnsi="宋体" w:eastAsia="宋体"/>
                <w:w w:val="99"/>
                <w:sz w:val="22"/>
              </w:rPr>
              <w:t>——</w:t>
            </w:r>
          </w:p>
        </w:tc>
        <w:tc>
          <w:tcPr>
            <w:tcW w:w="5100" w:type="dxa"/>
            <w:tcBorders>
              <w:top w:val="single" w:color="auto" w:sz="4" w:space="0"/>
              <w:left w:val="single" w:color="auto" w:sz="4" w:space="0"/>
              <w:bottom w:val="single" w:color="auto" w:sz="4" w:space="0"/>
              <w:right w:val="single" w:color="auto" w:sz="4" w:space="0"/>
            </w:tcBorders>
            <w:vAlign w:val="bottom"/>
          </w:tcPr>
          <w:p w14:paraId="308D85B6">
            <w:pPr>
              <w:keepNext w:val="0"/>
              <w:keepLines w:val="0"/>
              <w:pageBreakBefore w:val="0"/>
              <w:kinsoku/>
              <w:wordWrap/>
              <w:overflowPunct/>
              <w:topLinePunct w:val="0"/>
              <w:bidi w:val="0"/>
              <w:spacing w:line="500" w:lineRule="exact"/>
              <w:jc w:val="center"/>
              <w:textAlignment w:val="auto"/>
              <w:rPr>
                <w:rFonts w:ascii="宋体" w:hAnsi="宋体" w:eastAsia="宋体"/>
                <w:w w:val="99"/>
                <w:sz w:val="22"/>
              </w:rPr>
            </w:pPr>
            <w:r>
              <w:rPr>
                <w:rFonts w:hint="eastAsia" w:ascii="宋体" w:hAnsi="宋体" w:eastAsia="宋体"/>
                <w:w w:val="99"/>
                <w:sz w:val="22"/>
              </w:rPr>
              <w:t>69.0748</w:t>
            </w:r>
          </w:p>
        </w:tc>
      </w:tr>
      <w:tr w14:paraId="4F844CF0">
        <w:tblPrEx>
          <w:tblCellMar>
            <w:top w:w="0" w:type="dxa"/>
            <w:left w:w="0" w:type="dxa"/>
            <w:bottom w:w="0" w:type="dxa"/>
            <w:right w:w="0" w:type="dxa"/>
          </w:tblCellMar>
        </w:tblPrEx>
        <w:trPr>
          <w:trHeight w:val="392" w:hRule="atLeast"/>
        </w:trPr>
        <w:tc>
          <w:tcPr>
            <w:tcW w:w="5240" w:type="dxa"/>
            <w:tcBorders>
              <w:top w:val="single" w:color="auto" w:sz="4" w:space="0"/>
              <w:left w:val="single" w:color="auto" w:sz="4" w:space="0"/>
              <w:bottom w:val="single" w:color="auto" w:sz="4" w:space="0"/>
              <w:right w:val="single" w:color="auto" w:sz="4" w:space="0"/>
            </w:tcBorders>
            <w:vAlign w:val="bottom"/>
          </w:tcPr>
          <w:p w14:paraId="6CCE0F19">
            <w:pPr>
              <w:keepNext w:val="0"/>
              <w:keepLines w:val="0"/>
              <w:pageBreakBefore w:val="0"/>
              <w:kinsoku/>
              <w:wordWrap/>
              <w:overflowPunct/>
              <w:topLinePunct w:val="0"/>
              <w:bidi w:val="0"/>
              <w:spacing w:line="500" w:lineRule="exact"/>
              <w:ind w:left="120"/>
              <w:textAlignment w:val="auto"/>
              <w:rPr>
                <w:rFonts w:ascii="宋体" w:hAnsi="宋体" w:eastAsia="宋体"/>
                <w:sz w:val="22"/>
              </w:rPr>
            </w:pPr>
            <w:r>
              <w:rPr>
                <w:rFonts w:ascii="宋体" w:hAnsi="宋体" w:eastAsia="宋体"/>
                <w:sz w:val="22"/>
              </w:rPr>
              <w:t>1、房屋（平方米）</w:t>
            </w:r>
          </w:p>
        </w:tc>
        <w:tc>
          <w:tcPr>
            <w:tcW w:w="3160" w:type="dxa"/>
            <w:tcBorders>
              <w:top w:val="single" w:color="auto" w:sz="4" w:space="0"/>
              <w:left w:val="single" w:color="auto" w:sz="4" w:space="0"/>
              <w:bottom w:val="single" w:color="auto" w:sz="4" w:space="0"/>
              <w:right w:val="single" w:color="auto" w:sz="4" w:space="0"/>
            </w:tcBorders>
            <w:vAlign w:val="bottom"/>
          </w:tcPr>
          <w:p w14:paraId="3488A374">
            <w:pPr>
              <w:keepNext w:val="0"/>
              <w:keepLines w:val="0"/>
              <w:pageBreakBefore w:val="0"/>
              <w:kinsoku/>
              <w:wordWrap/>
              <w:overflowPunct/>
              <w:topLinePunct w:val="0"/>
              <w:bidi w:val="0"/>
              <w:spacing w:line="500" w:lineRule="exact"/>
              <w:jc w:val="center"/>
              <w:textAlignment w:val="auto"/>
              <w:rPr>
                <w:rFonts w:ascii="宋体" w:hAnsi="宋体" w:eastAsia="宋体"/>
                <w:w w:val="99"/>
                <w:sz w:val="22"/>
              </w:rPr>
            </w:pPr>
            <w:r>
              <w:rPr>
                <w:rFonts w:ascii="宋体" w:hAnsi="宋体" w:eastAsia="宋体"/>
                <w:w w:val="99"/>
                <w:sz w:val="22"/>
              </w:rPr>
              <w:t>——</w:t>
            </w:r>
          </w:p>
        </w:tc>
        <w:tc>
          <w:tcPr>
            <w:tcW w:w="5100" w:type="dxa"/>
            <w:tcBorders>
              <w:top w:val="single" w:color="auto" w:sz="4" w:space="0"/>
              <w:left w:val="single" w:color="auto" w:sz="4" w:space="0"/>
              <w:bottom w:val="single" w:color="auto" w:sz="4" w:space="0"/>
              <w:right w:val="single" w:color="auto" w:sz="4" w:space="0"/>
            </w:tcBorders>
            <w:vAlign w:val="bottom"/>
          </w:tcPr>
          <w:p w14:paraId="60048887">
            <w:pPr>
              <w:keepNext w:val="0"/>
              <w:keepLines w:val="0"/>
              <w:pageBreakBefore w:val="0"/>
              <w:kinsoku/>
              <w:wordWrap/>
              <w:overflowPunct/>
              <w:topLinePunct w:val="0"/>
              <w:bidi w:val="0"/>
              <w:spacing w:line="500" w:lineRule="exact"/>
              <w:jc w:val="center"/>
              <w:textAlignment w:val="auto"/>
              <w:rPr>
                <w:rFonts w:ascii="宋体" w:hAnsi="宋体" w:eastAsia="宋体"/>
                <w:w w:val="99"/>
                <w:sz w:val="22"/>
              </w:rPr>
            </w:pPr>
            <w:r>
              <w:rPr>
                <w:rFonts w:ascii="宋体" w:hAnsi="宋体" w:eastAsia="宋体"/>
                <w:w w:val="99"/>
                <w:sz w:val="22"/>
              </w:rPr>
              <w:t>——</w:t>
            </w:r>
          </w:p>
        </w:tc>
      </w:tr>
      <w:tr w14:paraId="712BB2FD">
        <w:tblPrEx>
          <w:tblCellMar>
            <w:top w:w="0" w:type="dxa"/>
            <w:left w:w="0" w:type="dxa"/>
            <w:bottom w:w="0" w:type="dxa"/>
            <w:right w:w="0" w:type="dxa"/>
          </w:tblCellMar>
        </w:tblPrEx>
        <w:trPr>
          <w:trHeight w:val="370" w:hRule="atLeast"/>
        </w:trPr>
        <w:tc>
          <w:tcPr>
            <w:tcW w:w="5240" w:type="dxa"/>
            <w:tcBorders>
              <w:top w:val="single" w:color="auto" w:sz="4" w:space="0"/>
              <w:left w:val="single" w:color="auto" w:sz="4" w:space="0"/>
              <w:bottom w:val="single" w:color="auto" w:sz="4" w:space="0"/>
              <w:right w:val="single" w:color="auto" w:sz="4" w:space="0"/>
            </w:tcBorders>
            <w:vAlign w:val="bottom"/>
          </w:tcPr>
          <w:p w14:paraId="323E6ABD">
            <w:pPr>
              <w:keepNext w:val="0"/>
              <w:keepLines w:val="0"/>
              <w:pageBreakBefore w:val="0"/>
              <w:kinsoku/>
              <w:wordWrap/>
              <w:overflowPunct/>
              <w:topLinePunct w:val="0"/>
              <w:bidi w:val="0"/>
              <w:spacing w:line="500" w:lineRule="exact"/>
              <w:ind w:left="440"/>
              <w:textAlignment w:val="auto"/>
              <w:rPr>
                <w:rFonts w:ascii="宋体" w:hAnsi="宋体" w:eastAsia="宋体"/>
                <w:sz w:val="22"/>
              </w:rPr>
            </w:pPr>
            <w:r>
              <w:rPr>
                <w:rFonts w:ascii="宋体" w:hAnsi="宋体" w:eastAsia="宋体"/>
                <w:sz w:val="22"/>
              </w:rPr>
              <w:t>其中：办公用房（平方米）</w:t>
            </w:r>
          </w:p>
        </w:tc>
        <w:tc>
          <w:tcPr>
            <w:tcW w:w="3160" w:type="dxa"/>
            <w:tcBorders>
              <w:top w:val="single" w:color="auto" w:sz="4" w:space="0"/>
              <w:left w:val="single" w:color="auto" w:sz="4" w:space="0"/>
              <w:bottom w:val="single" w:color="auto" w:sz="4" w:space="0"/>
              <w:right w:val="single" w:color="auto" w:sz="4" w:space="0"/>
            </w:tcBorders>
            <w:vAlign w:val="bottom"/>
          </w:tcPr>
          <w:p w14:paraId="4E99C32B">
            <w:pPr>
              <w:keepNext w:val="0"/>
              <w:keepLines w:val="0"/>
              <w:pageBreakBefore w:val="0"/>
              <w:kinsoku/>
              <w:wordWrap/>
              <w:overflowPunct/>
              <w:topLinePunct w:val="0"/>
              <w:bidi w:val="0"/>
              <w:spacing w:line="500" w:lineRule="exact"/>
              <w:jc w:val="center"/>
              <w:textAlignment w:val="auto"/>
              <w:rPr>
                <w:rFonts w:ascii="宋体" w:hAnsi="宋体" w:eastAsia="宋体"/>
                <w:w w:val="99"/>
                <w:sz w:val="22"/>
              </w:rPr>
            </w:pPr>
            <w:r>
              <w:rPr>
                <w:rFonts w:ascii="宋体" w:hAnsi="宋体" w:eastAsia="宋体"/>
                <w:w w:val="99"/>
                <w:sz w:val="22"/>
              </w:rPr>
              <w:t>——</w:t>
            </w:r>
          </w:p>
        </w:tc>
        <w:tc>
          <w:tcPr>
            <w:tcW w:w="5100" w:type="dxa"/>
            <w:tcBorders>
              <w:top w:val="single" w:color="auto" w:sz="4" w:space="0"/>
              <w:left w:val="single" w:color="auto" w:sz="4" w:space="0"/>
              <w:bottom w:val="single" w:color="auto" w:sz="4" w:space="0"/>
              <w:right w:val="single" w:color="auto" w:sz="4" w:space="0"/>
            </w:tcBorders>
            <w:vAlign w:val="bottom"/>
          </w:tcPr>
          <w:p w14:paraId="406B6083">
            <w:pPr>
              <w:keepNext w:val="0"/>
              <w:keepLines w:val="0"/>
              <w:pageBreakBefore w:val="0"/>
              <w:kinsoku/>
              <w:wordWrap/>
              <w:overflowPunct/>
              <w:topLinePunct w:val="0"/>
              <w:bidi w:val="0"/>
              <w:spacing w:line="500" w:lineRule="exact"/>
              <w:jc w:val="center"/>
              <w:textAlignment w:val="auto"/>
              <w:rPr>
                <w:rFonts w:ascii="宋体" w:hAnsi="宋体" w:eastAsia="宋体"/>
                <w:w w:val="99"/>
                <w:sz w:val="22"/>
              </w:rPr>
            </w:pPr>
            <w:r>
              <w:rPr>
                <w:rFonts w:ascii="宋体" w:hAnsi="宋体" w:eastAsia="宋体"/>
                <w:w w:val="99"/>
                <w:sz w:val="22"/>
              </w:rPr>
              <w:t>——</w:t>
            </w:r>
          </w:p>
        </w:tc>
      </w:tr>
      <w:tr w14:paraId="1F86202E">
        <w:tblPrEx>
          <w:tblCellMar>
            <w:top w:w="0" w:type="dxa"/>
            <w:left w:w="0" w:type="dxa"/>
            <w:bottom w:w="0" w:type="dxa"/>
            <w:right w:w="0" w:type="dxa"/>
          </w:tblCellMar>
        </w:tblPrEx>
        <w:trPr>
          <w:trHeight w:val="377" w:hRule="atLeast"/>
        </w:trPr>
        <w:tc>
          <w:tcPr>
            <w:tcW w:w="5240" w:type="dxa"/>
            <w:tcBorders>
              <w:top w:val="single" w:color="auto" w:sz="4" w:space="0"/>
              <w:left w:val="single" w:color="auto" w:sz="4" w:space="0"/>
              <w:bottom w:val="single" w:color="auto" w:sz="4" w:space="0"/>
              <w:right w:val="single" w:color="auto" w:sz="4" w:space="0"/>
            </w:tcBorders>
            <w:vAlign w:val="bottom"/>
          </w:tcPr>
          <w:p w14:paraId="26D31830">
            <w:pPr>
              <w:keepNext w:val="0"/>
              <w:keepLines w:val="0"/>
              <w:pageBreakBefore w:val="0"/>
              <w:kinsoku/>
              <w:wordWrap/>
              <w:overflowPunct/>
              <w:topLinePunct w:val="0"/>
              <w:bidi w:val="0"/>
              <w:spacing w:line="500" w:lineRule="exact"/>
              <w:ind w:left="120"/>
              <w:textAlignment w:val="auto"/>
              <w:rPr>
                <w:rFonts w:ascii="宋体" w:hAnsi="宋体" w:eastAsia="宋体"/>
                <w:sz w:val="22"/>
              </w:rPr>
            </w:pPr>
            <w:r>
              <w:rPr>
                <w:rFonts w:ascii="宋体" w:hAnsi="宋体" w:eastAsia="宋体"/>
                <w:sz w:val="22"/>
              </w:rPr>
              <w:t>2、车辆（台、辆）</w:t>
            </w:r>
          </w:p>
        </w:tc>
        <w:tc>
          <w:tcPr>
            <w:tcW w:w="3160" w:type="dxa"/>
            <w:tcBorders>
              <w:top w:val="single" w:color="auto" w:sz="4" w:space="0"/>
              <w:left w:val="single" w:color="auto" w:sz="4" w:space="0"/>
              <w:bottom w:val="single" w:color="auto" w:sz="4" w:space="0"/>
              <w:right w:val="single" w:color="auto" w:sz="4" w:space="0"/>
            </w:tcBorders>
            <w:vAlign w:val="bottom"/>
          </w:tcPr>
          <w:p w14:paraId="187E15A3">
            <w:pPr>
              <w:keepNext w:val="0"/>
              <w:keepLines w:val="0"/>
              <w:pageBreakBefore w:val="0"/>
              <w:kinsoku/>
              <w:wordWrap/>
              <w:overflowPunct/>
              <w:topLinePunct w:val="0"/>
              <w:bidi w:val="0"/>
              <w:spacing w:line="500" w:lineRule="exact"/>
              <w:jc w:val="center"/>
              <w:textAlignment w:val="auto"/>
              <w:rPr>
                <w:rFonts w:ascii="宋体" w:hAnsi="宋体" w:eastAsia="宋体"/>
                <w:w w:val="90"/>
                <w:sz w:val="22"/>
              </w:rPr>
            </w:pPr>
            <w:r>
              <w:rPr>
                <w:rFonts w:hint="eastAsia" w:ascii="宋体" w:hAnsi="宋体" w:eastAsia="宋体"/>
                <w:w w:val="90"/>
                <w:sz w:val="22"/>
              </w:rPr>
              <w:t>1</w:t>
            </w:r>
          </w:p>
        </w:tc>
        <w:tc>
          <w:tcPr>
            <w:tcW w:w="5100" w:type="dxa"/>
            <w:tcBorders>
              <w:top w:val="single" w:color="auto" w:sz="4" w:space="0"/>
              <w:left w:val="single" w:color="auto" w:sz="4" w:space="0"/>
              <w:bottom w:val="single" w:color="auto" w:sz="4" w:space="0"/>
              <w:right w:val="single" w:color="auto" w:sz="4" w:space="0"/>
            </w:tcBorders>
            <w:vAlign w:val="bottom"/>
          </w:tcPr>
          <w:p w14:paraId="769C2801">
            <w:pPr>
              <w:keepNext w:val="0"/>
              <w:keepLines w:val="0"/>
              <w:pageBreakBefore w:val="0"/>
              <w:kinsoku/>
              <w:wordWrap/>
              <w:overflowPunct/>
              <w:topLinePunct w:val="0"/>
              <w:bidi w:val="0"/>
              <w:spacing w:line="500" w:lineRule="exact"/>
              <w:jc w:val="center"/>
              <w:textAlignment w:val="auto"/>
              <w:rPr>
                <w:rFonts w:ascii="宋体" w:hAnsi="宋体" w:eastAsia="宋体"/>
                <w:sz w:val="22"/>
              </w:rPr>
            </w:pPr>
            <w:r>
              <w:rPr>
                <w:rFonts w:hint="eastAsia" w:ascii="宋体" w:hAnsi="宋体" w:eastAsia="宋体"/>
                <w:sz w:val="22"/>
              </w:rPr>
              <w:t>17.98</w:t>
            </w:r>
          </w:p>
        </w:tc>
      </w:tr>
      <w:tr w14:paraId="746020B6">
        <w:tblPrEx>
          <w:tblCellMar>
            <w:top w:w="0" w:type="dxa"/>
            <w:left w:w="0" w:type="dxa"/>
            <w:bottom w:w="0" w:type="dxa"/>
            <w:right w:w="0" w:type="dxa"/>
          </w:tblCellMar>
        </w:tblPrEx>
        <w:trPr>
          <w:trHeight w:val="422" w:hRule="atLeast"/>
        </w:trPr>
        <w:tc>
          <w:tcPr>
            <w:tcW w:w="5240" w:type="dxa"/>
            <w:tcBorders>
              <w:top w:val="single" w:color="auto" w:sz="4" w:space="0"/>
              <w:left w:val="single" w:color="auto" w:sz="4" w:space="0"/>
              <w:bottom w:val="single" w:color="auto" w:sz="4" w:space="0"/>
              <w:right w:val="single" w:color="auto" w:sz="4" w:space="0"/>
            </w:tcBorders>
            <w:vAlign w:val="bottom"/>
          </w:tcPr>
          <w:p w14:paraId="3055E64A">
            <w:pPr>
              <w:keepNext w:val="0"/>
              <w:keepLines w:val="0"/>
              <w:pageBreakBefore w:val="0"/>
              <w:kinsoku/>
              <w:wordWrap/>
              <w:overflowPunct/>
              <w:topLinePunct w:val="0"/>
              <w:bidi w:val="0"/>
              <w:spacing w:line="500" w:lineRule="exact"/>
              <w:ind w:left="120"/>
              <w:textAlignment w:val="auto"/>
              <w:rPr>
                <w:rFonts w:ascii="宋体" w:hAnsi="宋体" w:eastAsia="宋体"/>
                <w:sz w:val="22"/>
              </w:rPr>
            </w:pPr>
            <w:r>
              <w:rPr>
                <w:rFonts w:ascii="宋体" w:hAnsi="宋体" w:eastAsia="宋体"/>
                <w:sz w:val="22"/>
              </w:rPr>
              <w:t>3、单价在 50 万元以上的设备</w:t>
            </w:r>
          </w:p>
        </w:tc>
        <w:tc>
          <w:tcPr>
            <w:tcW w:w="3160" w:type="dxa"/>
            <w:tcBorders>
              <w:top w:val="single" w:color="auto" w:sz="4" w:space="0"/>
              <w:left w:val="single" w:color="auto" w:sz="4" w:space="0"/>
              <w:bottom w:val="single" w:color="auto" w:sz="4" w:space="0"/>
              <w:right w:val="single" w:color="auto" w:sz="4" w:space="0"/>
            </w:tcBorders>
            <w:vAlign w:val="bottom"/>
          </w:tcPr>
          <w:p w14:paraId="1DC5B8BD">
            <w:pPr>
              <w:keepNext w:val="0"/>
              <w:keepLines w:val="0"/>
              <w:pageBreakBefore w:val="0"/>
              <w:kinsoku/>
              <w:wordWrap/>
              <w:overflowPunct/>
              <w:topLinePunct w:val="0"/>
              <w:bidi w:val="0"/>
              <w:spacing w:line="500" w:lineRule="exact"/>
              <w:jc w:val="center"/>
              <w:textAlignment w:val="auto"/>
              <w:rPr>
                <w:rFonts w:ascii="宋体" w:hAnsi="宋体" w:eastAsia="宋体"/>
                <w:w w:val="99"/>
                <w:sz w:val="22"/>
              </w:rPr>
            </w:pPr>
            <w:r>
              <w:rPr>
                <w:rFonts w:ascii="宋体" w:hAnsi="宋体" w:eastAsia="宋体"/>
                <w:w w:val="99"/>
                <w:sz w:val="22"/>
              </w:rPr>
              <w:t>——</w:t>
            </w:r>
          </w:p>
        </w:tc>
        <w:tc>
          <w:tcPr>
            <w:tcW w:w="5100" w:type="dxa"/>
            <w:tcBorders>
              <w:top w:val="single" w:color="auto" w:sz="4" w:space="0"/>
              <w:left w:val="single" w:color="auto" w:sz="4" w:space="0"/>
              <w:bottom w:val="single" w:color="auto" w:sz="4" w:space="0"/>
              <w:right w:val="single" w:color="auto" w:sz="4" w:space="0"/>
            </w:tcBorders>
            <w:vAlign w:val="bottom"/>
          </w:tcPr>
          <w:p w14:paraId="4C68CC28">
            <w:pPr>
              <w:keepNext w:val="0"/>
              <w:keepLines w:val="0"/>
              <w:pageBreakBefore w:val="0"/>
              <w:kinsoku/>
              <w:wordWrap/>
              <w:overflowPunct/>
              <w:topLinePunct w:val="0"/>
              <w:bidi w:val="0"/>
              <w:spacing w:line="500" w:lineRule="exact"/>
              <w:jc w:val="center"/>
              <w:textAlignment w:val="auto"/>
              <w:rPr>
                <w:rFonts w:ascii="宋体" w:hAnsi="宋体" w:eastAsia="宋体"/>
                <w:w w:val="99"/>
                <w:sz w:val="22"/>
              </w:rPr>
            </w:pPr>
            <w:r>
              <w:rPr>
                <w:rFonts w:ascii="宋体" w:hAnsi="宋体" w:eastAsia="宋体"/>
                <w:w w:val="99"/>
                <w:sz w:val="22"/>
              </w:rPr>
              <w:t>——</w:t>
            </w:r>
          </w:p>
        </w:tc>
      </w:tr>
      <w:tr w14:paraId="4A7DA4B5">
        <w:tblPrEx>
          <w:tblCellMar>
            <w:top w:w="0" w:type="dxa"/>
            <w:left w:w="0" w:type="dxa"/>
            <w:bottom w:w="0" w:type="dxa"/>
            <w:right w:w="0" w:type="dxa"/>
          </w:tblCellMar>
        </w:tblPrEx>
        <w:trPr>
          <w:trHeight w:val="250" w:hRule="atLeast"/>
        </w:trPr>
        <w:tc>
          <w:tcPr>
            <w:tcW w:w="5240" w:type="dxa"/>
            <w:tcBorders>
              <w:top w:val="single" w:color="auto" w:sz="4" w:space="0"/>
              <w:left w:val="single" w:color="auto" w:sz="4" w:space="0"/>
              <w:bottom w:val="single" w:color="auto" w:sz="4" w:space="0"/>
              <w:right w:val="single" w:color="auto" w:sz="4" w:space="0"/>
            </w:tcBorders>
            <w:vAlign w:val="bottom"/>
          </w:tcPr>
          <w:p w14:paraId="5B000636">
            <w:pPr>
              <w:keepNext w:val="0"/>
              <w:keepLines w:val="0"/>
              <w:pageBreakBefore w:val="0"/>
              <w:kinsoku/>
              <w:wordWrap/>
              <w:overflowPunct/>
              <w:topLinePunct w:val="0"/>
              <w:bidi w:val="0"/>
              <w:spacing w:line="500" w:lineRule="exact"/>
              <w:ind w:left="120"/>
              <w:textAlignment w:val="auto"/>
              <w:rPr>
                <w:rFonts w:ascii="宋体" w:hAnsi="宋体" w:eastAsia="宋体"/>
                <w:sz w:val="22"/>
              </w:rPr>
            </w:pPr>
            <w:r>
              <w:rPr>
                <w:rFonts w:ascii="宋体" w:hAnsi="宋体" w:eastAsia="宋体"/>
                <w:sz w:val="22"/>
              </w:rPr>
              <w:t>4、其他固定资产</w:t>
            </w:r>
          </w:p>
        </w:tc>
        <w:tc>
          <w:tcPr>
            <w:tcW w:w="3160" w:type="dxa"/>
            <w:tcBorders>
              <w:top w:val="single" w:color="auto" w:sz="4" w:space="0"/>
              <w:left w:val="single" w:color="auto" w:sz="4" w:space="0"/>
              <w:bottom w:val="single" w:color="auto" w:sz="4" w:space="0"/>
              <w:right w:val="single" w:color="auto" w:sz="4" w:space="0"/>
            </w:tcBorders>
            <w:vAlign w:val="bottom"/>
          </w:tcPr>
          <w:p w14:paraId="4B7AB15D">
            <w:pPr>
              <w:keepNext w:val="0"/>
              <w:keepLines w:val="0"/>
              <w:pageBreakBefore w:val="0"/>
              <w:kinsoku/>
              <w:wordWrap/>
              <w:overflowPunct/>
              <w:topLinePunct w:val="0"/>
              <w:bidi w:val="0"/>
              <w:spacing w:line="500" w:lineRule="exact"/>
              <w:jc w:val="center"/>
              <w:textAlignment w:val="auto"/>
              <w:rPr>
                <w:rFonts w:ascii="宋体" w:hAnsi="宋体" w:eastAsia="宋体"/>
                <w:w w:val="99"/>
                <w:sz w:val="22"/>
              </w:rPr>
            </w:pPr>
            <w:r>
              <w:rPr>
                <w:rFonts w:ascii="宋体" w:hAnsi="宋体" w:eastAsia="宋体"/>
                <w:w w:val="99"/>
                <w:sz w:val="22"/>
              </w:rPr>
              <w:t>——</w:t>
            </w:r>
          </w:p>
        </w:tc>
        <w:tc>
          <w:tcPr>
            <w:tcW w:w="5100" w:type="dxa"/>
            <w:tcBorders>
              <w:top w:val="single" w:color="auto" w:sz="4" w:space="0"/>
              <w:left w:val="single" w:color="auto" w:sz="4" w:space="0"/>
              <w:bottom w:val="single" w:color="auto" w:sz="4" w:space="0"/>
              <w:right w:val="single" w:color="auto" w:sz="4" w:space="0"/>
            </w:tcBorders>
            <w:vAlign w:val="bottom"/>
          </w:tcPr>
          <w:p w14:paraId="10BA9DDF">
            <w:pPr>
              <w:keepNext w:val="0"/>
              <w:keepLines w:val="0"/>
              <w:pageBreakBefore w:val="0"/>
              <w:kinsoku/>
              <w:wordWrap/>
              <w:overflowPunct/>
              <w:topLinePunct w:val="0"/>
              <w:bidi w:val="0"/>
              <w:spacing w:line="500" w:lineRule="exact"/>
              <w:jc w:val="center"/>
              <w:textAlignment w:val="auto"/>
              <w:rPr>
                <w:rFonts w:ascii="宋体" w:hAnsi="宋体" w:eastAsia="宋体"/>
                <w:w w:val="99"/>
                <w:sz w:val="22"/>
              </w:rPr>
            </w:pPr>
            <w:r>
              <w:rPr>
                <w:rFonts w:hint="eastAsia" w:ascii="宋体" w:hAnsi="宋体" w:eastAsia="宋体"/>
                <w:w w:val="99"/>
                <w:sz w:val="22"/>
              </w:rPr>
              <w:t>51.0948</w:t>
            </w:r>
          </w:p>
        </w:tc>
      </w:tr>
    </w:tbl>
    <w:p w14:paraId="2345A9DF">
      <w:pPr>
        <w:keepNext w:val="0"/>
        <w:keepLines w:val="0"/>
        <w:pageBreakBefore w:val="0"/>
        <w:kinsoku/>
        <w:wordWrap/>
        <w:overflowPunct/>
        <w:topLinePunct w:val="0"/>
        <w:bidi w:val="0"/>
        <w:spacing w:line="500" w:lineRule="exact"/>
        <w:textAlignment w:val="auto"/>
        <w:rPr>
          <w:rFonts w:ascii="Times New Roman" w:hAnsi="Times New Roman" w:eastAsia="Times New Roman"/>
        </w:rPr>
      </w:pPr>
    </w:p>
    <w:p w14:paraId="59720048">
      <w:pPr>
        <w:numPr>
          <w:ilvl w:val="0"/>
          <w:numId w:val="3"/>
        </w:numPr>
        <w:autoSpaceDE w:val="0"/>
        <w:autoSpaceDN w:val="0"/>
        <w:adjustRightInd w:val="0"/>
        <w:spacing w:line="520" w:lineRule="exact"/>
        <w:ind w:firstLine="643" w:firstLineChars="200"/>
        <w:jc w:val="left"/>
        <w:rPr>
          <w:rFonts w:hint="eastAsia" w:ascii="楷体" w:hAnsi="楷体" w:eastAsia="楷体" w:cs="Times New Roman"/>
          <w:b/>
          <w:sz w:val="32"/>
          <w:szCs w:val="32"/>
        </w:rPr>
      </w:pPr>
      <w:r>
        <w:rPr>
          <w:rFonts w:hint="eastAsia" w:ascii="楷体" w:hAnsi="楷体" w:eastAsia="楷体" w:cs="Times New Roman"/>
          <w:b/>
          <w:sz w:val="32"/>
          <w:szCs w:val="32"/>
        </w:rPr>
        <w:t>其他需要说明的情况</w:t>
      </w:r>
    </w:p>
    <w:p w14:paraId="2D503463">
      <w:pPr>
        <w:numPr>
          <w:ilvl w:val="0"/>
          <w:numId w:val="0"/>
        </w:numPr>
        <w:autoSpaceDE w:val="0"/>
        <w:autoSpaceDN w:val="0"/>
        <w:adjustRightInd w:val="0"/>
        <w:spacing w:line="520" w:lineRule="exact"/>
        <w:ind w:firstLine="640" w:firstLineChars="200"/>
        <w:jc w:val="left"/>
        <w:rPr>
          <w:rFonts w:hint="eastAsia" w:eastAsia="仿宋_GB2312"/>
          <w:sz w:val="32"/>
          <w:szCs w:val="32"/>
        </w:rPr>
      </w:pPr>
      <w:r>
        <w:rPr>
          <w:rFonts w:hint="eastAsia" w:eastAsia="仿宋_GB2312"/>
          <w:color w:val="3E3E3E"/>
          <w:sz w:val="32"/>
          <w:szCs w:val="32"/>
        </w:rPr>
        <w:t>无其他需要说明的情况</w:t>
      </w:r>
      <w:r>
        <w:rPr>
          <w:rFonts w:hint="eastAsia" w:eastAsia="仿宋_GB2312"/>
          <w:color w:val="3E3E3E"/>
          <w:sz w:val="32"/>
          <w:szCs w:val="32"/>
          <w:lang w:eastAsia="zh-CN"/>
        </w:rPr>
        <w:t>。</w:t>
      </w:r>
    </w:p>
    <w:p w14:paraId="79445483">
      <w:pPr>
        <w:numPr>
          <w:ilvl w:val="0"/>
          <w:numId w:val="0"/>
        </w:numPr>
        <w:autoSpaceDE w:val="0"/>
        <w:autoSpaceDN w:val="0"/>
        <w:adjustRightInd w:val="0"/>
        <w:spacing w:line="520" w:lineRule="exact"/>
        <w:ind w:firstLine="640" w:firstLineChars="200"/>
        <w:jc w:val="left"/>
        <w:rPr>
          <w:rFonts w:hint="eastAsia" w:eastAsia="黑体"/>
          <w:sz w:val="32"/>
          <w:szCs w:val="32"/>
        </w:rPr>
      </w:pPr>
      <w:r>
        <w:rPr>
          <w:rFonts w:hint="eastAsia" w:ascii="黑体" w:hAnsi="黑体" w:eastAsia="黑体"/>
          <w:sz w:val="32"/>
          <w:szCs w:val="32"/>
          <w:lang w:eastAsia="zh-CN"/>
        </w:rPr>
        <w:t>四、名词解释</w:t>
      </w:r>
    </w:p>
    <w:p w14:paraId="6256E852">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（一）财政拨款收入：本年度从本级财政部门取得的财政拨款，包括一般公共预算财政拨款和政府性基金预算财政拨款。</w:t>
      </w:r>
    </w:p>
    <w:p w14:paraId="6AF07582">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（二）事业收入：指事业单位开展专业业务活动及辅助活动所取得的收入。</w:t>
      </w:r>
    </w:p>
    <w:p w14:paraId="186BA0AB">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（三）其他收入：指除上述“财政拨款收入”、“事业收入”、“经营收入”等以外的收入。</w:t>
      </w:r>
    </w:p>
    <w:p w14:paraId="3EAC3C7A">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四）用事业基金弥补收支差额：指事业单位在用当年的“财政拨款收入”、“财政拨款结转和结余资金”、“事业收入”、“经营收入”、“其他收入”不足以安排当年支出的情况下，使用以前年度积累的事业基金（事业单位当年收支相抵后按国家规定提取、用于弥补以后年度收支差额的基金）弥补本年度收支缺口的资金。</w:t>
      </w:r>
    </w:p>
    <w:p w14:paraId="666830EB">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（五）年初结转和结余：指以前年度尚未完成、结转到本年仍按原规定用途继续使用的资金，或项目已完成等产生的结余资金。</w:t>
      </w:r>
    </w:p>
    <w:p w14:paraId="598643D1">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（六）结余分配：指事业单位按照事业单位会计制度的规定从非财政补助结余中分配的事业基金和职工福利基金等。</w:t>
      </w:r>
    </w:p>
    <w:p w14:paraId="3BF04C2D">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（七）年末结转和结余：指单位按有关规定结转到下年或以后年度继续使用的资金，或项目已完成等产生的结余资金。</w:t>
      </w:r>
    </w:p>
    <w:p w14:paraId="26DA3E07">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（八）基本支出：填列单位为保障机构正常运转、完成日常工作任务而发生的各项支出。</w:t>
      </w:r>
    </w:p>
    <w:p w14:paraId="3BE97544">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（九）项目支出：填列单位为完成特定的行政工作任务或事业发展目标，在基本支出之外发生的各项支出。</w:t>
      </w:r>
    </w:p>
    <w:p w14:paraId="52F242BF">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十）基本建设支出：填列由本级发展与改革部门集中安排的用于购置固定资产、战略性和应急性储备、土地和无形资产，以及购建基础设施、大型修缮所发生的一般公共预算财政拨款支出，不包括政府性基金、财政专户管理资金以及各类拼盘自筹资金等。</w:t>
      </w:r>
    </w:p>
    <w:p w14:paraId="30CD83EB">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（十一）其他资本性支出：填列由各级非发展与改革部门集中安排的用于购置固定资产、战备性和应急性储备、土地和无形资产，以及购建基础设施、大型修缮和财政支持企业更新改造所发生的支出。</w:t>
      </w:r>
    </w:p>
    <w:p w14:paraId="22B90398">
      <w:pPr>
        <w:autoSpaceDE w:val="0"/>
        <w:autoSpaceDN w:val="0"/>
        <w:snapToGrid w:val="0"/>
        <w:spacing w:line="520" w:lineRule="exact"/>
        <w:ind w:firstLine="645"/>
        <w:rPr>
          <w:rFonts w:hint="eastAsia"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十二）“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租用费、燃料费、维修费、过路过桥费、保险费、安全奖励费用等支出；公务接待费反映单位按规定开支的各类公务接待（含外宾接待）支出。</w:t>
      </w:r>
    </w:p>
    <w:p w14:paraId="4D15E670">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（十三）其他交通费用：填列单位除公务用车运行维护费以外的其他交通费用。如飞机、船舶等的燃料费、维修费、过桥过路费、保险费、出租车费用、公务交通补贴等。</w:t>
      </w:r>
    </w:p>
    <w:p w14:paraId="38446269">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（十四）公务用车购置：填列单位公务用车车辆购置支出（含车辆购置税）。</w:t>
      </w:r>
    </w:p>
    <w:p w14:paraId="3D271E5B">
      <w:pPr>
        <w:autoSpaceDE w:val="0"/>
        <w:autoSpaceDN w:val="0"/>
        <w:snapToGrid w:val="0"/>
        <w:spacing w:line="520" w:lineRule="exact"/>
        <w:ind w:firstLine="645"/>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（十五）其他交通工具购置：填列单位除公务用车外的其他各类交通工具（如船舶、飞机）购置支出（含车辆购置税）。</w:t>
      </w:r>
    </w:p>
    <w:p w14:paraId="7F1ABABC">
      <w:pPr>
        <w:autoSpaceDE w:val="0"/>
        <w:autoSpaceDN w:val="0"/>
        <w:snapToGrid w:val="0"/>
        <w:spacing w:line="520" w:lineRule="exact"/>
        <w:ind w:firstLine="645"/>
        <w:rPr>
          <w:rFonts w:ascii="微软雅黑" w:hAnsi="微软雅黑" w:eastAsia="微软雅黑"/>
          <w:color w:val="3E3E3E"/>
        </w:rPr>
      </w:pPr>
      <w:r>
        <w:rPr>
          <w:rFonts w:hint="eastAsia" w:ascii="仿宋_GB2312" w:hAnsi="仿宋_GB2312" w:eastAsia="仿宋_GB2312" w:cs="仿宋_GB2312"/>
          <w:color w:val="333333"/>
          <w:kern w:val="0"/>
          <w:sz w:val="32"/>
          <w:szCs w:val="32"/>
          <w:shd w:val="clear" w:color="auto" w:fill="FFFFFF"/>
        </w:rPr>
        <w:t>（十六）</w:t>
      </w:r>
      <w:r>
        <w:rPr>
          <w:rFonts w:ascii="仿宋_GB2312" w:hAnsi="仿宋_GB2312" w:eastAsia="仿宋_GB2312" w:cs="仿宋_GB2312"/>
          <w:color w:val="333333"/>
          <w:kern w:val="0"/>
          <w:sz w:val="32"/>
          <w:szCs w:val="32"/>
          <w:shd w:val="clear" w:color="auto" w:fill="FFFFFF"/>
        </w:rPr>
        <w:t xml:space="preserve"> </w:t>
      </w:r>
      <w:r>
        <w:rPr>
          <w:rFonts w:hint="eastAsia" w:ascii="仿宋_GB2312" w:hAnsi="仿宋_GB2312" w:eastAsia="仿宋_GB2312" w:cs="仿宋_GB2312"/>
          <w:color w:val="333333"/>
          <w:kern w:val="0"/>
          <w:sz w:val="32"/>
          <w:szCs w:val="32"/>
          <w:shd w:val="clear" w:color="auto" w:fill="FFFFFF"/>
        </w:rPr>
        <w:t>机关运行经费：指为保障行政单位（包括参照公务员法管理的事业单位）运行用于购买货物和服务的各项资金，包括办公及印刷费、邮电费、差旅费、会议费、福利费、日常维修费、专用材料以及一般设备购置费、办公用房水电费、办公用房取暖费、办公用房物业管理费、公务用车运行维护费以及其他费用。</w:t>
      </w:r>
    </w:p>
    <w:p w14:paraId="3D8BA6C3">
      <w:pPr>
        <w:keepNext w:val="0"/>
        <w:keepLines w:val="0"/>
        <w:pageBreakBefore w:val="0"/>
        <w:tabs>
          <w:tab w:val="left" w:pos="11490"/>
        </w:tabs>
        <w:kinsoku/>
        <w:wordWrap/>
        <w:overflowPunct/>
        <w:topLinePunct w:val="0"/>
        <w:bidi w:val="0"/>
        <w:spacing w:line="500" w:lineRule="exact"/>
        <w:textAlignment w:val="auto"/>
        <w:rPr>
          <w:rFonts w:ascii="黑体" w:hAnsi="黑体" w:eastAsia="黑体" w:cs="Times New Roman"/>
          <w:sz w:val="32"/>
          <w:szCs w:val="32"/>
        </w:rPr>
      </w:pPr>
      <w:r>
        <w:rPr>
          <w:rFonts w:hint="eastAsia" w:ascii="黑体" w:hAnsi="黑体" w:eastAsia="黑体" w:cs="Times New Roman"/>
          <w:sz w:val="32"/>
          <w:szCs w:val="32"/>
          <w:lang w:val="en-US" w:eastAsia="zh-CN"/>
        </w:rPr>
        <w:t xml:space="preserve">    </w:t>
      </w:r>
      <w:r>
        <w:rPr>
          <w:rFonts w:hint="eastAsia" w:ascii="黑体" w:hAnsi="黑体" w:eastAsia="黑体" w:cs="Times New Roman"/>
          <w:sz w:val="32"/>
          <w:szCs w:val="32"/>
          <w:lang w:eastAsia="zh-CN"/>
        </w:rPr>
        <w:t>五</w:t>
      </w:r>
      <w:r>
        <w:rPr>
          <w:rFonts w:hint="eastAsia" w:ascii="黑体" w:hAnsi="黑体" w:eastAsia="黑体" w:cs="Times New Roman"/>
          <w:sz w:val="32"/>
          <w:szCs w:val="32"/>
        </w:rPr>
        <w:t>、其它需要说明的事项</w:t>
      </w:r>
    </w:p>
    <w:p w14:paraId="2E4ABE1F">
      <w:pPr>
        <w:keepNext w:val="0"/>
        <w:keepLines w:val="0"/>
        <w:pageBreakBefore w:val="0"/>
        <w:tabs>
          <w:tab w:val="left" w:pos="11490"/>
        </w:tabs>
        <w:kinsoku/>
        <w:wordWrap/>
        <w:overflowPunct/>
        <w:topLinePunct w:val="0"/>
        <w:bidi w:val="0"/>
        <w:spacing w:line="500" w:lineRule="exact"/>
        <w:ind w:firstLine="640" w:firstLineChars="200"/>
        <w:textAlignment w:val="auto"/>
        <w:rPr>
          <w:rFonts w:ascii="仿宋" w:hAnsi="仿宋" w:eastAsia="仿宋"/>
          <w:sz w:val="32"/>
          <w:szCs w:val="32"/>
        </w:rPr>
      </w:pPr>
      <w:r>
        <w:rPr>
          <w:rFonts w:hint="eastAsia" w:ascii="仿宋" w:hAnsi="仿宋" w:eastAsia="仿宋"/>
          <w:sz w:val="32"/>
          <w:szCs w:val="32"/>
        </w:rPr>
        <w:t>无其它需要说明的事项。</w:t>
      </w: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KaiTi_GB2312">
    <w:altName w:val="宋体"/>
    <w:panose1 w:val="02010609060101010101"/>
    <w:charset w:val="86"/>
    <w:family w:val="modern"/>
    <w:pitch w:val="default"/>
    <w:sig w:usb0="00000000" w:usb1="00000000" w:usb2="00000016" w:usb3="00000000" w:csb0="00040001" w:csb1="00000000"/>
  </w:font>
  <w:font w:name="方正书宋_GBK">
    <w:altName w:val="微软雅黑"/>
    <w:panose1 w:val="03000509000000000000"/>
    <w:charset w:val="86"/>
    <w:family w:val="script"/>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0393E">
    <w:pPr>
      <w:pStyle w:val="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42F08AF">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14</w:t>
                          </w:r>
                          <w:r>
                            <w:rPr>
                              <w:rFonts w:hint="eastAsia"/>
                              <w:sz w:val="18"/>
                            </w:rPr>
                            <w:fldChar w:fldCharType="end"/>
                          </w:r>
                        </w:p>
                      </w:txbxContent>
                    </wps:txbx>
                    <wps:bodyPr wrap="none" lIns="0" tIns="0" rIns="0" bIns="0" upright="0">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DhdBx3RAQAAowMAAA4AAAAAAAAAAQAgAAAAHgEAAGRy&#10;cy9lMm9Eb2MueG1sUEsFBgAAAAAGAAYAWQEAAGEFAAAAAA==&#10;">
              <v:fill on="f" focussize="0,0"/>
              <v:stroke on="f"/>
              <v:imagedata o:title=""/>
              <o:lock v:ext="edit" aspectratio="f"/>
              <v:textbox inset="0mm,0mm,0mm,0mm" style="mso-fit-shape-to-text:t;">
                <w:txbxContent>
                  <w:p w14:paraId="242F08AF">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14</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EFF20E"/>
    <w:multiLevelType w:val="singleLevel"/>
    <w:tmpl w:val="59EFF20E"/>
    <w:lvl w:ilvl="0" w:tentative="0">
      <w:start w:val="2"/>
      <w:numFmt w:val="chineseCounting"/>
      <w:suff w:val="nothing"/>
      <w:lvlText w:val="%1、"/>
      <w:lvlJc w:val="left"/>
    </w:lvl>
  </w:abstractNum>
  <w:abstractNum w:abstractNumId="1">
    <w:nsid w:val="59F152BC"/>
    <w:multiLevelType w:val="singleLevel"/>
    <w:tmpl w:val="59F152BC"/>
    <w:lvl w:ilvl="0" w:tentative="0">
      <w:start w:val="7"/>
      <w:numFmt w:val="chineseCounting"/>
      <w:suff w:val="nothing"/>
      <w:lvlText w:val="（%1）"/>
      <w:lvlJc w:val="left"/>
    </w:lvl>
  </w:abstractNum>
  <w:abstractNum w:abstractNumId="2">
    <w:nsid w:val="59F53FF6"/>
    <w:multiLevelType w:val="singleLevel"/>
    <w:tmpl w:val="59F53FF6"/>
    <w:lvl w:ilvl="0" w:tentative="0">
      <w:start w:val="10"/>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032"/>
    <w:rsid w:val="00037AF6"/>
    <w:rsid w:val="00045A61"/>
    <w:rsid w:val="00075D5F"/>
    <w:rsid w:val="000C3A19"/>
    <w:rsid w:val="001245BB"/>
    <w:rsid w:val="0018479D"/>
    <w:rsid w:val="001D7A12"/>
    <w:rsid w:val="001F228F"/>
    <w:rsid w:val="00241FD4"/>
    <w:rsid w:val="00251B12"/>
    <w:rsid w:val="002645FB"/>
    <w:rsid w:val="00296113"/>
    <w:rsid w:val="002F3E58"/>
    <w:rsid w:val="0030542C"/>
    <w:rsid w:val="00311B7A"/>
    <w:rsid w:val="003E1A7F"/>
    <w:rsid w:val="00451871"/>
    <w:rsid w:val="00472923"/>
    <w:rsid w:val="004E3066"/>
    <w:rsid w:val="004E74CD"/>
    <w:rsid w:val="00573562"/>
    <w:rsid w:val="005921C8"/>
    <w:rsid w:val="0059699D"/>
    <w:rsid w:val="005C65A9"/>
    <w:rsid w:val="005D4325"/>
    <w:rsid w:val="00614A29"/>
    <w:rsid w:val="006374FD"/>
    <w:rsid w:val="006C4143"/>
    <w:rsid w:val="006F581B"/>
    <w:rsid w:val="00746DFD"/>
    <w:rsid w:val="0075393C"/>
    <w:rsid w:val="00776C08"/>
    <w:rsid w:val="007B4EE0"/>
    <w:rsid w:val="007D2F8C"/>
    <w:rsid w:val="007E1DA8"/>
    <w:rsid w:val="007F6C26"/>
    <w:rsid w:val="008334AE"/>
    <w:rsid w:val="00836FED"/>
    <w:rsid w:val="00845CD2"/>
    <w:rsid w:val="008502D8"/>
    <w:rsid w:val="00852B0D"/>
    <w:rsid w:val="00881692"/>
    <w:rsid w:val="008B3CC5"/>
    <w:rsid w:val="008C2BAF"/>
    <w:rsid w:val="008E1380"/>
    <w:rsid w:val="008E4261"/>
    <w:rsid w:val="008F4662"/>
    <w:rsid w:val="00905D08"/>
    <w:rsid w:val="00925753"/>
    <w:rsid w:val="009412A7"/>
    <w:rsid w:val="00966C5C"/>
    <w:rsid w:val="00973104"/>
    <w:rsid w:val="009B0FA9"/>
    <w:rsid w:val="00A52028"/>
    <w:rsid w:val="00A72D2E"/>
    <w:rsid w:val="00A911E7"/>
    <w:rsid w:val="00A939D9"/>
    <w:rsid w:val="00B11477"/>
    <w:rsid w:val="00B1716D"/>
    <w:rsid w:val="00B20712"/>
    <w:rsid w:val="00B3078D"/>
    <w:rsid w:val="00B43238"/>
    <w:rsid w:val="00B75216"/>
    <w:rsid w:val="00B91D52"/>
    <w:rsid w:val="00BA1ACD"/>
    <w:rsid w:val="00CA7176"/>
    <w:rsid w:val="00CD2773"/>
    <w:rsid w:val="00CE143B"/>
    <w:rsid w:val="00D267F1"/>
    <w:rsid w:val="00D6760C"/>
    <w:rsid w:val="00DA2538"/>
    <w:rsid w:val="00E167C7"/>
    <w:rsid w:val="00E93ADA"/>
    <w:rsid w:val="00EC47F6"/>
    <w:rsid w:val="00EE1B43"/>
    <w:rsid w:val="00F153EF"/>
    <w:rsid w:val="00F66032"/>
    <w:rsid w:val="00F958C2"/>
    <w:rsid w:val="00FA4936"/>
    <w:rsid w:val="00FC5B29"/>
    <w:rsid w:val="052E7527"/>
    <w:rsid w:val="0E421263"/>
    <w:rsid w:val="12081A42"/>
    <w:rsid w:val="1D2C0731"/>
    <w:rsid w:val="1DD04E66"/>
    <w:rsid w:val="2AB7182C"/>
    <w:rsid w:val="2FA704BB"/>
    <w:rsid w:val="30231384"/>
    <w:rsid w:val="33292942"/>
    <w:rsid w:val="42782C98"/>
    <w:rsid w:val="43D37FB6"/>
    <w:rsid w:val="493A3D31"/>
    <w:rsid w:val="54E41B26"/>
    <w:rsid w:val="552943E7"/>
    <w:rsid w:val="5906509B"/>
    <w:rsid w:val="59C55E58"/>
    <w:rsid w:val="640E68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4">
    <w:name w:val="toc 1"/>
    <w:basedOn w:val="1"/>
    <w:next w:val="1"/>
    <w:qFormat/>
    <w:uiPriority w:val="0"/>
    <w:rPr>
      <w:rFonts w:ascii="Times New Roman" w:hAnsi="Times New Roman" w:eastAsia="宋体" w:cs="Times New Roman"/>
      <w:szCs w:val="24"/>
    </w:rPr>
  </w:style>
  <w:style w:type="paragraph" w:styleId="5">
    <w:name w:val="toc 2"/>
    <w:basedOn w:val="1"/>
    <w:next w:val="1"/>
    <w:qFormat/>
    <w:uiPriority w:val="0"/>
    <w:pPr>
      <w:ind w:left="420" w:leftChars="200"/>
    </w:pPr>
    <w:rPr>
      <w:rFonts w:ascii="Times New Roman" w:hAnsi="Times New Roman" w:eastAsia="宋体" w:cs="Times New Roman"/>
      <w:szCs w:val="24"/>
    </w:rPr>
  </w:style>
  <w:style w:type="paragraph" w:styleId="6">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customStyle="1" w:styleId="9">
    <w:name w:val="页眉 Char"/>
    <w:basedOn w:val="8"/>
    <w:link w:val="3"/>
    <w:qFormat/>
    <w:uiPriority w:val="0"/>
    <w:rPr>
      <w:rFonts w:ascii="Times New Roman" w:hAnsi="Times New Roman" w:eastAsia="宋体" w:cs="Times New Roman"/>
      <w:sz w:val="18"/>
      <w:szCs w:val="18"/>
    </w:rPr>
  </w:style>
  <w:style w:type="character" w:customStyle="1" w:styleId="10">
    <w:name w:val="页脚 Char"/>
    <w:basedOn w:val="8"/>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BCF092-5A57-45FB-97AE-584F8F1EA4CB}">
  <ds:schemaRefs/>
</ds:datastoreItem>
</file>

<file path=docProps/app.xml><?xml version="1.0" encoding="utf-8"?>
<Properties xmlns="http://schemas.openxmlformats.org/officeDocument/2006/extended-properties" xmlns:vt="http://schemas.openxmlformats.org/officeDocument/2006/docPropsVTypes">
  <Template>Normal</Template>
  <Pages>24</Pages>
  <Words>6106</Words>
  <Characters>6677</Characters>
  <Lines>63</Lines>
  <Paragraphs>17</Paragraphs>
  <TotalTime>2</TotalTime>
  <ScaleCrop>false</ScaleCrop>
  <LinksUpToDate>false</LinksUpToDate>
  <CharactersWithSpaces>6701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2017-04-27T08:08:00Z</dcterms:created>
  <dc:creator>guest</dc:creator>
  <cp:lastModifiedBy>BianL</cp:lastModifiedBy>
  <dcterms:modified xsi:type="dcterms:W3CDTF">2017-10-29T08:05:14Z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eyJoZGlkIjoiZmY5NWQxY2YwYjNiOWFiZTFhMWQ1YWJmNzAxNWU0MmEifQ==</vt:lpwstr>
  </property>
  <property fmtid="{D5CDD505-2E9C-101B-9397-08002B2CF9AE}" pid="4" name="ICV">
    <vt:lpwstr>A02A71C0F17742868179EF6240DA62C2_12</vt:lpwstr>
  </property>
</Properties>
</file>