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230A2F">
      <w:pPr>
        <w:spacing w:line="584" w:lineRule="exact"/>
        <w:ind w:firstLine="880" w:firstLineChars="200"/>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廊坊市</w:t>
      </w:r>
      <w:r>
        <w:rPr>
          <w:rFonts w:hint="eastAsia" w:ascii="Times New Roman" w:hAnsi="Times New Roman" w:eastAsia="方正小标宋简体" w:cs="Times New Roman"/>
          <w:sz w:val="44"/>
          <w:szCs w:val="44"/>
        </w:rPr>
        <w:t>工商业联合会</w:t>
      </w:r>
      <w:r>
        <w:rPr>
          <w:rFonts w:ascii="Times New Roman" w:hAnsi="Times New Roman" w:eastAsia="方正小标宋简体" w:cs="Times New Roman"/>
          <w:sz w:val="44"/>
          <w:szCs w:val="44"/>
        </w:rPr>
        <w:t>2019年部门预算信息公开</w:t>
      </w:r>
      <w:r>
        <w:rPr>
          <w:rFonts w:hint="eastAsia" w:ascii="Times New Roman" w:hAnsi="Times New Roman" w:eastAsia="方正小标宋简体" w:cs="Times New Roman"/>
          <w:sz w:val="44"/>
          <w:szCs w:val="44"/>
        </w:rPr>
        <w:t>情况说明</w:t>
      </w:r>
    </w:p>
    <w:p w14:paraId="388671F2">
      <w:pPr>
        <w:spacing w:line="584" w:lineRule="exact"/>
        <w:ind w:firstLine="880" w:firstLineChars="200"/>
        <w:jc w:val="center"/>
        <w:rPr>
          <w:rFonts w:ascii="Times New Roman" w:hAnsi="Times New Roman" w:eastAsia="仿宋_GB2312" w:cs="Times New Roman"/>
          <w:sz w:val="44"/>
          <w:szCs w:val="44"/>
        </w:rPr>
      </w:pPr>
    </w:p>
    <w:p w14:paraId="5B4329E3">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按照《预算法》、《地方预决算公开操作规程》和《河北省市级预算公开办法》规定，现将廊坊市</w:t>
      </w:r>
      <w:r>
        <w:rPr>
          <w:rFonts w:hint="eastAsia" w:ascii="Times New Roman" w:hAnsi="Times New Roman" w:eastAsia="仿宋_GB2312" w:cs="Times New Roman"/>
          <w:sz w:val="32"/>
          <w:szCs w:val="32"/>
        </w:rPr>
        <w:t>工商业联合会</w:t>
      </w:r>
      <w:r>
        <w:rPr>
          <w:rFonts w:ascii="Times New Roman" w:hAnsi="Times New Roman" w:eastAsia="仿宋_GB2312" w:cs="Times New Roman"/>
          <w:sz w:val="32"/>
          <w:szCs w:val="32"/>
        </w:rPr>
        <w:t>2019年部门预算公开如下：</w:t>
      </w:r>
    </w:p>
    <w:p w14:paraId="2F9BFC24">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一、部门职责及机构设置情况</w:t>
      </w:r>
    </w:p>
    <w:p w14:paraId="4E3AE903">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部门职责：</w:t>
      </w:r>
    </w:p>
    <w:p w14:paraId="57130AE0">
      <w:pPr>
        <w:spacing w:line="584" w:lineRule="exact"/>
        <w:ind w:firstLine="66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1、参与地方政治、经济和社会生活重大决策的政治协商，发挥民主监督的作用；</w:t>
      </w:r>
    </w:p>
    <w:p w14:paraId="3DA4727B">
      <w:pPr>
        <w:spacing w:line="584" w:lineRule="exact"/>
        <w:ind w:firstLine="66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2、对广大会员进行团结、教育、引导、服务，帮助会员企业</w:t>
      </w:r>
    </w:p>
    <w:p w14:paraId="23510460">
      <w:pPr>
        <w:spacing w:line="584" w:lineRule="exact"/>
        <w:ind w:firstLine="66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发展经济，促进非公有制经济健康发展；</w:t>
      </w:r>
    </w:p>
    <w:p w14:paraId="39D54FCB">
      <w:pPr>
        <w:spacing w:line="584" w:lineRule="exact"/>
        <w:ind w:firstLine="66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3、开展非公有制经济代  表人士思想政治工作，考察、培养、</w:t>
      </w:r>
    </w:p>
    <w:p w14:paraId="75D9A1CC">
      <w:pPr>
        <w:spacing w:line="584" w:lineRule="exact"/>
        <w:ind w:firstLine="66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选拔优秀的非公有制经济代表人士，为工商界代表人士的政治安排做好推荐工作；</w:t>
      </w:r>
    </w:p>
    <w:p w14:paraId="4FAFF50D">
      <w:pPr>
        <w:spacing w:line="584" w:lineRule="exact"/>
        <w:ind w:firstLine="66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4、推进与各地区工商联、港澳台地区和各国工商团体的联系，</w:t>
      </w:r>
    </w:p>
    <w:p w14:paraId="40A942CD">
      <w:pPr>
        <w:spacing w:line="584" w:lineRule="exact"/>
        <w:ind w:firstLine="66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促进开展经济、技术和贸易合作，协助引进资金、技术和人才；</w:t>
      </w:r>
    </w:p>
    <w:p w14:paraId="04FF6554">
      <w:pPr>
        <w:spacing w:line="584" w:lineRule="exact"/>
        <w:ind w:firstLine="66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5、为会员提供信息和科技、法律、融资、招商、考察等服务；</w:t>
      </w:r>
    </w:p>
    <w:p w14:paraId="5440C152">
      <w:pPr>
        <w:spacing w:line="584" w:lineRule="exact"/>
        <w:ind w:firstLine="66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6、代表并维护会员的合法权益，反映会员的意见、要求和建议，协调会员与社会各界的关系；</w:t>
      </w:r>
    </w:p>
    <w:p w14:paraId="784C1242">
      <w:pPr>
        <w:spacing w:line="584" w:lineRule="exact"/>
        <w:ind w:firstLine="66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7、深入调查研究，反映社情民意，积极建言献策，向政府和有关部门反映会员的意见、要求和建议；</w:t>
      </w:r>
    </w:p>
    <w:p w14:paraId="7A16BE03">
      <w:pPr>
        <w:spacing w:line="584" w:lineRule="exact"/>
        <w:ind w:firstLine="66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8、对全市非公经济人士开展培训，全面提高廊坊民营企业家的市场经济驾驭能力和企业管理水平；</w:t>
      </w:r>
    </w:p>
    <w:p w14:paraId="74FDA540">
      <w:pPr>
        <w:spacing w:line="584" w:lineRule="exact"/>
        <w:ind w:firstLine="66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9、承办政府和有关部门委托的事项。</w:t>
      </w:r>
    </w:p>
    <w:p w14:paraId="5C681211">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r>
        <w:rPr>
          <w:rFonts w:hint="eastAsia" w:ascii="Times New Roman" w:hAnsi="Times New Roman" w:eastAsia="楷体_GB2312" w:cs="Times New Roman"/>
          <w:b/>
          <w:sz w:val="32"/>
          <w:szCs w:val="32"/>
        </w:rPr>
        <w:t xml:space="preserve"> </w:t>
      </w:r>
    </w:p>
    <w:p w14:paraId="5C15E070">
      <w:pPr>
        <w:spacing w:line="584" w:lineRule="exact"/>
        <w:jc w:val="center"/>
        <w:outlineLvl w:val="0"/>
        <w:rPr>
          <w:rFonts w:ascii="Times New Roman" w:hAnsi="Times New Roman" w:eastAsia="仿宋_GB2312" w:cs="Times New Roman"/>
          <w:b/>
          <w:sz w:val="32"/>
          <w:szCs w:val="24"/>
        </w:rPr>
      </w:pPr>
      <w:r>
        <w:rPr>
          <w:rFonts w:ascii="Times New Roman" w:hAnsi="Times New Roman" w:eastAsia="仿宋_GB2312" w:cs="Times New Roman"/>
          <w:b/>
          <w:sz w:val="32"/>
          <w:szCs w:val="24"/>
        </w:rPr>
        <w:t>部门机构设置情况</w:t>
      </w:r>
    </w:p>
    <w:tbl>
      <w:tblPr>
        <w:tblStyle w:val="8"/>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443"/>
        <w:gridCol w:w="1134"/>
        <w:gridCol w:w="1276"/>
        <w:gridCol w:w="2902"/>
      </w:tblGrid>
      <w:tr w14:paraId="681A49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restart"/>
            <w:shd w:val="clear" w:color="auto" w:fill="auto"/>
            <w:vAlign w:val="center"/>
          </w:tcPr>
          <w:p w14:paraId="7811B89F">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134" w:type="dxa"/>
            <w:vMerge w:val="restart"/>
            <w:shd w:val="clear" w:color="auto" w:fill="auto"/>
            <w:vAlign w:val="center"/>
          </w:tcPr>
          <w:p w14:paraId="3923A0E7">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276" w:type="dxa"/>
            <w:vMerge w:val="restart"/>
            <w:shd w:val="clear" w:color="auto" w:fill="auto"/>
            <w:vAlign w:val="center"/>
          </w:tcPr>
          <w:p w14:paraId="3F7E7B2F">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2902" w:type="dxa"/>
            <w:vMerge w:val="restart"/>
            <w:shd w:val="clear" w:color="auto" w:fill="auto"/>
            <w:vAlign w:val="center"/>
          </w:tcPr>
          <w:p w14:paraId="673D957D">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14:paraId="14A7E3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4443" w:type="dxa"/>
            <w:vMerge w:val="continue"/>
            <w:shd w:val="clear" w:color="auto" w:fill="auto"/>
            <w:vAlign w:val="center"/>
          </w:tcPr>
          <w:p w14:paraId="5A6934D2">
            <w:pPr>
              <w:spacing w:line="584" w:lineRule="exact"/>
              <w:jc w:val="left"/>
              <w:outlineLvl w:val="0"/>
              <w:rPr>
                <w:rFonts w:ascii="Times New Roman" w:hAnsi="Times New Roman" w:eastAsia="仿宋_GB2312" w:cs="Times New Roman"/>
                <w:szCs w:val="24"/>
              </w:rPr>
            </w:pPr>
          </w:p>
        </w:tc>
        <w:tc>
          <w:tcPr>
            <w:tcW w:w="1134" w:type="dxa"/>
            <w:vMerge w:val="continue"/>
            <w:shd w:val="clear" w:color="auto" w:fill="auto"/>
            <w:vAlign w:val="center"/>
          </w:tcPr>
          <w:p w14:paraId="584D4151">
            <w:pPr>
              <w:spacing w:line="584" w:lineRule="exact"/>
              <w:jc w:val="left"/>
              <w:outlineLvl w:val="0"/>
              <w:rPr>
                <w:rFonts w:ascii="Times New Roman" w:hAnsi="Times New Roman" w:eastAsia="仿宋_GB2312" w:cs="Times New Roman"/>
                <w:szCs w:val="24"/>
              </w:rPr>
            </w:pPr>
          </w:p>
        </w:tc>
        <w:tc>
          <w:tcPr>
            <w:tcW w:w="1276" w:type="dxa"/>
            <w:vMerge w:val="continue"/>
            <w:shd w:val="clear" w:color="auto" w:fill="auto"/>
            <w:vAlign w:val="center"/>
          </w:tcPr>
          <w:p w14:paraId="67FBDB7F">
            <w:pPr>
              <w:spacing w:line="584" w:lineRule="exact"/>
              <w:jc w:val="left"/>
              <w:outlineLvl w:val="0"/>
              <w:rPr>
                <w:rFonts w:ascii="Times New Roman" w:hAnsi="Times New Roman" w:eastAsia="仿宋_GB2312" w:cs="Times New Roman"/>
                <w:szCs w:val="24"/>
              </w:rPr>
            </w:pPr>
          </w:p>
        </w:tc>
        <w:tc>
          <w:tcPr>
            <w:tcW w:w="2902" w:type="dxa"/>
            <w:vMerge w:val="continue"/>
            <w:shd w:val="clear" w:color="auto" w:fill="auto"/>
            <w:vAlign w:val="center"/>
          </w:tcPr>
          <w:p w14:paraId="27B8648D">
            <w:pPr>
              <w:spacing w:line="584" w:lineRule="exact"/>
              <w:jc w:val="left"/>
              <w:outlineLvl w:val="0"/>
              <w:rPr>
                <w:rFonts w:ascii="Times New Roman" w:hAnsi="Times New Roman" w:eastAsia="仿宋_GB2312" w:cs="Times New Roman"/>
                <w:szCs w:val="24"/>
              </w:rPr>
            </w:pPr>
          </w:p>
        </w:tc>
      </w:tr>
      <w:tr w14:paraId="681700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4443" w:type="dxa"/>
            <w:shd w:val="clear" w:color="auto" w:fill="auto"/>
            <w:vAlign w:val="center"/>
          </w:tcPr>
          <w:p w14:paraId="2A8FD4FA">
            <w:pPr>
              <w:spacing w:line="300" w:lineRule="exact"/>
              <w:jc w:val="left"/>
              <w:rPr>
                <w:rFonts w:ascii="仿宋" w:hAnsi="仿宋" w:eastAsia="仿宋"/>
                <w:szCs w:val="21"/>
              </w:rPr>
            </w:pPr>
            <w:r>
              <w:rPr>
                <w:rFonts w:hint="eastAsia" w:ascii="仿宋" w:hAnsi="仿宋" w:eastAsia="仿宋"/>
                <w:szCs w:val="21"/>
              </w:rPr>
              <w:t>廊坊市工商业联合会</w:t>
            </w:r>
          </w:p>
        </w:tc>
        <w:tc>
          <w:tcPr>
            <w:tcW w:w="1134" w:type="dxa"/>
            <w:shd w:val="clear" w:color="auto" w:fill="auto"/>
            <w:vAlign w:val="center"/>
          </w:tcPr>
          <w:p w14:paraId="725BAAFA">
            <w:pPr>
              <w:spacing w:line="300" w:lineRule="exact"/>
              <w:jc w:val="left"/>
              <w:rPr>
                <w:rFonts w:ascii="仿宋" w:hAnsi="仿宋" w:eastAsia="仿宋"/>
                <w:szCs w:val="21"/>
              </w:rPr>
            </w:pPr>
            <w:r>
              <w:rPr>
                <w:rFonts w:hint="eastAsia" w:ascii="仿宋" w:hAnsi="仿宋" w:eastAsia="仿宋"/>
                <w:szCs w:val="21"/>
              </w:rPr>
              <w:t>全额事业</w:t>
            </w:r>
          </w:p>
        </w:tc>
        <w:tc>
          <w:tcPr>
            <w:tcW w:w="1276" w:type="dxa"/>
            <w:shd w:val="clear" w:color="auto" w:fill="auto"/>
            <w:vAlign w:val="center"/>
          </w:tcPr>
          <w:p w14:paraId="06B3FDBA">
            <w:pPr>
              <w:spacing w:line="300" w:lineRule="exact"/>
              <w:jc w:val="left"/>
              <w:rPr>
                <w:rFonts w:ascii="仿宋" w:hAnsi="仿宋" w:eastAsia="仿宋"/>
                <w:szCs w:val="21"/>
              </w:rPr>
            </w:pPr>
            <w:r>
              <w:rPr>
                <w:rFonts w:hint="eastAsia" w:ascii="仿宋" w:hAnsi="仿宋" w:eastAsia="仿宋"/>
                <w:szCs w:val="21"/>
              </w:rPr>
              <w:t>正处级</w:t>
            </w:r>
          </w:p>
        </w:tc>
        <w:tc>
          <w:tcPr>
            <w:tcW w:w="2902" w:type="dxa"/>
            <w:shd w:val="clear" w:color="auto" w:fill="auto"/>
            <w:vAlign w:val="center"/>
          </w:tcPr>
          <w:p w14:paraId="7B69F9B6">
            <w:pPr>
              <w:spacing w:line="300" w:lineRule="exact"/>
              <w:jc w:val="left"/>
              <w:rPr>
                <w:rFonts w:ascii="仿宋" w:hAnsi="仿宋" w:eastAsia="仿宋"/>
                <w:szCs w:val="21"/>
              </w:rPr>
            </w:pPr>
            <w:r>
              <w:rPr>
                <w:rFonts w:hint="eastAsia" w:ascii="仿宋" w:hAnsi="仿宋" w:eastAsia="仿宋"/>
                <w:szCs w:val="21"/>
              </w:rPr>
              <w:t>财政性资金基本保证</w:t>
            </w:r>
          </w:p>
        </w:tc>
      </w:tr>
    </w:tbl>
    <w:p w14:paraId="638BA128">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二、部门预算安排的总体情况</w:t>
      </w:r>
    </w:p>
    <w:p w14:paraId="596C4BC6">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按照预算管理有关规定，目前我市部门预算的编制实行综合预算制度，即全部收入和支出都反映在预算中。廊坊市</w:t>
      </w:r>
      <w:r>
        <w:rPr>
          <w:rFonts w:hint="eastAsia" w:ascii="Times New Roman" w:hAnsi="Times New Roman" w:eastAsia="仿宋_GB2312" w:cs="Times New Roman"/>
          <w:sz w:val="32"/>
          <w:szCs w:val="32"/>
        </w:rPr>
        <w:t>工商业联合会机关</w:t>
      </w:r>
      <w:r>
        <w:rPr>
          <w:rFonts w:ascii="Times New Roman" w:hAnsi="Times New Roman" w:eastAsia="仿宋_GB2312" w:cs="Times New Roman"/>
          <w:sz w:val="32"/>
          <w:szCs w:val="32"/>
        </w:rPr>
        <w:t>及所属事业单位的收支包含在部门预算中。</w:t>
      </w:r>
    </w:p>
    <w:p w14:paraId="364262BA">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14:paraId="7621D6B0">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反映本部门当年全部收入。201</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年预算收入405.40万元，其中：一般公共预算收入405.40万元，基金预算收入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w:t>
      </w:r>
    </w:p>
    <w:p w14:paraId="49B75211">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14:paraId="5E2C3A55">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收支预算总表支出栏、基本支出表、项目支出表按经济分类和支出功能分类科目编制，反映廊坊市</w:t>
      </w:r>
      <w:r>
        <w:rPr>
          <w:rFonts w:hint="eastAsia" w:ascii="Times New Roman" w:hAnsi="Times New Roman" w:eastAsia="仿宋_GB2312" w:cs="Times New Roman"/>
          <w:sz w:val="32"/>
          <w:szCs w:val="32"/>
        </w:rPr>
        <w:t>工商业联合会</w:t>
      </w:r>
      <w:r>
        <w:rPr>
          <w:rFonts w:ascii="Times New Roman" w:hAnsi="Times New Roman" w:eastAsia="仿宋_GB2312" w:cs="Times New Roman"/>
          <w:sz w:val="32"/>
          <w:szCs w:val="32"/>
        </w:rPr>
        <w:t>年度部门预算中支出预算的总体情况。201</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年支出预算405.40万元，其中基本支出286.4</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万元，包括人员经费254.63万元和日常公用经费31.82万元；项目支出118.95万元，包括本级支出118.95万元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 xml:space="preserve"> </w:t>
      </w:r>
    </w:p>
    <w:p w14:paraId="2903BAC6">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3、比上年增减情况</w:t>
      </w:r>
    </w:p>
    <w:p w14:paraId="37BBBEE9">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201</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年预算收支安排405.40万元，较201</w:t>
      </w:r>
      <w:r>
        <w:rPr>
          <w:rFonts w:hint="eastAsia" w:ascii="Times New Roman" w:hAnsi="Times New Roman" w:eastAsia="仿宋_GB2312" w:cs="Times New Roman"/>
          <w:sz w:val="32"/>
          <w:szCs w:val="32"/>
        </w:rPr>
        <w:t>8</w:t>
      </w:r>
      <w:r>
        <w:rPr>
          <w:rFonts w:ascii="Times New Roman" w:hAnsi="Times New Roman" w:eastAsia="仿宋_GB2312" w:cs="Times New Roman"/>
          <w:sz w:val="32"/>
          <w:szCs w:val="32"/>
        </w:rPr>
        <w:t>年预算增加</w:t>
      </w:r>
      <w:r>
        <w:rPr>
          <w:rFonts w:hint="eastAsia" w:ascii="Times New Roman" w:hAnsi="Times New Roman" w:eastAsia="仿宋_GB2312" w:cs="Times New Roman"/>
          <w:sz w:val="32"/>
          <w:szCs w:val="32"/>
        </w:rPr>
        <w:t>68.34</w:t>
      </w:r>
      <w:r>
        <w:rPr>
          <w:rFonts w:ascii="Times New Roman" w:hAnsi="Times New Roman" w:eastAsia="仿宋_GB2312" w:cs="Times New Roman"/>
          <w:sz w:val="32"/>
          <w:szCs w:val="32"/>
        </w:rPr>
        <w:t>万元，其中：基本支出增加</w:t>
      </w:r>
      <w:r>
        <w:rPr>
          <w:rFonts w:hint="eastAsia" w:ascii="Times New Roman" w:hAnsi="Times New Roman" w:eastAsia="仿宋_GB2312" w:cs="Times New Roman"/>
          <w:sz w:val="32"/>
          <w:szCs w:val="32"/>
        </w:rPr>
        <w:t>45.89</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人员经费</w:t>
      </w:r>
      <w:r>
        <w:rPr>
          <w:rFonts w:ascii="Times New Roman" w:hAnsi="Times New Roman" w:eastAsia="仿宋_GB2312" w:cs="Times New Roman"/>
          <w:sz w:val="32"/>
          <w:szCs w:val="32"/>
        </w:rPr>
        <w:t>支出；项目支出增加</w:t>
      </w:r>
      <w:r>
        <w:rPr>
          <w:rFonts w:hint="eastAsia" w:ascii="Times New Roman" w:hAnsi="Times New Roman" w:eastAsia="仿宋_GB2312" w:cs="Times New Roman"/>
          <w:sz w:val="32"/>
          <w:szCs w:val="32"/>
        </w:rPr>
        <w:t>22.45</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非公经济人士培训经费、工商联直属协会党委活动经费</w:t>
      </w:r>
      <w:r>
        <w:rPr>
          <w:rFonts w:ascii="Times New Roman" w:hAnsi="Times New Roman" w:eastAsia="仿宋_GB2312" w:cs="Times New Roman"/>
          <w:sz w:val="32"/>
          <w:szCs w:val="32"/>
        </w:rPr>
        <w:t>项目支出。</w:t>
      </w:r>
    </w:p>
    <w:p w14:paraId="0FDF82B3">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三、机关运行经费安排情况</w:t>
      </w:r>
    </w:p>
    <w:p w14:paraId="77BF9FE8">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201</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rPr>
        <w:t>部门</w:t>
      </w:r>
      <w:r>
        <w:rPr>
          <w:rFonts w:ascii="Times New Roman" w:hAnsi="Times New Roman" w:eastAsia="仿宋_GB2312" w:cs="Times New Roman"/>
          <w:sz w:val="32"/>
          <w:szCs w:val="32"/>
        </w:rPr>
        <w:t>机关运行经费共计安排31.82万元，</w:t>
      </w:r>
      <w:r>
        <w:rPr>
          <w:rFonts w:hint="eastAsia" w:ascii="Times New Roman" w:hAnsi="Times New Roman" w:eastAsia="仿宋_GB2312" w:cs="Times New Roman"/>
          <w:sz w:val="32"/>
          <w:szCs w:val="32"/>
        </w:rPr>
        <w:t>廊坊市工商业联合会办公区的日常维修、办公用房水电费、办公用房取暖费、办公用房物业管理费等日常运行支出。</w:t>
      </w:r>
    </w:p>
    <w:p w14:paraId="5DB18588">
      <w:pPr>
        <w:autoSpaceDE w:val="0"/>
        <w:autoSpaceDN w:val="0"/>
        <w:adjustRightInd w:val="0"/>
        <w:spacing w:line="584" w:lineRule="exact"/>
        <w:ind w:firstLine="630" w:firstLineChars="196"/>
        <w:jc w:val="left"/>
        <w:rPr>
          <w:rFonts w:ascii="Times New Roman" w:hAnsi="Times New Roman" w:eastAsia="仿宋_GB2312" w:cs="Times New Roman"/>
          <w:b/>
          <w:sz w:val="32"/>
          <w:szCs w:val="32"/>
        </w:rPr>
      </w:pPr>
      <w:r>
        <w:rPr>
          <w:rFonts w:ascii="Times New Roman" w:hAnsi="Times New Roman" w:eastAsia="仿宋_GB2312" w:cs="Times New Roman"/>
          <w:b/>
          <w:sz w:val="32"/>
          <w:szCs w:val="32"/>
        </w:rPr>
        <w:t>四、财政拨款“三公”经费预算情况及增减变化原因</w:t>
      </w:r>
    </w:p>
    <w:p w14:paraId="05CAA999">
      <w:pPr>
        <w:spacing w:line="584" w:lineRule="exact"/>
        <w:ind w:firstLine="640" w:firstLineChars="200"/>
        <w:rPr>
          <w:rFonts w:ascii="Times New Roman" w:hAnsi="Times New Roman" w:eastAsia="仿宋_GB2312" w:cs="Times New Roman"/>
          <w:color w:val="FF0000"/>
          <w:sz w:val="32"/>
          <w:szCs w:val="32"/>
        </w:rPr>
      </w:pPr>
      <w:r>
        <w:rPr>
          <w:rFonts w:ascii="Times New Roman" w:hAnsi="Times New Roman" w:eastAsia="仿宋_GB2312" w:cs="Times New Roman"/>
          <w:sz w:val="32"/>
          <w:szCs w:val="32"/>
        </w:rPr>
        <w:t>201</w:t>
      </w:r>
      <w:r>
        <w:rPr>
          <w:rFonts w:hint="eastAsia" w:ascii="Times New Roman" w:hAnsi="Times New Roman" w:eastAsia="仿宋_GB2312" w:cs="Times New Roman"/>
          <w:sz w:val="32"/>
          <w:szCs w:val="32"/>
        </w:rPr>
        <w:t>9</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rPr>
        <w:t>部门</w:t>
      </w:r>
      <w:r>
        <w:rPr>
          <w:rFonts w:ascii="Times New Roman" w:hAnsi="Times New Roman" w:eastAsia="仿宋_GB2312" w:cs="Times New Roman"/>
          <w:sz w:val="32"/>
          <w:szCs w:val="32"/>
        </w:rPr>
        <w:t>财政拨款“三公”经费预算安排3.4</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万元；公务用车购置及运维费3.4</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万元，公务用车运维费3.4</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万元。与201</w:t>
      </w:r>
      <w:r>
        <w:rPr>
          <w:rFonts w:hint="eastAsia" w:ascii="Times New Roman" w:hAnsi="Times New Roman" w:eastAsia="仿宋_GB2312" w:cs="Times New Roman"/>
          <w:sz w:val="32"/>
          <w:szCs w:val="32"/>
        </w:rPr>
        <w:t>8</w:t>
      </w:r>
      <w:r>
        <w:rPr>
          <w:rFonts w:ascii="Times New Roman" w:hAnsi="Times New Roman" w:eastAsia="仿宋_GB2312" w:cs="Times New Roman"/>
          <w:sz w:val="32"/>
          <w:szCs w:val="32"/>
        </w:rPr>
        <w:t>年相比持平，无增减变化。</w:t>
      </w:r>
    </w:p>
    <w:p w14:paraId="4AA80EE7">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五、绩效预算信息</w:t>
      </w:r>
    </w:p>
    <w:p w14:paraId="214462FB">
      <w:pPr>
        <w:spacing w:line="584" w:lineRule="exact"/>
        <w:ind w:firstLine="643" w:firstLineChars="200"/>
        <w:jc w:val="left"/>
        <w:rPr>
          <w:rFonts w:ascii="Times New Roman" w:hAnsi="Times New Roman" w:eastAsia="楷体_GB2312" w:cs="Times New Roman"/>
          <w:b/>
          <w:sz w:val="32"/>
          <w:szCs w:val="32"/>
        </w:rPr>
      </w:pPr>
      <w:bookmarkStart w:id="0" w:name="_Toc471398463"/>
      <w:r>
        <w:rPr>
          <w:rFonts w:ascii="Times New Roman" w:hAnsi="Times New Roman" w:eastAsia="楷体_GB2312" w:cs="Times New Roman"/>
          <w:b/>
          <w:sz w:val="32"/>
          <w:szCs w:val="32"/>
        </w:rPr>
        <w:t>总体绩效目标：</w:t>
      </w:r>
    </w:p>
    <w:p w14:paraId="2FCE12A2">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 xml:space="preserve">  (一)、进一步深入学习贯彻党的十九大精神，筑牢思想政治基础</w:t>
      </w:r>
    </w:p>
    <w:p w14:paraId="5C6FE908">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工商联是中国共产党领导的政治组织、统战组织，必须旗帜鲜明讲政治。坚持政治建会，把深入学习宣传贯彻党的十九大精神和习近平新时代中国特色社会主义思想，作为2019年全年工作的主线和一项重要政治任务，为新时代工商联事业发展奠定坚实的政治基础和思想基础。</w:t>
      </w:r>
    </w:p>
    <w:p w14:paraId="56C8C1FC">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牢固树立“四个意识”，用习近平新时代中国特色社会主义思想武装头脑、指导实践、推动工作。一是加强理想信念教育。持续开展面向工商联干部和广大民营企业家的学习活动和主题教育活动，深入学习领会</w:t>
      </w:r>
      <w:r>
        <w:rPr>
          <w:rFonts w:hint="eastAsia" w:ascii="Times New Roman" w:hAnsi="Times New Roman" w:eastAsia="楷体_GB2312" w:cs="Times New Roman"/>
          <w:b/>
          <w:sz w:val="32"/>
          <w:szCs w:val="32"/>
          <w:lang w:val="en-US" w:eastAsia="zh-CN"/>
        </w:rPr>
        <w:t>党的</w:t>
      </w:r>
      <w:r>
        <w:rPr>
          <w:rFonts w:hint="eastAsia" w:ascii="Times New Roman" w:hAnsi="Times New Roman" w:eastAsia="楷体_GB2312" w:cs="Times New Roman"/>
          <w:b/>
          <w:sz w:val="32"/>
          <w:szCs w:val="32"/>
        </w:rPr>
        <w:t>十九大提出的一系列重要思想、重要观点、重大判断、重大举措，深刻理解</w:t>
      </w:r>
      <w:r>
        <w:rPr>
          <w:rFonts w:hint="eastAsia" w:ascii="Times New Roman" w:hAnsi="Times New Roman" w:eastAsia="楷体_GB2312" w:cs="Times New Roman"/>
          <w:b/>
          <w:sz w:val="32"/>
          <w:szCs w:val="32"/>
          <w:lang w:val="en-US" w:eastAsia="zh-CN"/>
        </w:rPr>
        <w:t>党的</w:t>
      </w:r>
      <w:bookmarkStart w:id="4" w:name="_GoBack"/>
      <w:r>
        <w:rPr>
          <w:rFonts w:hint="eastAsia" w:ascii="Times New Roman" w:hAnsi="Times New Roman" w:eastAsia="楷体_GB2312" w:cs="Times New Roman"/>
          <w:b/>
          <w:sz w:val="32"/>
          <w:szCs w:val="32"/>
        </w:rPr>
        <w:t>十九大精神的深刻内涵和</w:t>
      </w:r>
      <w:bookmarkEnd w:id="4"/>
      <w:r>
        <w:rPr>
          <w:rFonts w:hint="eastAsia" w:ascii="Times New Roman" w:hAnsi="Times New Roman" w:eastAsia="楷体_GB2312" w:cs="Times New Roman"/>
          <w:b/>
          <w:sz w:val="32"/>
          <w:szCs w:val="32"/>
        </w:rPr>
        <w:t>实践要求，把</w:t>
      </w:r>
      <w:r>
        <w:rPr>
          <w:rFonts w:hint="eastAsia" w:ascii="Times New Roman" w:hAnsi="Times New Roman" w:eastAsia="楷体_GB2312" w:cs="Times New Roman"/>
          <w:b/>
          <w:sz w:val="32"/>
          <w:szCs w:val="32"/>
          <w:lang w:val="en-US" w:eastAsia="zh-CN"/>
        </w:rPr>
        <w:t>党的</w:t>
      </w:r>
      <w:r>
        <w:rPr>
          <w:rFonts w:hint="eastAsia" w:ascii="Times New Roman" w:hAnsi="Times New Roman" w:eastAsia="楷体_GB2312" w:cs="Times New Roman"/>
          <w:b/>
          <w:sz w:val="32"/>
          <w:szCs w:val="32"/>
        </w:rPr>
        <w:t>十九大精神转化为思想武器和最大共识。强化对学习教育活动的组织领导，精心制定方案、细化落实举措，增强吸引力、感染力和针对性、实效性，把学习贯彻不断引向深入。二是增强思想政治认同。紧密结合非公有制经济人士的所思所想所盼，通过组织专题培训、辅导讲座、研讨交流等形式，不断提高政治责任感和时代使命感，增进政治共识，明确努力方向，切实把思想和行动统一到</w:t>
      </w:r>
      <w:r>
        <w:rPr>
          <w:rFonts w:hint="eastAsia" w:ascii="Times New Roman" w:hAnsi="Times New Roman" w:eastAsia="楷体_GB2312" w:cs="Times New Roman"/>
          <w:b/>
          <w:sz w:val="32"/>
          <w:szCs w:val="32"/>
          <w:lang w:val="en-US" w:eastAsia="zh-CN"/>
        </w:rPr>
        <w:t>党的</w:t>
      </w:r>
      <w:r>
        <w:rPr>
          <w:rFonts w:hint="eastAsia" w:ascii="Times New Roman" w:hAnsi="Times New Roman" w:eastAsia="楷体_GB2312" w:cs="Times New Roman"/>
          <w:b/>
          <w:sz w:val="32"/>
          <w:szCs w:val="32"/>
        </w:rPr>
        <w:t>十九大精神上来，坚决维护以习近平同志为核心的党中央权威和集中统一领导，不断增强中国特色社会主义道路自信、理论自信、制度自信、文化自信。三是注重非公经济党的建设。提高政治站位，从巩固党的执政地位的大局看问题，推动党的组织和党的工作向非公有制经济领域有效覆盖，不断夯实党执政的群众基础和社会基础，确保党和国家的方针政策在非公有制经济领域的贯彻落实。</w:t>
      </w:r>
    </w:p>
    <w:p w14:paraId="289F7919">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(二)、进一步巩固和创新服务载体，推动非公经济健康发展</w:t>
      </w:r>
    </w:p>
    <w:p w14:paraId="3DBD13E1">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服务是工商联作为人民团体和商会组织的天职，要坚持服务兴会，努力帮助民营企业适应和把握经济发展新常态，贯彻新发展理念，自觉投身供给侧结构性改革，实现更高质量、更有效率、更加公平、更可持续的发展。一是建立完善服务平台。持续强化金融、法律、税务、人力资源、创业创新服务平台功能，加大服务活动规模和力度。进一步丰富工商联的服务载体和手段，积极探索网上工商联建设等服务工作新方法、新举措，不断提升服务效能。二是持续抓好企业家培训。继续开展“廊坊市企业家沙龙”和进高校专题研修等企业家品牌培训活动，定期举办企业家讲堂，组织工商联执委以上企业家结合自身企业发展，逐个为我市民营企业就企业管理、创新创业、转型升级等讲心得、谈体会、说业绩、提建议，提升企业家在新常态下管理企业、把握商机、驾驭市场的综合能力和素质，力争打造成品牌培训活动。另外，分期分批带领不同领域企业家走出去学习、交流、提升、发展。三是广泛开展经济联络。抢抓京津冀协同发展、“一带一路”、乡村振兴战略等国家重大发展战略机遇，组织民营企业参与国家经济发展战略。开展横向交流与合作，引导我市民营企业家发现新的商机、开辟新的领域，力争在转型升级、加快发展等方面走在全省最前列。充分发挥商（协）会和重点会员企业作用，持续推进异地商会进廊坊等系列交流和推介活动，力争促成一批大项目、好项目落户廊坊。四是努力构建亲清政商关系。规范交往行为，加强政企联系沟通，优化法律环境，营造风清气正的交往环境。引导非公有制经济人士自觉把守法诚信作为安身立命之本，坚守契约精神，在经营管理和政商交往中不越规矩、不踩红线、不破底线，光明正大搞经营；引导企业推行法律顾问和公司律师制度，完善内部规章制度，用法治思维治理企业，使企业在法治的轨道上健康运行。五是积极履行社会责任。充分发挥各级工商联的组织协调作用，进一步深入扎实开展“千企帮千村”精准扶贫行动。2019年，市工商联所有执委以上企业都要参与到这项活动中来，为中国特色扶贫道路贡献智慧和力量。创新非公有制经济人士履行社会责任、参与公益慈善事业的途径和形式，引导非公有制经济人士在回报社会的实践中作贡献、受教育。推动构建和谐劳动关系，积极调解，引导企业以人为本，妥善处理劳动争议。</w:t>
      </w:r>
    </w:p>
    <w:p w14:paraId="7484643A">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(三)、进一步发挥参谋助手作用，提高参政议政水平</w:t>
      </w:r>
    </w:p>
    <w:p w14:paraId="526E761E">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参政议政是党和国家赋予工商联的重要职能。要切实当好党委政府的参谋助手和民企发展的知心人、贴心人。一是深入调查研究。充分发挥“廊坊市民营经济研究会”人才优势，围绕党委、政府的中心工作、非公经济发展的热点难点问题，确定2019年度和阶段重点调研课题。工商联、商会领导班子成员亲自参与，通过举办座谈会、茶话会、专访会员等形式广泛深入开展调研，征集意见建议，力求情况真实可靠。二是科学建言献策。建立和完善提案征集制度，将深入调研获取的大量信息进行整理分析，集中反映非公经济发展现状和非公经济人士诉求，及时向党委、政府和有关部门报送。遴选优秀调研成果作为大会发言和政协提案，多提精准管用的意见建议，多出精品提案，不断提高建言献策质量，确保科学可行，更好地服务党委、政府科学决策。要注重提案的答复，密切关注办理进度，促进问题的解决和落实。三是畅通参政渠道。积极搭建平台，组织市领导和相关部门的负责人定期与企业家开展座谈交流，进行面对面的直接沟通，促进非公有制经济市场环境、政策环境、社会环境、法制环境的改善；坚持“三强一好”标准和“凡进必评”原则，始终把政治表现放在政治安排的首位，加强非公有制经济代表人士队伍建设，切实将德才兼备、有为有识的非公经济人士代表推荐到各级人大、政协，不断拓宽非公有制经济人士有序参与国家政治生活和社会事务的渠道。四、进一步推进组织和队伍建设，夯实工商联工作根基商会组织和县级工商联组织是我们工作依托，会员及干部队伍是我们主要力量，要扎实抓好组织和队伍建设，不断激发工商联工作的生机和活力。一是抓好商会建设。注重在新兴产业、新兴业态领域组建商会，不断扩大商会组织覆盖面，引导行业产业健康发展，助推我市产业结构进一步优化；继续开展领导班子好、团结教育好、服务发展好、自律规范好的“四好”商会建设，促进组织规范有效运转，激发组织活力；加强商会党建工作，引导企业出资人支持党建，发挥党员企业家先锋模范作用，发展一批有开拓精神、勇于创业、知识丰富的企业优秀青年、技术骨干加入商会党组织，支持和配合做好工商联所属商会党建工作，扩大商会党的组织和工作覆盖面，以党建促会建、促企建；争取基层党委、政府的领导和支持，不断扩大乡镇（街道）商会覆盖面，提升工作能力水平，促进作用发挥。二是抓好基层工商联组织建设。加强对县级工商联的工作指导，继续通过工作要点、工作会议、系统调研、定向培训、专题研讨、现场观摩、信息交流等方式，综合运用重点工作落实情况通报、非公有制经济人士评议等方式，加强对各县（市、区）工商联的督促指导。以深入推进“五好”县级工商联建设，进一步加强基层组织建设。三是抓好会员队伍建设。坚持广泛性和代表性相结合，加大会员发展力度，不断扩大会员覆盖面，优化会员结构，更加关注和发展医药健康产业、会展旅游产业、文化创意产业、电子信息产业、高端制造产业企业入会。提升各级工商联执委、常委综合素质，加强商会领导班子建设，建立健全会长、秘书长考察制度，做好代表人士各类表彰安排的推荐，组织工商联界别政协委员活动。四是抓好机关建设。落实全面从严治党要求，继续推进“两学一做”学习教育常态化制度化，将党的建设融入在机关工作的方方面面。加强领导班子建设，严格落实民主集中制，加强自身修养，增强责任意识，提高班子成员的政治把握能力、参政议政能力、组织领导能力、合作共事能力、解决自身问题能力；以机关党建带动干部队伍建设，树立正确用人导向，加大干部实践锻炼和培训教育力度，培养专业能力、专业精神，加强人才和后备干部队伍建设；认真贯彻中央八项规定，加强党风廉政建设，严格干部监督管理，不断强化纪律、规则、程序意识，推进制度落实，积极营造想干事、能干事、干成事的良好氛围，努力培养一支政治强、业务精、作风正的工商联干部队伍。</w:t>
      </w:r>
    </w:p>
    <w:p w14:paraId="0CB72D28">
      <w:pPr>
        <w:spacing w:line="584" w:lineRule="exact"/>
        <w:ind w:firstLine="560"/>
        <w:rPr>
          <w:rFonts w:ascii="Times New Roman" w:hAnsi="Times New Roman" w:eastAsia="楷体_GB2312" w:cs="Times New Roman"/>
          <w:b/>
          <w:sz w:val="32"/>
          <w:szCs w:val="32"/>
        </w:rPr>
      </w:pPr>
    </w:p>
    <w:p w14:paraId="5E97CDBA">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 xml:space="preserve">    职责分类绩效目标：</w:t>
      </w:r>
    </w:p>
    <w:p w14:paraId="253DF75E">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2019年,我单位主要职责是参政议政、组织建设、工商联事务管理和促进民营经济发展工作。重点是组织开展调研，向市政协提交大会发言的集体提案，反映社情民意，与市政府对口单位紧密联系。开展各种相关业务活动及会议。积极搭建服务平台，举办招商会、银企对接会、走出去、招商引资及法律维权。加强与国内外知名企业、海外工商社团的合作交流；贯彻全国和省工商联组织建设工作方针，指导全市工商联各级组织和商（协）会的建设，维护会员合法权益；组织换届、培训、思想政治和基层建设工作；对非公有制经济优秀人士进行宣传。</w:t>
      </w:r>
    </w:p>
    <w:p w14:paraId="6CA54307">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（一）参政议政绩效目标情况</w:t>
      </w:r>
    </w:p>
    <w:p w14:paraId="5DFCE67E">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 xml:space="preserve">   1、组织开展调研，向市政协提交大会发言的集体提案，反映社情民意，提交调研报告工作。</w:t>
      </w:r>
    </w:p>
    <w:p w14:paraId="298FBA50">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 xml:space="preserve">   绩效目标：完成提交提案3个、反映社情民意5个、提交 调研报告2个工作；</w:t>
      </w:r>
    </w:p>
    <w:p w14:paraId="5420AAF2">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 xml:space="preserve">   2、全年完成组织招商引资活动工作</w:t>
      </w:r>
    </w:p>
    <w:p w14:paraId="00043161">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 xml:space="preserve">   绩效目标：学习先进地区先进的企业管理模式，把当地先进的生产技术更快的引进来，并更好地实施“走出去”战略，在实施互利共赢开放战略和建设和谐世界中发挥更大作用，尽快实现我市非公企业的健康可持续发展，从而为我市非公企业的长期发展奠定良好基础。全年完成组织对外交流4次、招商引资活动工作2次。</w:t>
      </w:r>
    </w:p>
    <w:p w14:paraId="2B20D597">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 xml:space="preserve">  3、完成为企业提供法律维权工作</w:t>
      </w:r>
    </w:p>
    <w:p w14:paraId="57D0E222">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 xml:space="preserve">  绩效目标：帮助会员企业解决生产经营中的困难、维护 企业的合法权益、维持公平的市场竞争秩序等方面起到重要作用，完成为企业提供法律维权工作4次。</w:t>
      </w:r>
    </w:p>
    <w:p w14:paraId="2EBC001F">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 xml:space="preserve">  4、完成银企对接活动工作。</w:t>
      </w:r>
    </w:p>
    <w:p w14:paraId="58B39872">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 xml:space="preserve">  绩效目标：有效解决中小企业融资难、融资贵的问题， 进一步营造银企互信、互利、互惠的良好环境。全年完成银企对接活动工作3次。</w:t>
      </w:r>
    </w:p>
    <w:p w14:paraId="43B80936">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（二）组织建设绩效目标情况</w:t>
      </w:r>
    </w:p>
    <w:p w14:paraId="402E8A3B">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贯彻全国和省工商联组织建设工作方针，指导全市工商联各级组织和商（协）会的建设，维护会员合法权益；组织换届、培训、思想政治和基层建设工作；对非公有制经济优秀人士进行宣传。</w:t>
      </w:r>
    </w:p>
    <w:p w14:paraId="42AA6D8F">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 xml:space="preserve">  1、召开执、常委会议。</w:t>
      </w:r>
    </w:p>
    <w:p w14:paraId="65103CA7">
      <w:pPr>
        <w:spacing w:line="584" w:lineRule="exact"/>
        <w:ind w:firstLine="803" w:firstLineChars="25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绩效目标：依照全国工商联章程，完成召开执、常委会议工作。推动非公有制经济人士理想信念教育实践活动深入开展，带动各级工商联在全面深化改革中积极作为。全年召开常委会议2次，执委会1次使我市非公有制经济人士更加坚定对中国特色社会主义的信念、对党和政府的信任、对企业发展的信心、对社会的信誉，遵守法律法规，履行社会责任，努力把企业办好,做合格的中国特色社会主义事业建设者。</w:t>
      </w:r>
    </w:p>
    <w:p w14:paraId="6E871B92">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 xml:space="preserve">  2、党员活动日工作</w:t>
      </w:r>
    </w:p>
    <w:p w14:paraId="654D6AC0">
      <w:pPr>
        <w:spacing w:line="584" w:lineRule="exact"/>
        <w:ind w:firstLine="803" w:firstLineChars="25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绩效目标：依照市直工委第文件全年举办党员活动日工作4次。</w:t>
      </w:r>
    </w:p>
    <w:p w14:paraId="5996DC41">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 xml:space="preserve">  3、完成商（协）会建设工作</w:t>
      </w:r>
    </w:p>
    <w:p w14:paraId="73204750">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 xml:space="preserve">  保证国家和地方政府的各项方针政策得以贯彻落实，保证坚持正确的办会方向，要为会员提供服务。</w:t>
      </w:r>
    </w:p>
    <w:p w14:paraId="6BE0E665">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 xml:space="preserve">  绩效目标：协调协会内外的各种矛盾与纠纷，维护企业合法权益、维持公平的市场竟争秩序。支持工商联直属商（协）会召开成立大会或换届大会；召开工商联直属商（协）会主席会长会议、秘书长联席会议。全年两次，共200人次。</w:t>
      </w:r>
    </w:p>
    <w:p w14:paraId="56C8A299">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4、完成商会宣传工作</w:t>
      </w:r>
    </w:p>
    <w:p w14:paraId="003446EF">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绩效目标：大力搞好商会宣传工作，编印《廊坊商会》专刊6000册，选送全市部分会员企业及全国、各省、市工商联、市直机关、四套班子领导；完成民营企业家培训工作,全年8次,750人次。</w:t>
      </w:r>
    </w:p>
    <w:p w14:paraId="347B75BF">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绩效目标：为确保我市民营企业的健康发展，市工商联将进一步加大对民营企力度，继续举办“企业家沙龙”，通过沙龙培训，使企业家们感受到时代发展赋予的历史责任，增强使命感和责任感，总结凝练出“自主创新、奉献祖国”的廊坊企业家培训班精神，坚定做强、做大一批领军型企业的信心，激发不断探索、不断突破、不断创新、产业报国的雄心壮志。通过沙龙培训，提高企业家理论水平、政治素质和工作能力，加深对中国共产党执政纲领、路线、方针、政策的认识水平和首都经济社会发展形势的掌握，对于促进企业转型升级，调整结构，探索培养新经济组织企业家的新模式积累一定的经验。</w:t>
      </w:r>
    </w:p>
    <w:p w14:paraId="57EF83CA">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（三）促进民营经济发展绩效目标情况</w:t>
      </w:r>
    </w:p>
    <w:p w14:paraId="2396423A">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加强对民营经济的宏观指导、综合协调，优化发展环境，激活市场主体，破解要素制约，强化公共服务，加强督导、检查和考核，提高中小企业发展质量和水平。</w:t>
      </w:r>
    </w:p>
    <w:p w14:paraId="4215EE29">
      <w:pPr>
        <w:spacing w:line="584" w:lineRule="exact"/>
        <w:ind w:firstLine="56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绩效目标：完成对融资服务中心的业务培训工作；对中小企业融资担保进行指导。全年1次，共99人次。</w:t>
      </w:r>
    </w:p>
    <w:p w14:paraId="1F08FF70">
      <w:pPr>
        <w:spacing w:line="584" w:lineRule="exact"/>
        <w:rPr>
          <w:rFonts w:ascii="Times New Roman" w:hAnsi="Times New Roman" w:eastAsia="楷体_GB2312" w:cs="Times New Roman"/>
          <w:b/>
          <w:sz w:val="32"/>
          <w:szCs w:val="32"/>
        </w:rPr>
      </w:pPr>
    </w:p>
    <w:p w14:paraId="56E5EF70">
      <w:pPr>
        <w:spacing w:line="584" w:lineRule="exact"/>
        <w:ind w:firstLine="560"/>
        <w:rPr>
          <w:rFonts w:ascii="Times New Roman" w:hAnsi="Times New Roman" w:eastAsia="楷体_GB2312" w:cs="Times New Roman"/>
          <w:b/>
          <w:sz w:val="32"/>
          <w:szCs w:val="24"/>
        </w:rPr>
      </w:pPr>
      <w:r>
        <w:rPr>
          <w:rFonts w:ascii="Times New Roman" w:hAnsi="Times New Roman" w:eastAsia="楷体_GB2312" w:cs="Times New Roman"/>
          <w:b/>
          <w:sz w:val="32"/>
          <w:szCs w:val="32"/>
        </w:rPr>
        <w:t>部门职责及工作活动绩效目标指标：</w:t>
      </w:r>
    </w:p>
    <w:bookmarkEnd w:id="0"/>
    <w:p w14:paraId="4AE12A11">
      <w:pPr>
        <w:spacing w:line="584" w:lineRule="exact"/>
        <w:jc w:val="center"/>
        <w:outlineLvl w:val="0"/>
        <w:rPr>
          <w:rFonts w:ascii="Times New Roman" w:hAnsi="Times New Roman" w:eastAsia="仿宋_GB2312" w:cs="Times New Roman"/>
          <w:b/>
          <w:sz w:val="32"/>
        </w:rPr>
      </w:pPr>
      <w:bookmarkStart w:id="1" w:name="_Toc504489147"/>
      <w:r>
        <w:rPr>
          <w:rFonts w:ascii="Times New Roman" w:hAnsi="Times New Roman" w:eastAsia="仿宋_GB2312" w:cs="Times New Roman"/>
          <w:b/>
          <w:sz w:val="32"/>
        </w:rPr>
        <w:t>部门职责-工作活动绩效目标</w:t>
      </w:r>
      <w:bookmarkEnd w:id="1"/>
    </w:p>
    <w:tbl>
      <w:tblPr>
        <w:tblStyle w:val="8"/>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4F1D5B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shd w:val="clear" w:color="auto" w:fill="auto"/>
            <w:vAlign w:val="center"/>
          </w:tcPr>
          <w:p w14:paraId="4910B659">
            <w:pPr>
              <w:spacing w:line="300" w:lineRule="exact"/>
              <w:jc w:val="left"/>
              <w:rPr>
                <w:rFonts w:ascii="方正小标宋_GBK" w:eastAsia="方正小标宋_GBK"/>
                <w:sz w:val="24"/>
              </w:rPr>
            </w:pPr>
            <w:r>
              <w:rPr>
                <w:rFonts w:ascii="方正小标宋_GBK" w:eastAsia="方正小标宋_GBK"/>
                <w:sz w:val="24"/>
              </w:rPr>
              <w:t>310廊坊市工商业联合会</w:t>
            </w:r>
          </w:p>
        </w:tc>
        <w:tc>
          <w:tcPr>
            <w:tcW w:w="2948" w:type="dxa"/>
            <w:gridSpan w:val="4"/>
            <w:tcBorders>
              <w:top w:val="single" w:color="FFFFFF" w:sz="6" w:space="0"/>
              <w:left w:val="single" w:color="FFFFFF" w:sz="6" w:space="0"/>
              <w:right w:val="single" w:color="FFFFFF" w:sz="6" w:space="0"/>
            </w:tcBorders>
            <w:shd w:val="clear" w:color="auto" w:fill="auto"/>
            <w:vAlign w:val="center"/>
          </w:tcPr>
          <w:p w14:paraId="597BCAA5">
            <w:pPr>
              <w:spacing w:line="300" w:lineRule="exact"/>
              <w:jc w:val="right"/>
              <w:rPr>
                <w:rFonts w:ascii="方正书宋_GBK" w:eastAsia="方正书宋_GBK"/>
                <w:sz w:val="24"/>
              </w:rPr>
            </w:pPr>
            <w:r>
              <w:rPr>
                <w:rFonts w:ascii="方正书宋_GBK" w:eastAsia="方正书宋_GBK"/>
                <w:sz w:val="24"/>
              </w:rPr>
              <w:t>单位：万元</w:t>
            </w:r>
          </w:p>
        </w:tc>
      </w:tr>
      <w:tr w14:paraId="7EA91F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shd w:val="clear" w:color="auto" w:fill="auto"/>
            <w:vAlign w:val="center"/>
          </w:tcPr>
          <w:p w14:paraId="39368674">
            <w:pPr>
              <w:spacing w:line="300" w:lineRule="exact"/>
              <w:jc w:val="center"/>
              <w:rPr>
                <w:rFonts w:ascii="方正书宋_GBK" w:eastAsia="方正书宋_GBK"/>
                <w:b/>
              </w:rPr>
            </w:pPr>
            <w:r>
              <w:rPr>
                <w:rFonts w:ascii="方正书宋_GBK" w:eastAsia="方正书宋_GBK"/>
                <w:b/>
              </w:rPr>
              <w:t>职责活动</w:t>
            </w:r>
          </w:p>
        </w:tc>
        <w:tc>
          <w:tcPr>
            <w:tcW w:w="1276" w:type="dxa"/>
            <w:vMerge w:val="restart"/>
            <w:shd w:val="clear" w:color="auto" w:fill="auto"/>
            <w:vAlign w:val="center"/>
          </w:tcPr>
          <w:p w14:paraId="2108FE97">
            <w:pPr>
              <w:spacing w:line="300" w:lineRule="exact"/>
              <w:jc w:val="center"/>
              <w:rPr>
                <w:rFonts w:ascii="方正书宋_GBK" w:eastAsia="方正书宋_GBK"/>
                <w:b/>
              </w:rPr>
            </w:pPr>
            <w:r>
              <w:rPr>
                <w:rFonts w:ascii="方正书宋_GBK" w:eastAsia="方正书宋_GBK"/>
                <w:b/>
              </w:rPr>
              <w:t>年度预算数</w:t>
            </w:r>
          </w:p>
        </w:tc>
        <w:tc>
          <w:tcPr>
            <w:tcW w:w="2976" w:type="dxa"/>
            <w:vMerge w:val="restart"/>
            <w:shd w:val="clear" w:color="auto" w:fill="auto"/>
            <w:vAlign w:val="center"/>
          </w:tcPr>
          <w:p w14:paraId="3A26F323">
            <w:pPr>
              <w:spacing w:line="300" w:lineRule="exact"/>
              <w:jc w:val="center"/>
              <w:rPr>
                <w:rFonts w:ascii="方正书宋_GBK" w:eastAsia="方正书宋_GBK"/>
                <w:b/>
              </w:rPr>
            </w:pPr>
            <w:r>
              <w:rPr>
                <w:rFonts w:ascii="方正书宋_GBK" w:eastAsia="方正书宋_GBK"/>
                <w:b/>
              </w:rPr>
              <w:t>内容描述</w:t>
            </w:r>
          </w:p>
        </w:tc>
        <w:tc>
          <w:tcPr>
            <w:tcW w:w="2976" w:type="dxa"/>
            <w:vMerge w:val="restart"/>
            <w:shd w:val="clear" w:color="auto" w:fill="auto"/>
            <w:vAlign w:val="center"/>
          </w:tcPr>
          <w:p w14:paraId="01CDB45F">
            <w:pPr>
              <w:spacing w:line="300" w:lineRule="exact"/>
              <w:jc w:val="center"/>
              <w:rPr>
                <w:rFonts w:ascii="方正书宋_GBK" w:eastAsia="方正书宋_GBK"/>
                <w:b/>
              </w:rPr>
            </w:pPr>
            <w:r>
              <w:rPr>
                <w:rFonts w:ascii="方正书宋_GBK" w:eastAsia="方正书宋_GBK"/>
                <w:b/>
              </w:rPr>
              <w:t>绩效目标</w:t>
            </w:r>
          </w:p>
        </w:tc>
        <w:tc>
          <w:tcPr>
            <w:tcW w:w="1417" w:type="dxa"/>
            <w:vMerge w:val="restart"/>
            <w:shd w:val="clear" w:color="auto" w:fill="auto"/>
            <w:vAlign w:val="center"/>
          </w:tcPr>
          <w:p w14:paraId="0039DEEB">
            <w:pPr>
              <w:spacing w:line="300" w:lineRule="exact"/>
              <w:jc w:val="center"/>
              <w:rPr>
                <w:rFonts w:ascii="方正书宋_GBK" w:eastAsia="方正书宋_GBK"/>
                <w:b/>
              </w:rPr>
            </w:pPr>
            <w:r>
              <w:rPr>
                <w:rFonts w:ascii="方正书宋_GBK" w:eastAsia="方正书宋_GBK"/>
                <w:b/>
              </w:rPr>
              <w:t>绩效指标</w:t>
            </w:r>
          </w:p>
        </w:tc>
        <w:tc>
          <w:tcPr>
            <w:tcW w:w="2948" w:type="dxa"/>
            <w:gridSpan w:val="4"/>
            <w:shd w:val="clear" w:color="auto" w:fill="auto"/>
            <w:vAlign w:val="center"/>
          </w:tcPr>
          <w:p w14:paraId="44309F5E">
            <w:pPr>
              <w:spacing w:line="300" w:lineRule="exact"/>
              <w:jc w:val="center"/>
              <w:rPr>
                <w:rFonts w:ascii="方正书宋_GBK" w:eastAsia="方正书宋_GBK"/>
                <w:b/>
              </w:rPr>
            </w:pPr>
            <w:r>
              <w:rPr>
                <w:rFonts w:ascii="方正书宋_GBK" w:eastAsia="方正书宋_GBK"/>
                <w:b/>
              </w:rPr>
              <w:t>评价标准</w:t>
            </w:r>
          </w:p>
        </w:tc>
      </w:tr>
      <w:tr w14:paraId="413C64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shd w:val="clear" w:color="auto" w:fill="auto"/>
            <w:vAlign w:val="center"/>
          </w:tcPr>
          <w:p w14:paraId="35CDF709">
            <w:pPr>
              <w:spacing w:line="300" w:lineRule="exact"/>
              <w:jc w:val="left"/>
              <w:outlineLvl w:val="0"/>
            </w:pPr>
          </w:p>
        </w:tc>
        <w:tc>
          <w:tcPr>
            <w:tcW w:w="1276" w:type="dxa"/>
            <w:vMerge w:val="continue"/>
            <w:shd w:val="clear" w:color="auto" w:fill="auto"/>
            <w:vAlign w:val="center"/>
          </w:tcPr>
          <w:p w14:paraId="481A56FC">
            <w:pPr>
              <w:spacing w:line="300" w:lineRule="exact"/>
              <w:jc w:val="left"/>
              <w:outlineLvl w:val="0"/>
            </w:pPr>
          </w:p>
        </w:tc>
        <w:tc>
          <w:tcPr>
            <w:tcW w:w="2976" w:type="dxa"/>
            <w:vMerge w:val="continue"/>
            <w:shd w:val="clear" w:color="auto" w:fill="auto"/>
            <w:vAlign w:val="center"/>
          </w:tcPr>
          <w:p w14:paraId="60539A76">
            <w:pPr>
              <w:spacing w:line="300" w:lineRule="exact"/>
              <w:jc w:val="left"/>
              <w:outlineLvl w:val="0"/>
            </w:pPr>
          </w:p>
        </w:tc>
        <w:tc>
          <w:tcPr>
            <w:tcW w:w="2976" w:type="dxa"/>
            <w:vMerge w:val="continue"/>
            <w:shd w:val="clear" w:color="auto" w:fill="auto"/>
            <w:vAlign w:val="center"/>
          </w:tcPr>
          <w:p w14:paraId="4F3C7BC0">
            <w:pPr>
              <w:spacing w:line="300" w:lineRule="exact"/>
              <w:jc w:val="left"/>
              <w:outlineLvl w:val="0"/>
            </w:pPr>
          </w:p>
        </w:tc>
        <w:tc>
          <w:tcPr>
            <w:tcW w:w="1417" w:type="dxa"/>
            <w:vMerge w:val="continue"/>
            <w:shd w:val="clear" w:color="auto" w:fill="auto"/>
            <w:vAlign w:val="center"/>
          </w:tcPr>
          <w:p w14:paraId="06E4A5B1">
            <w:pPr>
              <w:spacing w:line="300" w:lineRule="exact"/>
              <w:jc w:val="left"/>
              <w:outlineLvl w:val="0"/>
            </w:pPr>
          </w:p>
        </w:tc>
        <w:tc>
          <w:tcPr>
            <w:tcW w:w="737" w:type="dxa"/>
            <w:shd w:val="clear" w:color="auto" w:fill="auto"/>
            <w:vAlign w:val="center"/>
          </w:tcPr>
          <w:p w14:paraId="0BB61AA5">
            <w:pPr>
              <w:spacing w:line="300" w:lineRule="exact"/>
              <w:jc w:val="center"/>
              <w:rPr>
                <w:rFonts w:ascii="方正书宋_GBK" w:eastAsia="方正书宋_GBK"/>
                <w:b/>
              </w:rPr>
            </w:pPr>
            <w:r>
              <w:rPr>
                <w:rFonts w:ascii="方正书宋_GBK" w:eastAsia="方正书宋_GBK"/>
                <w:b/>
              </w:rPr>
              <w:t>优</w:t>
            </w:r>
          </w:p>
        </w:tc>
        <w:tc>
          <w:tcPr>
            <w:tcW w:w="737" w:type="dxa"/>
            <w:shd w:val="clear" w:color="auto" w:fill="auto"/>
            <w:vAlign w:val="center"/>
          </w:tcPr>
          <w:p w14:paraId="182DF583">
            <w:pPr>
              <w:spacing w:line="300" w:lineRule="exact"/>
              <w:jc w:val="center"/>
              <w:rPr>
                <w:rFonts w:ascii="方正书宋_GBK" w:eastAsia="方正书宋_GBK"/>
                <w:b/>
              </w:rPr>
            </w:pPr>
            <w:r>
              <w:rPr>
                <w:rFonts w:ascii="方正书宋_GBK" w:eastAsia="方正书宋_GBK"/>
                <w:b/>
              </w:rPr>
              <w:t>良</w:t>
            </w:r>
          </w:p>
        </w:tc>
        <w:tc>
          <w:tcPr>
            <w:tcW w:w="737" w:type="dxa"/>
            <w:shd w:val="clear" w:color="auto" w:fill="auto"/>
            <w:vAlign w:val="center"/>
          </w:tcPr>
          <w:p w14:paraId="0B25E208">
            <w:pPr>
              <w:spacing w:line="300" w:lineRule="exact"/>
              <w:jc w:val="center"/>
              <w:rPr>
                <w:rFonts w:ascii="方正书宋_GBK" w:eastAsia="方正书宋_GBK"/>
                <w:b/>
              </w:rPr>
            </w:pPr>
            <w:r>
              <w:rPr>
                <w:rFonts w:ascii="方正书宋_GBK" w:eastAsia="方正书宋_GBK"/>
                <w:b/>
              </w:rPr>
              <w:t>中</w:t>
            </w:r>
          </w:p>
        </w:tc>
        <w:tc>
          <w:tcPr>
            <w:tcW w:w="737" w:type="dxa"/>
            <w:shd w:val="clear" w:color="auto" w:fill="auto"/>
            <w:vAlign w:val="center"/>
          </w:tcPr>
          <w:p w14:paraId="364402CC">
            <w:pPr>
              <w:spacing w:line="300" w:lineRule="exact"/>
              <w:jc w:val="center"/>
              <w:rPr>
                <w:rFonts w:ascii="方正书宋_GBK" w:eastAsia="方正书宋_GBK"/>
                <w:b/>
              </w:rPr>
            </w:pPr>
            <w:r>
              <w:rPr>
                <w:rFonts w:ascii="方正书宋_GBK" w:eastAsia="方正书宋_GBK"/>
                <w:b/>
              </w:rPr>
              <w:t>差</w:t>
            </w:r>
          </w:p>
        </w:tc>
      </w:tr>
      <w:tr w14:paraId="3F50BA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DECC44E">
            <w:pPr>
              <w:spacing w:line="300" w:lineRule="exact"/>
              <w:jc w:val="left"/>
              <w:rPr>
                <w:rFonts w:ascii="方正书宋_GBK" w:eastAsia="方正书宋_GBK"/>
                <w:b/>
              </w:rPr>
            </w:pPr>
            <w:r>
              <w:rPr>
                <w:rFonts w:ascii="方正书宋_GBK" w:eastAsia="方正书宋_GBK"/>
                <w:b/>
              </w:rPr>
              <w:t>一、参政议政</w:t>
            </w:r>
          </w:p>
        </w:tc>
        <w:tc>
          <w:tcPr>
            <w:tcW w:w="1276" w:type="dxa"/>
            <w:shd w:val="clear" w:color="auto" w:fill="auto"/>
            <w:vAlign w:val="center"/>
          </w:tcPr>
          <w:p w14:paraId="78AC0895">
            <w:pPr>
              <w:spacing w:line="300" w:lineRule="exact"/>
              <w:jc w:val="left"/>
              <w:rPr>
                <w:rFonts w:ascii="方正书宋_GBK" w:eastAsia="方正书宋_GBK"/>
              </w:rPr>
            </w:pPr>
            <w:r>
              <w:rPr>
                <w:rFonts w:ascii="方正书宋_GBK" w:eastAsia="方正书宋_GBK"/>
              </w:rPr>
              <w:t>27.70</w:t>
            </w:r>
          </w:p>
        </w:tc>
        <w:tc>
          <w:tcPr>
            <w:tcW w:w="2976" w:type="dxa"/>
            <w:shd w:val="clear" w:color="auto" w:fill="auto"/>
            <w:vAlign w:val="center"/>
          </w:tcPr>
          <w:p w14:paraId="7F0FDB3B">
            <w:pPr>
              <w:spacing w:line="300" w:lineRule="exact"/>
              <w:jc w:val="left"/>
              <w:rPr>
                <w:rFonts w:ascii="方正书宋_GBK" w:eastAsia="方正书宋_GBK"/>
              </w:rPr>
            </w:pPr>
            <w:r>
              <w:rPr>
                <w:rFonts w:ascii="方正书宋_GBK" w:eastAsia="方正书宋_GBK"/>
              </w:rPr>
              <w:t>参政议政、社会服务等事项</w:t>
            </w:r>
          </w:p>
        </w:tc>
        <w:tc>
          <w:tcPr>
            <w:tcW w:w="2976" w:type="dxa"/>
            <w:shd w:val="clear" w:color="auto" w:fill="auto"/>
            <w:vAlign w:val="center"/>
          </w:tcPr>
          <w:p w14:paraId="31A06257">
            <w:pPr>
              <w:spacing w:line="300" w:lineRule="exact"/>
              <w:jc w:val="left"/>
              <w:rPr>
                <w:rFonts w:ascii="方正书宋_GBK" w:eastAsia="方正书宋_GBK"/>
              </w:rPr>
            </w:pPr>
            <w:r>
              <w:rPr>
                <w:rFonts w:ascii="方正书宋_GBK" w:eastAsia="方正书宋_GBK"/>
              </w:rPr>
              <w:t>增强组织凝聚力和社会影响力，提升参政议政水平。组织经贸洽谈、招商引资等经济活动，助力本市经济发展。</w:t>
            </w:r>
          </w:p>
        </w:tc>
        <w:tc>
          <w:tcPr>
            <w:tcW w:w="1417" w:type="dxa"/>
            <w:shd w:val="clear" w:color="auto" w:fill="auto"/>
            <w:vAlign w:val="center"/>
          </w:tcPr>
          <w:p w14:paraId="10372AEA">
            <w:pPr>
              <w:spacing w:line="300" w:lineRule="exact"/>
              <w:jc w:val="left"/>
              <w:rPr>
                <w:rFonts w:ascii="方正书宋_GBK" w:eastAsia="方正书宋_GBK"/>
              </w:rPr>
            </w:pPr>
          </w:p>
        </w:tc>
        <w:tc>
          <w:tcPr>
            <w:tcW w:w="737" w:type="dxa"/>
            <w:shd w:val="clear" w:color="auto" w:fill="auto"/>
            <w:vAlign w:val="center"/>
          </w:tcPr>
          <w:p w14:paraId="4D18E71B">
            <w:pPr>
              <w:spacing w:line="300" w:lineRule="exact"/>
              <w:jc w:val="center"/>
              <w:rPr>
                <w:rFonts w:ascii="方正书宋_GBK" w:eastAsia="方正书宋_GBK"/>
              </w:rPr>
            </w:pPr>
          </w:p>
        </w:tc>
        <w:tc>
          <w:tcPr>
            <w:tcW w:w="737" w:type="dxa"/>
            <w:shd w:val="clear" w:color="auto" w:fill="auto"/>
            <w:vAlign w:val="center"/>
          </w:tcPr>
          <w:p w14:paraId="79423594">
            <w:pPr>
              <w:spacing w:line="300" w:lineRule="exact"/>
              <w:jc w:val="center"/>
              <w:rPr>
                <w:rFonts w:ascii="方正书宋_GBK" w:eastAsia="方正书宋_GBK"/>
              </w:rPr>
            </w:pPr>
          </w:p>
        </w:tc>
        <w:tc>
          <w:tcPr>
            <w:tcW w:w="737" w:type="dxa"/>
            <w:shd w:val="clear" w:color="auto" w:fill="auto"/>
            <w:vAlign w:val="center"/>
          </w:tcPr>
          <w:p w14:paraId="21BA611B">
            <w:pPr>
              <w:spacing w:line="300" w:lineRule="exact"/>
              <w:jc w:val="center"/>
              <w:rPr>
                <w:rFonts w:ascii="方正书宋_GBK" w:eastAsia="方正书宋_GBK"/>
              </w:rPr>
            </w:pPr>
          </w:p>
        </w:tc>
        <w:tc>
          <w:tcPr>
            <w:tcW w:w="737" w:type="dxa"/>
            <w:shd w:val="clear" w:color="auto" w:fill="auto"/>
            <w:vAlign w:val="center"/>
          </w:tcPr>
          <w:p w14:paraId="03A81C5B">
            <w:pPr>
              <w:spacing w:line="300" w:lineRule="exact"/>
              <w:jc w:val="center"/>
              <w:rPr>
                <w:rFonts w:ascii="方正书宋_GBK" w:eastAsia="方正书宋_GBK"/>
              </w:rPr>
            </w:pPr>
          </w:p>
        </w:tc>
      </w:tr>
      <w:tr w14:paraId="7C5CBF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133FA62C">
            <w:pPr>
              <w:spacing w:line="300" w:lineRule="exact"/>
              <w:jc w:val="left"/>
              <w:rPr>
                <w:rFonts w:ascii="方正书宋_GBK" w:eastAsia="方正书宋_GBK"/>
                <w:b/>
              </w:rPr>
            </w:pPr>
            <w:r>
              <w:rPr>
                <w:rFonts w:ascii="方正书宋_GBK" w:eastAsia="方正书宋_GBK"/>
                <w:b/>
              </w:rPr>
              <w:t>　　1、参政议政</w:t>
            </w:r>
          </w:p>
        </w:tc>
        <w:tc>
          <w:tcPr>
            <w:tcW w:w="1276" w:type="dxa"/>
            <w:vMerge w:val="restart"/>
            <w:shd w:val="clear" w:color="auto" w:fill="auto"/>
            <w:vAlign w:val="center"/>
          </w:tcPr>
          <w:p w14:paraId="3F8DDC63">
            <w:pPr>
              <w:spacing w:line="300" w:lineRule="exact"/>
              <w:jc w:val="left"/>
              <w:rPr>
                <w:rFonts w:ascii="方正书宋_GBK" w:eastAsia="方正书宋_GBK"/>
              </w:rPr>
            </w:pPr>
            <w:r>
              <w:rPr>
                <w:rFonts w:ascii="方正书宋_GBK" w:eastAsia="方正书宋_GBK"/>
              </w:rPr>
              <w:t>4.00</w:t>
            </w:r>
          </w:p>
        </w:tc>
        <w:tc>
          <w:tcPr>
            <w:tcW w:w="2976" w:type="dxa"/>
            <w:vMerge w:val="restart"/>
            <w:shd w:val="clear" w:color="auto" w:fill="auto"/>
            <w:vAlign w:val="center"/>
          </w:tcPr>
          <w:p w14:paraId="7939E970">
            <w:pPr>
              <w:spacing w:line="300" w:lineRule="exact"/>
              <w:jc w:val="left"/>
              <w:rPr>
                <w:rFonts w:ascii="方正书宋_GBK" w:eastAsia="方正书宋_GBK"/>
              </w:rPr>
            </w:pPr>
            <w:r>
              <w:rPr>
                <w:rFonts w:ascii="方正书宋_GBK" w:eastAsia="方正书宋_GBK"/>
              </w:rPr>
              <w:t>组织开展调研，向市政协提交大会发言和集体提案，反映社情民意，与市政府对口单位紧密联系。开展各种活动及相关会议</w:t>
            </w:r>
          </w:p>
        </w:tc>
        <w:tc>
          <w:tcPr>
            <w:tcW w:w="2976" w:type="dxa"/>
            <w:vMerge w:val="restart"/>
            <w:shd w:val="clear" w:color="auto" w:fill="auto"/>
            <w:vAlign w:val="center"/>
          </w:tcPr>
          <w:p w14:paraId="76400144">
            <w:pPr>
              <w:spacing w:line="300" w:lineRule="exact"/>
              <w:jc w:val="left"/>
              <w:rPr>
                <w:rFonts w:ascii="方正书宋_GBK" w:eastAsia="方正书宋_GBK"/>
              </w:rPr>
            </w:pPr>
            <w:r>
              <w:rPr>
                <w:rFonts w:ascii="方正书宋_GBK" w:eastAsia="方正书宋_GBK"/>
              </w:rPr>
              <w:t>提升参政议政水平，为国家治理和社会发展建言献策。</w:t>
            </w:r>
          </w:p>
        </w:tc>
        <w:tc>
          <w:tcPr>
            <w:tcW w:w="1417" w:type="dxa"/>
            <w:shd w:val="clear" w:color="auto" w:fill="auto"/>
            <w:vAlign w:val="center"/>
          </w:tcPr>
          <w:p w14:paraId="4508B050">
            <w:pPr>
              <w:spacing w:line="300" w:lineRule="exact"/>
              <w:jc w:val="left"/>
              <w:rPr>
                <w:rFonts w:ascii="方正书宋_GBK" w:eastAsia="方正书宋_GBK"/>
              </w:rPr>
            </w:pPr>
            <w:r>
              <w:rPr>
                <w:rFonts w:ascii="方正书宋_GBK" w:eastAsia="方正书宋_GBK"/>
              </w:rPr>
              <w:t>反映社情民意、意见建议采用率</w:t>
            </w:r>
          </w:p>
        </w:tc>
        <w:tc>
          <w:tcPr>
            <w:tcW w:w="737" w:type="dxa"/>
            <w:shd w:val="clear" w:color="auto" w:fill="auto"/>
            <w:vAlign w:val="center"/>
          </w:tcPr>
          <w:p w14:paraId="2440DE69">
            <w:pPr>
              <w:spacing w:line="300" w:lineRule="exact"/>
              <w:jc w:val="center"/>
              <w:rPr>
                <w:rFonts w:ascii="方正书宋_GBK" w:eastAsia="方正书宋_GBK"/>
              </w:rPr>
            </w:pPr>
            <w:r>
              <w:rPr>
                <w:rFonts w:ascii="方正书宋_GBK" w:eastAsia="方正书宋_GBK"/>
              </w:rPr>
              <w:t>≥80%</w:t>
            </w:r>
          </w:p>
        </w:tc>
        <w:tc>
          <w:tcPr>
            <w:tcW w:w="737" w:type="dxa"/>
            <w:shd w:val="clear" w:color="auto" w:fill="auto"/>
            <w:vAlign w:val="center"/>
          </w:tcPr>
          <w:p w14:paraId="7196915F">
            <w:pPr>
              <w:spacing w:line="300" w:lineRule="exact"/>
              <w:jc w:val="center"/>
              <w:rPr>
                <w:rFonts w:ascii="方正书宋_GBK" w:eastAsia="方正书宋_GBK"/>
              </w:rPr>
            </w:pPr>
            <w:r>
              <w:rPr>
                <w:rFonts w:ascii="方正书宋_GBK" w:eastAsia="方正书宋_GBK"/>
              </w:rPr>
              <w:t>≥70%</w:t>
            </w:r>
          </w:p>
        </w:tc>
        <w:tc>
          <w:tcPr>
            <w:tcW w:w="737" w:type="dxa"/>
            <w:shd w:val="clear" w:color="auto" w:fill="auto"/>
            <w:vAlign w:val="center"/>
          </w:tcPr>
          <w:p w14:paraId="4DEF8696">
            <w:pPr>
              <w:spacing w:line="300" w:lineRule="exact"/>
              <w:jc w:val="center"/>
              <w:rPr>
                <w:rFonts w:ascii="方正书宋_GBK" w:eastAsia="方正书宋_GBK"/>
              </w:rPr>
            </w:pPr>
            <w:r>
              <w:rPr>
                <w:rFonts w:ascii="方正书宋_GBK" w:eastAsia="方正书宋_GBK"/>
              </w:rPr>
              <w:t>≥60%</w:t>
            </w:r>
          </w:p>
        </w:tc>
        <w:tc>
          <w:tcPr>
            <w:tcW w:w="737" w:type="dxa"/>
            <w:shd w:val="clear" w:color="auto" w:fill="auto"/>
            <w:vAlign w:val="center"/>
          </w:tcPr>
          <w:p w14:paraId="32C7777B">
            <w:pPr>
              <w:spacing w:line="300" w:lineRule="exact"/>
              <w:jc w:val="center"/>
              <w:rPr>
                <w:rFonts w:ascii="方正书宋_GBK" w:eastAsia="方正书宋_GBK"/>
              </w:rPr>
            </w:pPr>
            <w:r>
              <w:rPr>
                <w:rFonts w:ascii="方正书宋_GBK" w:eastAsia="方正书宋_GBK"/>
              </w:rPr>
              <w:t>＜60%</w:t>
            </w:r>
          </w:p>
        </w:tc>
      </w:tr>
      <w:tr w14:paraId="4857F5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668D67F6">
            <w:pPr>
              <w:spacing w:line="300" w:lineRule="exact"/>
              <w:jc w:val="left"/>
              <w:rPr>
                <w:rFonts w:ascii="方正书宋_GBK" w:eastAsia="方正书宋_GBK"/>
                <w:b/>
              </w:rPr>
            </w:pPr>
          </w:p>
        </w:tc>
        <w:tc>
          <w:tcPr>
            <w:tcW w:w="1276" w:type="dxa"/>
            <w:vMerge w:val="continue"/>
            <w:shd w:val="clear" w:color="auto" w:fill="auto"/>
            <w:vAlign w:val="center"/>
          </w:tcPr>
          <w:p w14:paraId="7F1267F0">
            <w:pPr>
              <w:spacing w:line="300" w:lineRule="exact"/>
              <w:jc w:val="left"/>
              <w:rPr>
                <w:rFonts w:ascii="方正书宋_GBK" w:eastAsia="方正书宋_GBK"/>
              </w:rPr>
            </w:pPr>
          </w:p>
        </w:tc>
        <w:tc>
          <w:tcPr>
            <w:tcW w:w="2976" w:type="dxa"/>
            <w:vMerge w:val="continue"/>
            <w:shd w:val="clear" w:color="auto" w:fill="auto"/>
            <w:vAlign w:val="center"/>
          </w:tcPr>
          <w:p w14:paraId="3FDB6178">
            <w:pPr>
              <w:spacing w:line="300" w:lineRule="exact"/>
              <w:jc w:val="left"/>
              <w:rPr>
                <w:rFonts w:ascii="方正书宋_GBK" w:eastAsia="方正书宋_GBK"/>
              </w:rPr>
            </w:pPr>
          </w:p>
        </w:tc>
        <w:tc>
          <w:tcPr>
            <w:tcW w:w="2976" w:type="dxa"/>
            <w:vMerge w:val="continue"/>
            <w:shd w:val="clear" w:color="auto" w:fill="auto"/>
            <w:vAlign w:val="center"/>
          </w:tcPr>
          <w:p w14:paraId="0F62E968">
            <w:pPr>
              <w:spacing w:line="300" w:lineRule="exact"/>
              <w:jc w:val="left"/>
              <w:rPr>
                <w:rFonts w:ascii="方正书宋_GBK" w:eastAsia="方正书宋_GBK"/>
              </w:rPr>
            </w:pPr>
          </w:p>
        </w:tc>
        <w:tc>
          <w:tcPr>
            <w:tcW w:w="1417" w:type="dxa"/>
            <w:shd w:val="clear" w:color="auto" w:fill="auto"/>
            <w:vAlign w:val="center"/>
          </w:tcPr>
          <w:p w14:paraId="0F74115B">
            <w:pPr>
              <w:spacing w:line="300" w:lineRule="exact"/>
              <w:jc w:val="left"/>
              <w:rPr>
                <w:rFonts w:ascii="方正书宋_GBK" w:eastAsia="方正书宋_GBK"/>
              </w:rPr>
            </w:pPr>
            <w:r>
              <w:rPr>
                <w:rFonts w:ascii="方正书宋_GBK" w:eastAsia="方正书宋_GBK"/>
              </w:rPr>
              <w:t>提交调研报告数量</w:t>
            </w:r>
          </w:p>
        </w:tc>
        <w:tc>
          <w:tcPr>
            <w:tcW w:w="737" w:type="dxa"/>
            <w:shd w:val="clear" w:color="auto" w:fill="auto"/>
            <w:vAlign w:val="center"/>
          </w:tcPr>
          <w:p w14:paraId="1A31E6B7">
            <w:pPr>
              <w:spacing w:line="300" w:lineRule="exact"/>
              <w:jc w:val="center"/>
              <w:rPr>
                <w:rFonts w:ascii="方正书宋_GBK" w:eastAsia="方正书宋_GBK"/>
              </w:rPr>
            </w:pPr>
            <w:r>
              <w:rPr>
                <w:rFonts w:ascii="方正书宋_GBK" w:eastAsia="方正书宋_GBK"/>
              </w:rPr>
              <w:t>≥2</w:t>
            </w:r>
          </w:p>
        </w:tc>
        <w:tc>
          <w:tcPr>
            <w:tcW w:w="737" w:type="dxa"/>
            <w:shd w:val="clear" w:color="auto" w:fill="auto"/>
            <w:vAlign w:val="center"/>
          </w:tcPr>
          <w:p w14:paraId="3EA71BCA">
            <w:pPr>
              <w:spacing w:line="300" w:lineRule="exact"/>
              <w:jc w:val="center"/>
              <w:rPr>
                <w:rFonts w:ascii="方正书宋_GBK" w:eastAsia="方正书宋_GBK"/>
              </w:rPr>
            </w:pPr>
            <w:r>
              <w:rPr>
                <w:rFonts w:ascii="方正书宋_GBK" w:eastAsia="方正书宋_GBK"/>
              </w:rPr>
              <w:t>1</w:t>
            </w:r>
          </w:p>
        </w:tc>
        <w:tc>
          <w:tcPr>
            <w:tcW w:w="737" w:type="dxa"/>
            <w:shd w:val="clear" w:color="auto" w:fill="auto"/>
            <w:vAlign w:val="center"/>
          </w:tcPr>
          <w:p w14:paraId="1C80220D">
            <w:pPr>
              <w:spacing w:line="300" w:lineRule="exact"/>
              <w:jc w:val="center"/>
              <w:rPr>
                <w:rFonts w:ascii="方正书宋_GBK" w:eastAsia="方正书宋_GBK"/>
              </w:rPr>
            </w:pPr>
            <w:r>
              <w:rPr>
                <w:rFonts w:ascii="方正书宋_GBK" w:eastAsia="方正书宋_GBK"/>
              </w:rPr>
              <w:t>0</w:t>
            </w:r>
          </w:p>
        </w:tc>
        <w:tc>
          <w:tcPr>
            <w:tcW w:w="737" w:type="dxa"/>
            <w:shd w:val="clear" w:color="auto" w:fill="auto"/>
            <w:vAlign w:val="center"/>
          </w:tcPr>
          <w:p w14:paraId="683FBC5D">
            <w:pPr>
              <w:spacing w:line="300" w:lineRule="exact"/>
              <w:jc w:val="center"/>
              <w:rPr>
                <w:rFonts w:ascii="方正书宋_GBK" w:eastAsia="方正书宋_GBK"/>
              </w:rPr>
            </w:pPr>
            <w:r>
              <w:rPr>
                <w:rFonts w:ascii="方正书宋_GBK" w:eastAsia="方正书宋_GBK"/>
              </w:rPr>
              <w:t>0</w:t>
            </w:r>
          </w:p>
        </w:tc>
      </w:tr>
      <w:tr w14:paraId="3A5661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46D577AA">
            <w:pPr>
              <w:spacing w:line="300" w:lineRule="exact"/>
              <w:jc w:val="left"/>
              <w:rPr>
                <w:rFonts w:ascii="方正书宋_GBK" w:eastAsia="方正书宋_GBK"/>
                <w:b/>
              </w:rPr>
            </w:pPr>
          </w:p>
        </w:tc>
        <w:tc>
          <w:tcPr>
            <w:tcW w:w="1276" w:type="dxa"/>
            <w:vMerge w:val="continue"/>
            <w:shd w:val="clear" w:color="auto" w:fill="auto"/>
            <w:vAlign w:val="center"/>
          </w:tcPr>
          <w:p w14:paraId="6B36573F">
            <w:pPr>
              <w:spacing w:line="300" w:lineRule="exact"/>
              <w:jc w:val="left"/>
              <w:rPr>
                <w:rFonts w:ascii="方正书宋_GBK" w:eastAsia="方正书宋_GBK"/>
              </w:rPr>
            </w:pPr>
          </w:p>
        </w:tc>
        <w:tc>
          <w:tcPr>
            <w:tcW w:w="2976" w:type="dxa"/>
            <w:vMerge w:val="continue"/>
            <w:shd w:val="clear" w:color="auto" w:fill="auto"/>
            <w:vAlign w:val="center"/>
          </w:tcPr>
          <w:p w14:paraId="42DFD652">
            <w:pPr>
              <w:spacing w:line="300" w:lineRule="exact"/>
              <w:jc w:val="left"/>
              <w:rPr>
                <w:rFonts w:ascii="方正书宋_GBK" w:eastAsia="方正书宋_GBK"/>
              </w:rPr>
            </w:pPr>
          </w:p>
        </w:tc>
        <w:tc>
          <w:tcPr>
            <w:tcW w:w="2976" w:type="dxa"/>
            <w:vMerge w:val="continue"/>
            <w:shd w:val="clear" w:color="auto" w:fill="auto"/>
            <w:vAlign w:val="center"/>
          </w:tcPr>
          <w:p w14:paraId="030E99D9">
            <w:pPr>
              <w:spacing w:line="300" w:lineRule="exact"/>
              <w:jc w:val="left"/>
              <w:rPr>
                <w:rFonts w:ascii="方正书宋_GBK" w:eastAsia="方正书宋_GBK"/>
              </w:rPr>
            </w:pPr>
          </w:p>
        </w:tc>
        <w:tc>
          <w:tcPr>
            <w:tcW w:w="1417" w:type="dxa"/>
            <w:shd w:val="clear" w:color="auto" w:fill="auto"/>
            <w:vAlign w:val="center"/>
          </w:tcPr>
          <w:p w14:paraId="5FDC9097">
            <w:pPr>
              <w:spacing w:line="300" w:lineRule="exact"/>
              <w:jc w:val="left"/>
              <w:rPr>
                <w:rFonts w:ascii="方正书宋_GBK" w:eastAsia="方正书宋_GBK"/>
              </w:rPr>
            </w:pPr>
            <w:r>
              <w:rPr>
                <w:rFonts w:ascii="方正书宋_GBK" w:eastAsia="方正书宋_GBK"/>
              </w:rPr>
              <w:t>社情民意信息报送</w:t>
            </w:r>
          </w:p>
        </w:tc>
        <w:tc>
          <w:tcPr>
            <w:tcW w:w="737" w:type="dxa"/>
            <w:shd w:val="clear" w:color="auto" w:fill="auto"/>
            <w:vAlign w:val="center"/>
          </w:tcPr>
          <w:p w14:paraId="655B2A7C">
            <w:pPr>
              <w:spacing w:line="300" w:lineRule="exact"/>
              <w:jc w:val="center"/>
              <w:rPr>
                <w:rFonts w:ascii="方正书宋_GBK" w:eastAsia="方正书宋_GBK"/>
              </w:rPr>
            </w:pPr>
            <w:r>
              <w:rPr>
                <w:rFonts w:ascii="方正书宋_GBK" w:eastAsia="方正书宋_GBK"/>
              </w:rPr>
              <w:t>≥5</w:t>
            </w:r>
          </w:p>
        </w:tc>
        <w:tc>
          <w:tcPr>
            <w:tcW w:w="737" w:type="dxa"/>
            <w:shd w:val="clear" w:color="auto" w:fill="auto"/>
            <w:vAlign w:val="center"/>
          </w:tcPr>
          <w:p w14:paraId="31609B88">
            <w:pPr>
              <w:spacing w:line="300" w:lineRule="exact"/>
              <w:jc w:val="center"/>
              <w:rPr>
                <w:rFonts w:ascii="方正书宋_GBK" w:eastAsia="方正书宋_GBK"/>
              </w:rPr>
            </w:pPr>
            <w:r>
              <w:rPr>
                <w:rFonts w:ascii="方正书宋_GBK" w:eastAsia="方正书宋_GBK"/>
              </w:rPr>
              <w:t>4</w:t>
            </w:r>
          </w:p>
        </w:tc>
        <w:tc>
          <w:tcPr>
            <w:tcW w:w="737" w:type="dxa"/>
            <w:shd w:val="clear" w:color="auto" w:fill="auto"/>
            <w:vAlign w:val="center"/>
          </w:tcPr>
          <w:p w14:paraId="3F2BBE69">
            <w:pPr>
              <w:spacing w:line="300" w:lineRule="exact"/>
              <w:jc w:val="center"/>
              <w:rPr>
                <w:rFonts w:ascii="方正书宋_GBK" w:eastAsia="方正书宋_GBK"/>
              </w:rPr>
            </w:pPr>
            <w:r>
              <w:rPr>
                <w:rFonts w:ascii="方正书宋_GBK" w:eastAsia="方正书宋_GBK"/>
              </w:rPr>
              <w:t>3</w:t>
            </w:r>
          </w:p>
        </w:tc>
        <w:tc>
          <w:tcPr>
            <w:tcW w:w="737" w:type="dxa"/>
            <w:shd w:val="clear" w:color="auto" w:fill="auto"/>
            <w:vAlign w:val="center"/>
          </w:tcPr>
          <w:p w14:paraId="584EC21D">
            <w:pPr>
              <w:spacing w:line="300" w:lineRule="exact"/>
              <w:jc w:val="center"/>
              <w:rPr>
                <w:rFonts w:ascii="方正书宋_GBK" w:eastAsia="方正书宋_GBK"/>
              </w:rPr>
            </w:pPr>
            <w:r>
              <w:rPr>
                <w:rFonts w:ascii="方正书宋_GBK" w:eastAsia="方正书宋_GBK"/>
              </w:rPr>
              <w:t>≤2</w:t>
            </w:r>
          </w:p>
        </w:tc>
      </w:tr>
      <w:tr w14:paraId="24D0EC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4BE6255D">
            <w:pPr>
              <w:spacing w:line="300" w:lineRule="exact"/>
              <w:jc w:val="left"/>
              <w:rPr>
                <w:rFonts w:ascii="方正书宋_GBK" w:eastAsia="方正书宋_GBK"/>
                <w:b/>
              </w:rPr>
            </w:pPr>
          </w:p>
        </w:tc>
        <w:tc>
          <w:tcPr>
            <w:tcW w:w="1276" w:type="dxa"/>
            <w:vMerge w:val="continue"/>
            <w:shd w:val="clear" w:color="auto" w:fill="auto"/>
            <w:vAlign w:val="center"/>
          </w:tcPr>
          <w:p w14:paraId="051CE415">
            <w:pPr>
              <w:spacing w:line="300" w:lineRule="exact"/>
              <w:jc w:val="left"/>
              <w:rPr>
                <w:rFonts w:ascii="方正书宋_GBK" w:eastAsia="方正书宋_GBK"/>
              </w:rPr>
            </w:pPr>
          </w:p>
        </w:tc>
        <w:tc>
          <w:tcPr>
            <w:tcW w:w="2976" w:type="dxa"/>
            <w:vMerge w:val="continue"/>
            <w:shd w:val="clear" w:color="auto" w:fill="auto"/>
            <w:vAlign w:val="center"/>
          </w:tcPr>
          <w:p w14:paraId="75B24C60">
            <w:pPr>
              <w:spacing w:line="300" w:lineRule="exact"/>
              <w:jc w:val="left"/>
              <w:rPr>
                <w:rFonts w:ascii="方正书宋_GBK" w:eastAsia="方正书宋_GBK"/>
              </w:rPr>
            </w:pPr>
          </w:p>
        </w:tc>
        <w:tc>
          <w:tcPr>
            <w:tcW w:w="2976" w:type="dxa"/>
            <w:vMerge w:val="continue"/>
            <w:shd w:val="clear" w:color="auto" w:fill="auto"/>
            <w:vAlign w:val="center"/>
          </w:tcPr>
          <w:p w14:paraId="4E55B1BE">
            <w:pPr>
              <w:spacing w:line="300" w:lineRule="exact"/>
              <w:jc w:val="left"/>
              <w:rPr>
                <w:rFonts w:ascii="方正书宋_GBK" w:eastAsia="方正书宋_GBK"/>
              </w:rPr>
            </w:pPr>
          </w:p>
        </w:tc>
        <w:tc>
          <w:tcPr>
            <w:tcW w:w="1417" w:type="dxa"/>
            <w:shd w:val="clear" w:color="auto" w:fill="auto"/>
            <w:vAlign w:val="center"/>
          </w:tcPr>
          <w:p w14:paraId="550D8C67">
            <w:pPr>
              <w:spacing w:line="300" w:lineRule="exact"/>
              <w:jc w:val="left"/>
              <w:rPr>
                <w:rFonts w:ascii="方正书宋_GBK" w:eastAsia="方正书宋_GBK"/>
              </w:rPr>
            </w:pPr>
            <w:r>
              <w:rPr>
                <w:rFonts w:ascii="方正书宋_GBK" w:eastAsia="方正书宋_GBK"/>
              </w:rPr>
              <w:t>提交市政协大会集体提案</w:t>
            </w:r>
          </w:p>
        </w:tc>
        <w:tc>
          <w:tcPr>
            <w:tcW w:w="737" w:type="dxa"/>
            <w:shd w:val="clear" w:color="auto" w:fill="auto"/>
            <w:vAlign w:val="center"/>
          </w:tcPr>
          <w:p w14:paraId="1F62D420">
            <w:pPr>
              <w:spacing w:line="300" w:lineRule="exact"/>
              <w:jc w:val="center"/>
              <w:rPr>
                <w:rFonts w:ascii="方正书宋_GBK" w:eastAsia="方正书宋_GBK"/>
              </w:rPr>
            </w:pPr>
            <w:r>
              <w:rPr>
                <w:rFonts w:ascii="方正书宋_GBK" w:eastAsia="方正书宋_GBK"/>
              </w:rPr>
              <w:t>≥3</w:t>
            </w:r>
          </w:p>
        </w:tc>
        <w:tc>
          <w:tcPr>
            <w:tcW w:w="737" w:type="dxa"/>
            <w:shd w:val="clear" w:color="auto" w:fill="auto"/>
            <w:vAlign w:val="center"/>
          </w:tcPr>
          <w:p w14:paraId="0CA414E0">
            <w:pPr>
              <w:spacing w:line="300" w:lineRule="exact"/>
              <w:jc w:val="center"/>
              <w:rPr>
                <w:rFonts w:ascii="方正书宋_GBK" w:eastAsia="方正书宋_GBK"/>
              </w:rPr>
            </w:pPr>
            <w:r>
              <w:rPr>
                <w:rFonts w:ascii="方正书宋_GBK" w:eastAsia="方正书宋_GBK"/>
              </w:rPr>
              <w:t>2</w:t>
            </w:r>
          </w:p>
        </w:tc>
        <w:tc>
          <w:tcPr>
            <w:tcW w:w="737" w:type="dxa"/>
            <w:shd w:val="clear" w:color="auto" w:fill="auto"/>
            <w:vAlign w:val="center"/>
          </w:tcPr>
          <w:p w14:paraId="37671021">
            <w:pPr>
              <w:spacing w:line="300" w:lineRule="exact"/>
              <w:jc w:val="center"/>
              <w:rPr>
                <w:rFonts w:ascii="方正书宋_GBK" w:eastAsia="方正书宋_GBK"/>
              </w:rPr>
            </w:pPr>
            <w:r>
              <w:rPr>
                <w:rFonts w:ascii="方正书宋_GBK" w:eastAsia="方正书宋_GBK"/>
              </w:rPr>
              <w:t>1</w:t>
            </w:r>
          </w:p>
        </w:tc>
        <w:tc>
          <w:tcPr>
            <w:tcW w:w="737" w:type="dxa"/>
            <w:shd w:val="clear" w:color="auto" w:fill="auto"/>
            <w:vAlign w:val="center"/>
          </w:tcPr>
          <w:p w14:paraId="7D6F18F0">
            <w:pPr>
              <w:spacing w:line="300" w:lineRule="exact"/>
              <w:jc w:val="center"/>
              <w:rPr>
                <w:rFonts w:ascii="方正书宋_GBK" w:eastAsia="方正书宋_GBK"/>
              </w:rPr>
            </w:pPr>
            <w:r>
              <w:rPr>
                <w:rFonts w:ascii="方正书宋_GBK" w:eastAsia="方正书宋_GBK"/>
              </w:rPr>
              <w:t>0</w:t>
            </w:r>
          </w:p>
        </w:tc>
      </w:tr>
      <w:tr w14:paraId="79D238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19C74693">
            <w:pPr>
              <w:spacing w:line="300" w:lineRule="exact"/>
              <w:jc w:val="left"/>
              <w:rPr>
                <w:rFonts w:ascii="方正书宋_GBK" w:eastAsia="方正书宋_GBK"/>
                <w:b/>
              </w:rPr>
            </w:pPr>
            <w:r>
              <w:rPr>
                <w:rFonts w:ascii="方正书宋_GBK" w:eastAsia="方正书宋_GBK"/>
                <w:b/>
              </w:rPr>
              <w:t>　　2、社会服务</w:t>
            </w:r>
          </w:p>
        </w:tc>
        <w:tc>
          <w:tcPr>
            <w:tcW w:w="1276" w:type="dxa"/>
            <w:vMerge w:val="restart"/>
            <w:shd w:val="clear" w:color="auto" w:fill="auto"/>
            <w:vAlign w:val="center"/>
          </w:tcPr>
          <w:p w14:paraId="3084ADEA">
            <w:pPr>
              <w:spacing w:line="300" w:lineRule="exact"/>
              <w:jc w:val="left"/>
              <w:rPr>
                <w:rFonts w:ascii="方正书宋_GBK" w:eastAsia="方正书宋_GBK"/>
              </w:rPr>
            </w:pPr>
            <w:r>
              <w:rPr>
                <w:rFonts w:ascii="方正书宋_GBK" w:eastAsia="方正书宋_GBK"/>
              </w:rPr>
              <w:t>23.70</w:t>
            </w:r>
          </w:p>
        </w:tc>
        <w:tc>
          <w:tcPr>
            <w:tcW w:w="2976" w:type="dxa"/>
            <w:vMerge w:val="restart"/>
            <w:shd w:val="clear" w:color="auto" w:fill="auto"/>
            <w:vAlign w:val="center"/>
          </w:tcPr>
          <w:p w14:paraId="4D83199D">
            <w:pPr>
              <w:spacing w:line="300" w:lineRule="exact"/>
              <w:jc w:val="left"/>
              <w:rPr>
                <w:rFonts w:ascii="方正书宋_GBK" w:eastAsia="方正书宋_GBK"/>
              </w:rPr>
            </w:pPr>
            <w:r>
              <w:rPr>
                <w:rFonts w:ascii="方正书宋_GBK" w:eastAsia="方正书宋_GBK"/>
              </w:rPr>
              <w:t>积极搭建服务平台，举办招商会、银企对接会、招商引资，民企入市活动及法律维权、科技进民企活动。加强与国内知名企业、海外工商社团的合作交流。组织会员企业参与农村面貌改造提升行动、社会扶贫和公益事业。</w:t>
            </w:r>
          </w:p>
        </w:tc>
        <w:tc>
          <w:tcPr>
            <w:tcW w:w="2976" w:type="dxa"/>
            <w:vMerge w:val="restart"/>
            <w:shd w:val="clear" w:color="auto" w:fill="auto"/>
            <w:vAlign w:val="center"/>
          </w:tcPr>
          <w:p w14:paraId="1EC0763D">
            <w:pPr>
              <w:spacing w:line="300" w:lineRule="exact"/>
              <w:jc w:val="left"/>
              <w:rPr>
                <w:rFonts w:ascii="方正书宋_GBK" w:eastAsia="方正书宋_GBK"/>
              </w:rPr>
            </w:pPr>
            <w:r>
              <w:rPr>
                <w:rFonts w:ascii="方正书宋_GBK" w:eastAsia="方正书宋_GBK"/>
              </w:rPr>
              <w:t>助力三地民营经济协同发展及三地工商联工作协同化，引导会员积极承担社会责任，热心公益事业，投身光彩事业，加强与海外社团沟通交流，发挥工商联在政府管理和服务非公有制经济中的助手作用，助力本市经济发展</w:t>
            </w:r>
          </w:p>
        </w:tc>
        <w:tc>
          <w:tcPr>
            <w:tcW w:w="1417" w:type="dxa"/>
            <w:shd w:val="clear" w:color="auto" w:fill="auto"/>
            <w:vAlign w:val="center"/>
          </w:tcPr>
          <w:p w14:paraId="088C3043">
            <w:pPr>
              <w:spacing w:line="300" w:lineRule="exact"/>
              <w:jc w:val="left"/>
              <w:rPr>
                <w:rFonts w:ascii="方正书宋_GBK" w:eastAsia="方正书宋_GBK"/>
              </w:rPr>
            </w:pPr>
            <w:r>
              <w:rPr>
                <w:rFonts w:ascii="方正书宋_GBK" w:eastAsia="方正书宋_GBK"/>
              </w:rPr>
              <w:t>服务对象满意度</w:t>
            </w:r>
          </w:p>
        </w:tc>
        <w:tc>
          <w:tcPr>
            <w:tcW w:w="737" w:type="dxa"/>
            <w:shd w:val="clear" w:color="auto" w:fill="auto"/>
            <w:vAlign w:val="center"/>
          </w:tcPr>
          <w:p w14:paraId="694B4357">
            <w:pPr>
              <w:spacing w:line="300" w:lineRule="exact"/>
              <w:jc w:val="center"/>
              <w:rPr>
                <w:rFonts w:ascii="方正书宋_GBK" w:eastAsia="方正书宋_GBK"/>
              </w:rPr>
            </w:pPr>
            <w:r>
              <w:rPr>
                <w:rFonts w:ascii="方正书宋_GBK" w:eastAsia="方正书宋_GBK"/>
              </w:rPr>
              <w:t>≥95%</w:t>
            </w:r>
          </w:p>
        </w:tc>
        <w:tc>
          <w:tcPr>
            <w:tcW w:w="737" w:type="dxa"/>
            <w:shd w:val="clear" w:color="auto" w:fill="auto"/>
            <w:vAlign w:val="center"/>
          </w:tcPr>
          <w:p w14:paraId="6AB07C72">
            <w:pPr>
              <w:spacing w:line="300" w:lineRule="exact"/>
              <w:jc w:val="center"/>
              <w:rPr>
                <w:rFonts w:ascii="方正书宋_GBK" w:eastAsia="方正书宋_GBK"/>
              </w:rPr>
            </w:pPr>
            <w:r>
              <w:rPr>
                <w:rFonts w:ascii="方正书宋_GBK" w:eastAsia="方正书宋_GBK"/>
              </w:rPr>
              <w:t>≥90%</w:t>
            </w:r>
          </w:p>
        </w:tc>
        <w:tc>
          <w:tcPr>
            <w:tcW w:w="737" w:type="dxa"/>
            <w:shd w:val="clear" w:color="auto" w:fill="auto"/>
            <w:vAlign w:val="center"/>
          </w:tcPr>
          <w:p w14:paraId="44721C0B">
            <w:pPr>
              <w:spacing w:line="300" w:lineRule="exact"/>
              <w:jc w:val="center"/>
              <w:rPr>
                <w:rFonts w:ascii="方正书宋_GBK" w:eastAsia="方正书宋_GBK"/>
              </w:rPr>
            </w:pPr>
            <w:r>
              <w:rPr>
                <w:rFonts w:ascii="方正书宋_GBK" w:eastAsia="方正书宋_GBK"/>
              </w:rPr>
              <w:t>≥85%</w:t>
            </w:r>
          </w:p>
        </w:tc>
        <w:tc>
          <w:tcPr>
            <w:tcW w:w="737" w:type="dxa"/>
            <w:shd w:val="clear" w:color="auto" w:fill="auto"/>
            <w:vAlign w:val="center"/>
          </w:tcPr>
          <w:p w14:paraId="3FD2F6CC">
            <w:pPr>
              <w:spacing w:line="300" w:lineRule="exact"/>
              <w:jc w:val="center"/>
              <w:rPr>
                <w:rFonts w:ascii="方正书宋_GBK" w:eastAsia="方正书宋_GBK"/>
              </w:rPr>
            </w:pPr>
            <w:r>
              <w:rPr>
                <w:rFonts w:ascii="方正书宋_GBK" w:eastAsia="方正书宋_GBK"/>
              </w:rPr>
              <w:t>＜85%</w:t>
            </w:r>
          </w:p>
        </w:tc>
      </w:tr>
      <w:tr w14:paraId="289FCC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4202C8DD">
            <w:pPr>
              <w:spacing w:line="300" w:lineRule="exact"/>
              <w:jc w:val="left"/>
              <w:rPr>
                <w:rFonts w:ascii="方正书宋_GBK" w:eastAsia="方正书宋_GBK"/>
                <w:b/>
              </w:rPr>
            </w:pPr>
          </w:p>
        </w:tc>
        <w:tc>
          <w:tcPr>
            <w:tcW w:w="1276" w:type="dxa"/>
            <w:vMerge w:val="continue"/>
            <w:shd w:val="clear" w:color="auto" w:fill="auto"/>
            <w:vAlign w:val="center"/>
          </w:tcPr>
          <w:p w14:paraId="71D80842">
            <w:pPr>
              <w:spacing w:line="300" w:lineRule="exact"/>
              <w:jc w:val="left"/>
              <w:rPr>
                <w:rFonts w:ascii="方正书宋_GBK" w:eastAsia="方正书宋_GBK"/>
              </w:rPr>
            </w:pPr>
          </w:p>
        </w:tc>
        <w:tc>
          <w:tcPr>
            <w:tcW w:w="2976" w:type="dxa"/>
            <w:vMerge w:val="continue"/>
            <w:shd w:val="clear" w:color="auto" w:fill="auto"/>
            <w:vAlign w:val="center"/>
          </w:tcPr>
          <w:p w14:paraId="0749E272">
            <w:pPr>
              <w:spacing w:line="300" w:lineRule="exact"/>
              <w:jc w:val="left"/>
              <w:rPr>
                <w:rFonts w:ascii="方正书宋_GBK" w:eastAsia="方正书宋_GBK"/>
              </w:rPr>
            </w:pPr>
          </w:p>
        </w:tc>
        <w:tc>
          <w:tcPr>
            <w:tcW w:w="2976" w:type="dxa"/>
            <w:vMerge w:val="continue"/>
            <w:shd w:val="clear" w:color="auto" w:fill="auto"/>
            <w:vAlign w:val="center"/>
          </w:tcPr>
          <w:p w14:paraId="4C555A4A">
            <w:pPr>
              <w:spacing w:line="300" w:lineRule="exact"/>
              <w:jc w:val="left"/>
              <w:rPr>
                <w:rFonts w:ascii="方正书宋_GBK" w:eastAsia="方正书宋_GBK"/>
              </w:rPr>
            </w:pPr>
          </w:p>
        </w:tc>
        <w:tc>
          <w:tcPr>
            <w:tcW w:w="1417" w:type="dxa"/>
            <w:shd w:val="clear" w:color="auto" w:fill="auto"/>
            <w:vAlign w:val="center"/>
          </w:tcPr>
          <w:p w14:paraId="059A0D00">
            <w:pPr>
              <w:spacing w:line="300" w:lineRule="exact"/>
              <w:jc w:val="left"/>
              <w:rPr>
                <w:rFonts w:ascii="方正书宋_GBK" w:eastAsia="方正书宋_GBK"/>
              </w:rPr>
            </w:pPr>
            <w:r>
              <w:rPr>
                <w:rFonts w:ascii="方正书宋_GBK" w:eastAsia="方正书宋_GBK"/>
              </w:rPr>
              <w:t>银企对接</w:t>
            </w:r>
          </w:p>
        </w:tc>
        <w:tc>
          <w:tcPr>
            <w:tcW w:w="737" w:type="dxa"/>
            <w:shd w:val="clear" w:color="auto" w:fill="auto"/>
            <w:vAlign w:val="center"/>
          </w:tcPr>
          <w:p w14:paraId="18129D62">
            <w:pPr>
              <w:spacing w:line="300" w:lineRule="exact"/>
              <w:jc w:val="center"/>
              <w:rPr>
                <w:rFonts w:ascii="方正书宋_GBK" w:eastAsia="方正书宋_GBK"/>
              </w:rPr>
            </w:pPr>
            <w:r>
              <w:rPr>
                <w:rFonts w:ascii="方正书宋_GBK" w:eastAsia="方正书宋_GBK"/>
              </w:rPr>
              <w:t>≥3</w:t>
            </w:r>
          </w:p>
        </w:tc>
        <w:tc>
          <w:tcPr>
            <w:tcW w:w="737" w:type="dxa"/>
            <w:shd w:val="clear" w:color="auto" w:fill="auto"/>
            <w:vAlign w:val="center"/>
          </w:tcPr>
          <w:p w14:paraId="15A9A16C">
            <w:pPr>
              <w:spacing w:line="300" w:lineRule="exact"/>
              <w:jc w:val="center"/>
              <w:rPr>
                <w:rFonts w:ascii="方正书宋_GBK" w:eastAsia="方正书宋_GBK"/>
              </w:rPr>
            </w:pPr>
            <w:r>
              <w:rPr>
                <w:rFonts w:ascii="方正书宋_GBK" w:eastAsia="方正书宋_GBK"/>
              </w:rPr>
              <w:t>2</w:t>
            </w:r>
          </w:p>
        </w:tc>
        <w:tc>
          <w:tcPr>
            <w:tcW w:w="737" w:type="dxa"/>
            <w:shd w:val="clear" w:color="auto" w:fill="auto"/>
            <w:vAlign w:val="center"/>
          </w:tcPr>
          <w:p w14:paraId="69ABAFAD">
            <w:pPr>
              <w:spacing w:line="300" w:lineRule="exact"/>
              <w:jc w:val="center"/>
              <w:rPr>
                <w:rFonts w:ascii="方正书宋_GBK" w:eastAsia="方正书宋_GBK"/>
              </w:rPr>
            </w:pPr>
            <w:r>
              <w:rPr>
                <w:rFonts w:ascii="方正书宋_GBK" w:eastAsia="方正书宋_GBK"/>
              </w:rPr>
              <w:t>1</w:t>
            </w:r>
          </w:p>
        </w:tc>
        <w:tc>
          <w:tcPr>
            <w:tcW w:w="737" w:type="dxa"/>
            <w:shd w:val="clear" w:color="auto" w:fill="auto"/>
            <w:vAlign w:val="center"/>
          </w:tcPr>
          <w:p w14:paraId="775304FF">
            <w:pPr>
              <w:spacing w:line="300" w:lineRule="exact"/>
              <w:jc w:val="center"/>
              <w:rPr>
                <w:rFonts w:ascii="方正书宋_GBK" w:eastAsia="方正书宋_GBK"/>
              </w:rPr>
            </w:pPr>
            <w:r>
              <w:rPr>
                <w:rFonts w:ascii="方正书宋_GBK" w:eastAsia="方正书宋_GBK"/>
              </w:rPr>
              <w:t>0</w:t>
            </w:r>
          </w:p>
        </w:tc>
      </w:tr>
      <w:tr w14:paraId="02D23F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0A8B72B0">
            <w:pPr>
              <w:spacing w:line="300" w:lineRule="exact"/>
              <w:jc w:val="left"/>
              <w:rPr>
                <w:rFonts w:ascii="方正书宋_GBK" w:eastAsia="方正书宋_GBK"/>
                <w:b/>
              </w:rPr>
            </w:pPr>
          </w:p>
        </w:tc>
        <w:tc>
          <w:tcPr>
            <w:tcW w:w="1276" w:type="dxa"/>
            <w:vMerge w:val="continue"/>
            <w:shd w:val="clear" w:color="auto" w:fill="auto"/>
            <w:vAlign w:val="center"/>
          </w:tcPr>
          <w:p w14:paraId="74E66D8D">
            <w:pPr>
              <w:spacing w:line="300" w:lineRule="exact"/>
              <w:jc w:val="left"/>
              <w:rPr>
                <w:rFonts w:ascii="方正书宋_GBK" w:eastAsia="方正书宋_GBK"/>
              </w:rPr>
            </w:pPr>
          </w:p>
        </w:tc>
        <w:tc>
          <w:tcPr>
            <w:tcW w:w="2976" w:type="dxa"/>
            <w:vMerge w:val="continue"/>
            <w:shd w:val="clear" w:color="auto" w:fill="auto"/>
            <w:vAlign w:val="center"/>
          </w:tcPr>
          <w:p w14:paraId="2B9B4600">
            <w:pPr>
              <w:spacing w:line="300" w:lineRule="exact"/>
              <w:jc w:val="left"/>
              <w:rPr>
                <w:rFonts w:ascii="方正书宋_GBK" w:eastAsia="方正书宋_GBK"/>
              </w:rPr>
            </w:pPr>
          </w:p>
        </w:tc>
        <w:tc>
          <w:tcPr>
            <w:tcW w:w="2976" w:type="dxa"/>
            <w:vMerge w:val="continue"/>
            <w:shd w:val="clear" w:color="auto" w:fill="auto"/>
            <w:vAlign w:val="center"/>
          </w:tcPr>
          <w:p w14:paraId="3694D830">
            <w:pPr>
              <w:spacing w:line="300" w:lineRule="exact"/>
              <w:jc w:val="left"/>
              <w:rPr>
                <w:rFonts w:ascii="方正书宋_GBK" w:eastAsia="方正书宋_GBK"/>
              </w:rPr>
            </w:pPr>
          </w:p>
        </w:tc>
        <w:tc>
          <w:tcPr>
            <w:tcW w:w="1417" w:type="dxa"/>
            <w:shd w:val="clear" w:color="auto" w:fill="auto"/>
            <w:vAlign w:val="center"/>
          </w:tcPr>
          <w:p w14:paraId="1ED4B12E">
            <w:pPr>
              <w:spacing w:line="300" w:lineRule="exact"/>
              <w:jc w:val="left"/>
              <w:rPr>
                <w:rFonts w:ascii="方正书宋_GBK" w:eastAsia="方正书宋_GBK"/>
              </w:rPr>
            </w:pPr>
            <w:r>
              <w:rPr>
                <w:rFonts w:ascii="方正书宋_GBK" w:eastAsia="方正书宋_GBK"/>
              </w:rPr>
              <w:t>合作与交流次数</w:t>
            </w:r>
          </w:p>
        </w:tc>
        <w:tc>
          <w:tcPr>
            <w:tcW w:w="737" w:type="dxa"/>
            <w:shd w:val="clear" w:color="auto" w:fill="auto"/>
            <w:vAlign w:val="center"/>
          </w:tcPr>
          <w:p w14:paraId="4A431103">
            <w:pPr>
              <w:spacing w:line="300" w:lineRule="exact"/>
              <w:jc w:val="center"/>
              <w:rPr>
                <w:rFonts w:ascii="方正书宋_GBK" w:eastAsia="方正书宋_GBK"/>
              </w:rPr>
            </w:pPr>
            <w:r>
              <w:rPr>
                <w:rFonts w:ascii="方正书宋_GBK" w:eastAsia="方正书宋_GBK"/>
              </w:rPr>
              <w:t>≥4</w:t>
            </w:r>
          </w:p>
        </w:tc>
        <w:tc>
          <w:tcPr>
            <w:tcW w:w="737" w:type="dxa"/>
            <w:shd w:val="clear" w:color="auto" w:fill="auto"/>
            <w:vAlign w:val="center"/>
          </w:tcPr>
          <w:p w14:paraId="07951890">
            <w:pPr>
              <w:spacing w:line="300" w:lineRule="exact"/>
              <w:jc w:val="center"/>
              <w:rPr>
                <w:rFonts w:ascii="方正书宋_GBK" w:eastAsia="方正书宋_GBK"/>
              </w:rPr>
            </w:pPr>
            <w:r>
              <w:rPr>
                <w:rFonts w:ascii="方正书宋_GBK" w:eastAsia="方正书宋_GBK"/>
              </w:rPr>
              <w:t>3</w:t>
            </w:r>
          </w:p>
        </w:tc>
        <w:tc>
          <w:tcPr>
            <w:tcW w:w="737" w:type="dxa"/>
            <w:shd w:val="clear" w:color="auto" w:fill="auto"/>
            <w:vAlign w:val="center"/>
          </w:tcPr>
          <w:p w14:paraId="69FF5F4D">
            <w:pPr>
              <w:spacing w:line="300" w:lineRule="exact"/>
              <w:jc w:val="center"/>
              <w:rPr>
                <w:rFonts w:ascii="方正书宋_GBK" w:eastAsia="方正书宋_GBK"/>
              </w:rPr>
            </w:pPr>
            <w:r>
              <w:rPr>
                <w:rFonts w:ascii="方正书宋_GBK" w:eastAsia="方正书宋_GBK"/>
              </w:rPr>
              <w:t>2</w:t>
            </w:r>
          </w:p>
        </w:tc>
        <w:tc>
          <w:tcPr>
            <w:tcW w:w="737" w:type="dxa"/>
            <w:shd w:val="clear" w:color="auto" w:fill="auto"/>
            <w:vAlign w:val="center"/>
          </w:tcPr>
          <w:p w14:paraId="55014BE7">
            <w:pPr>
              <w:spacing w:line="300" w:lineRule="exact"/>
              <w:jc w:val="center"/>
              <w:rPr>
                <w:rFonts w:ascii="方正书宋_GBK" w:eastAsia="方正书宋_GBK"/>
              </w:rPr>
            </w:pPr>
            <w:r>
              <w:rPr>
                <w:rFonts w:ascii="方正书宋_GBK" w:eastAsia="方正书宋_GBK"/>
              </w:rPr>
              <w:t>≤1</w:t>
            </w:r>
          </w:p>
        </w:tc>
      </w:tr>
      <w:tr w14:paraId="4B316F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725F0CB8">
            <w:pPr>
              <w:spacing w:line="300" w:lineRule="exact"/>
              <w:jc w:val="left"/>
              <w:rPr>
                <w:rFonts w:ascii="方正书宋_GBK" w:eastAsia="方正书宋_GBK"/>
                <w:b/>
              </w:rPr>
            </w:pPr>
          </w:p>
        </w:tc>
        <w:tc>
          <w:tcPr>
            <w:tcW w:w="1276" w:type="dxa"/>
            <w:vMerge w:val="continue"/>
            <w:shd w:val="clear" w:color="auto" w:fill="auto"/>
            <w:vAlign w:val="center"/>
          </w:tcPr>
          <w:p w14:paraId="09022D4F">
            <w:pPr>
              <w:spacing w:line="300" w:lineRule="exact"/>
              <w:jc w:val="left"/>
              <w:rPr>
                <w:rFonts w:ascii="方正书宋_GBK" w:eastAsia="方正书宋_GBK"/>
              </w:rPr>
            </w:pPr>
          </w:p>
        </w:tc>
        <w:tc>
          <w:tcPr>
            <w:tcW w:w="2976" w:type="dxa"/>
            <w:vMerge w:val="continue"/>
            <w:shd w:val="clear" w:color="auto" w:fill="auto"/>
            <w:vAlign w:val="center"/>
          </w:tcPr>
          <w:p w14:paraId="1E2695FE">
            <w:pPr>
              <w:spacing w:line="300" w:lineRule="exact"/>
              <w:jc w:val="left"/>
              <w:rPr>
                <w:rFonts w:ascii="方正书宋_GBK" w:eastAsia="方正书宋_GBK"/>
              </w:rPr>
            </w:pPr>
          </w:p>
        </w:tc>
        <w:tc>
          <w:tcPr>
            <w:tcW w:w="2976" w:type="dxa"/>
            <w:vMerge w:val="continue"/>
            <w:shd w:val="clear" w:color="auto" w:fill="auto"/>
            <w:vAlign w:val="center"/>
          </w:tcPr>
          <w:p w14:paraId="658522C0">
            <w:pPr>
              <w:spacing w:line="300" w:lineRule="exact"/>
              <w:jc w:val="left"/>
              <w:rPr>
                <w:rFonts w:ascii="方正书宋_GBK" w:eastAsia="方正书宋_GBK"/>
              </w:rPr>
            </w:pPr>
          </w:p>
        </w:tc>
        <w:tc>
          <w:tcPr>
            <w:tcW w:w="1417" w:type="dxa"/>
            <w:shd w:val="clear" w:color="auto" w:fill="auto"/>
            <w:vAlign w:val="center"/>
          </w:tcPr>
          <w:p w14:paraId="1069DC7D">
            <w:pPr>
              <w:spacing w:line="300" w:lineRule="exact"/>
              <w:jc w:val="left"/>
              <w:rPr>
                <w:rFonts w:ascii="方正书宋_GBK" w:eastAsia="方正书宋_GBK"/>
              </w:rPr>
            </w:pPr>
            <w:r>
              <w:rPr>
                <w:rFonts w:ascii="方正书宋_GBK" w:eastAsia="方正书宋_GBK"/>
              </w:rPr>
              <w:t>组织招商引资活动次数</w:t>
            </w:r>
          </w:p>
        </w:tc>
        <w:tc>
          <w:tcPr>
            <w:tcW w:w="737" w:type="dxa"/>
            <w:shd w:val="clear" w:color="auto" w:fill="auto"/>
            <w:vAlign w:val="center"/>
          </w:tcPr>
          <w:p w14:paraId="4C6AB563">
            <w:pPr>
              <w:spacing w:line="300" w:lineRule="exact"/>
              <w:jc w:val="center"/>
              <w:rPr>
                <w:rFonts w:ascii="方正书宋_GBK" w:eastAsia="方正书宋_GBK"/>
              </w:rPr>
            </w:pPr>
            <w:r>
              <w:rPr>
                <w:rFonts w:ascii="方正书宋_GBK" w:eastAsia="方正书宋_GBK"/>
              </w:rPr>
              <w:t>≥2</w:t>
            </w:r>
          </w:p>
        </w:tc>
        <w:tc>
          <w:tcPr>
            <w:tcW w:w="737" w:type="dxa"/>
            <w:shd w:val="clear" w:color="auto" w:fill="auto"/>
            <w:vAlign w:val="center"/>
          </w:tcPr>
          <w:p w14:paraId="29858D44">
            <w:pPr>
              <w:spacing w:line="300" w:lineRule="exact"/>
              <w:jc w:val="center"/>
              <w:rPr>
                <w:rFonts w:ascii="方正书宋_GBK" w:eastAsia="方正书宋_GBK"/>
              </w:rPr>
            </w:pPr>
            <w:r>
              <w:rPr>
                <w:rFonts w:ascii="方正书宋_GBK" w:eastAsia="方正书宋_GBK"/>
              </w:rPr>
              <w:t>1</w:t>
            </w:r>
          </w:p>
        </w:tc>
        <w:tc>
          <w:tcPr>
            <w:tcW w:w="737" w:type="dxa"/>
            <w:shd w:val="clear" w:color="auto" w:fill="auto"/>
            <w:vAlign w:val="center"/>
          </w:tcPr>
          <w:p w14:paraId="256F10D8">
            <w:pPr>
              <w:spacing w:line="300" w:lineRule="exact"/>
              <w:jc w:val="center"/>
              <w:rPr>
                <w:rFonts w:ascii="方正书宋_GBK" w:eastAsia="方正书宋_GBK"/>
              </w:rPr>
            </w:pPr>
            <w:r>
              <w:rPr>
                <w:rFonts w:ascii="方正书宋_GBK" w:eastAsia="方正书宋_GBK"/>
              </w:rPr>
              <w:t>0</w:t>
            </w:r>
          </w:p>
        </w:tc>
        <w:tc>
          <w:tcPr>
            <w:tcW w:w="737" w:type="dxa"/>
            <w:shd w:val="clear" w:color="auto" w:fill="auto"/>
            <w:vAlign w:val="center"/>
          </w:tcPr>
          <w:p w14:paraId="4AB38EBC">
            <w:pPr>
              <w:spacing w:line="300" w:lineRule="exact"/>
              <w:jc w:val="center"/>
              <w:rPr>
                <w:rFonts w:ascii="方正书宋_GBK" w:eastAsia="方正书宋_GBK"/>
              </w:rPr>
            </w:pPr>
            <w:r>
              <w:rPr>
                <w:rFonts w:ascii="方正书宋_GBK" w:eastAsia="方正书宋_GBK"/>
              </w:rPr>
              <w:t>0</w:t>
            </w:r>
          </w:p>
        </w:tc>
      </w:tr>
      <w:tr w14:paraId="4F07C0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45168DE2">
            <w:pPr>
              <w:spacing w:line="300" w:lineRule="exact"/>
              <w:jc w:val="left"/>
              <w:rPr>
                <w:rFonts w:ascii="方正书宋_GBK" w:eastAsia="方正书宋_GBK"/>
                <w:b/>
              </w:rPr>
            </w:pPr>
          </w:p>
        </w:tc>
        <w:tc>
          <w:tcPr>
            <w:tcW w:w="1276" w:type="dxa"/>
            <w:vMerge w:val="continue"/>
            <w:shd w:val="clear" w:color="auto" w:fill="auto"/>
            <w:vAlign w:val="center"/>
          </w:tcPr>
          <w:p w14:paraId="69C55259">
            <w:pPr>
              <w:spacing w:line="300" w:lineRule="exact"/>
              <w:jc w:val="left"/>
              <w:rPr>
                <w:rFonts w:ascii="方正书宋_GBK" w:eastAsia="方正书宋_GBK"/>
              </w:rPr>
            </w:pPr>
          </w:p>
        </w:tc>
        <w:tc>
          <w:tcPr>
            <w:tcW w:w="2976" w:type="dxa"/>
            <w:vMerge w:val="continue"/>
            <w:shd w:val="clear" w:color="auto" w:fill="auto"/>
            <w:vAlign w:val="center"/>
          </w:tcPr>
          <w:p w14:paraId="13AE6E3C">
            <w:pPr>
              <w:spacing w:line="300" w:lineRule="exact"/>
              <w:jc w:val="left"/>
              <w:rPr>
                <w:rFonts w:ascii="方正书宋_GBK" w:eastAsia="方正书宋_GBK"/>
              </w:rPr>
            </w:pPr>
          </w:p>
        </w:tc>
        <w:tc>
          <w:tcPr>
            <w:tcW w:w="2976" w:type="dxa"/>
            <w:vMerge w:val="continue"/>
            <w:shd w:val="clear" w:color="auto" w:fill="auto"/>
            <w:vAlign w:val="center"/>
          </w:tcPr>
          <w:p w14:paraId="725BF8F3">
            <w:pPr>
              <w:spacing w:line="300" w:lineRule="exact"/>
              <w:jc w:val="left"/>
              <w:rPr>
                <w:rFonts w:ascii="方正书宋_GBK" w:eastAsia="方正书宋_GBK"/>
              </w:rPr>
            </w:pPr>
          </w:p>
        </w:tc>
        <w:tc>
          <w:tcPr>
            <w:tcW w:w="1417" w:type="dxa"/>
            <w:shd w:val="clear" w:color="auto" w:fill="auto"/>
            <w:vAlign w:val="center"/>
          </w:tcPr>
          <w:p w14:paraId="28F8A788">
            <w:pPr>
              <w:spacing w:line="300" w:lineRule="exact"/>
              <w:jc w:val="left"/>
              <w:rPr>
                <w:rFonts w:ascii="方正书宋_GBK" w:eastAsia="方正书宋_GBK"/>
              </w:rPr>
            </w:pPr>
            <w:r>
              <w:rPr>
                <w:rFonts w:ascii="方正书宋_GBK" w:eastAsia="方正书宋_GBK"/>
              </w:rPr>
              <w:t>法律维权服务次数</w:t>
            </w:r>
          </w:p>
        </w:tc>
        <w:tc>
          <w:tcPr>
            <w:tcW w:w="737" w:type="dxa"/>
            <w:shd w:val="clear" w:color="auto" w:fill="auto"/>
            <w:vAlign w:val="center"/>
          </w:tcPr>
          <w:p w14:paraId="63DC73EF">
            <w:pPr>
              <w:spacing w:line="300" w:lineRule="exact"/>
              <w:jc w:val="center"/>
              <w:rPr>
                <w:rFonts w:ascii="方正书宋_GBK" w:eastAsia="方正书宋_GBK"/>
              </w:rPr>
            </w:pPr>
            <w:r>
              <w:rPr>
                <w:rFonts w:ascii="方正书宋_GBK" w:eastAsia="方正书宋_GBK"/>
              </w:rPr>
              <w:t>≥4</w:t>
            </w:r>
          </w:p>
        </w:tc>
        <w:tc>
          <w:tcPr>
            <w:tcW w:w="737" w:type="dxa"/>
            <w:shd w:val="clear" w:color="auto" w:fill="auto"/>
            <w:vAlign w:val="center"/>
          </w:tcPr>
          <w:p w14:paraId="1859B7AC">
            <w:pPr>
              <w:spacing w:line="300" w:lineRule="exact"/>
              <w:jc w:val="center"/>
              <w:rPr>
                <w:rFonts w:ascii="方正书宋_GBK" w:eastAsia="方正书宋_GBK"/>
              </w:rPr>
            </w:pPr>
            <w:r>
              <w:rPr>
                <w:rFonts w:ascii="方正书宋_GBK" w:eastAsia="方正书宋_GBK"/>
              </w:rPr>
              <w:t>3</w:t>
            </w:r>
          </w:p>
        </w:tc>
        <w:tc>
          <w:tcPr>
            <w:tcW w:w="737" w:type="dxa"/>
            <w:shd w:val="clear" w:color="auto" w:fill="auto"/>
            <w:vAlign w:val="center"/>
          </w:tcPr>
          <w:p w14:paraId="7BE93C24">
            <w:pPr>
              <w:spacing w:line="300" w:lineRule="exact"/>
              <w:jc w:val="center"/>
              <w:rPr>
                <w:rFonts w:ascii="方正书宋_GBK" w:eastAsia="方正书宋_GBK"/>
              </w:rPr>
            </w:pPr>
            <w:r>
              <w:rPr>
                <w:rFonts w:ascii="方正书宋_GBK" w:eastAsia="方正书宋_GBK"/>
              </w:rPr>
              <w:t>2</w:t>
            </w:r>
          </w:p>
        </w:tc>
        <w:tc>
          <w:tcPr>
            <w:tcW w:w="737" w:type="dxa"/>
            <w:shd w:val="clear" w:color="auto" w:fill="auto"/>
            <w:vAlign w:val="center"/>
          </w:tcPr>
          <w:p w14:paraId="2F204887">
            <w:pPr>
              <w:spacing w:line="300" w:lineRule="exact"/>
              <w:jc w:val="center"/>
              <w:rPr>
                <w:rFonts w:ascii="方正书宋_GBK" w:eastAsia="方正书宋_GBK"/>
              </w:rPr>
            </w:pPr>
            <w:r>
              <w:rPr>
                <w:rFonts w:ascii="方正书宋_GBK" w:eastAsia="方正书宋_GBK"/>
              </w:rPr>
              <w:t>≤1</w:t>
            </w:r>
          </w:p>
        </w:tc>
      </w:tr>
      <w:tr w14:paraId="288B44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9C2D2DC">
            <w:pPr>
              <w:spacing w:line="300" w:lineRule="exact"/>
              <w:jc w:val="left"/>
              <w:rPr>
                <w:rFonts w:ascii="方正书宋_GBK" w:eastAsia="方正书宋_GBK"/>
                <w:b/>
              </w:rPr>
            </w:pPr>
            <w:r>
              <w:rPr>
                <w:rFonts w:ascii="方正书宋_GBK" w:eastAsia="方正书宋_GBK"/>
                <w:b/>
              </w:rPr>
              <w:t>二、组织建设</w:t>
            </w:r>
          </w:p>
        </w:tc>
        <w:tc>
          <w:tcPr>
            <w:tcW w:w="1276" w:type="dxa"/>
            <w:shd w:val="clear" w:color="auto" w:fill="auto"/>
            <w:vAlign w:val="center"/>
          </w:tcPr>
          <w:p w14:paraId="2142DF8F">
            <w:pPr>
              <w:spacing w:line="300" w:lineRule="exact"/>
              <w:jc w:val="left"/>
              <w:rPr>
                <w:rFonts w:ascii="方正书宋_GBK" w:eastAsia="方正书宋_GBK"/>
              </w:rPr>
            </w:pPr>
            <w:r>
              <w:rPr>
                <w:rFonts w:ascii="方正书宋_GBK" w:eastAsia="方正书宋_GBK"/>
              </w:rPr>
              <w:t>91.25</w:t>
            </w:r>
          </w:p>
        </w:tc>
        <w:tc>
          <w:tcPr>
            <w:tcW w:w="2976" w:type="dxa"/>
            <w:shd w:val="clear" w:color="auto" w:fill="auto"/>
            <w:vAlign w:val="center"/>
          </w:tcPr>
          <w:p w14:paraId="1382DC1F">
            <w:pPr>
              <w:spacing w:line="300" w:lineRule="exact"/>
              <w:jc w:val="left"/>
              <w:rPr>
                <w:rFonts w:ascii="方正书宋_GBK" w:eastAsia="方正书宋_GBK"/>
              </w:rPr>
            </w:pPr>
            <w:r>
              <w:rPr>
                <w:rFonts w:ascii="方正书宋_GBK" w:eastAsia="方正书宋_GBK"/>
              </w:rPr>
              <w:t>组织建设及宣传教育、培训等事项</w:t>
            </w:r>
          </w:p>
        </w:tc>
        <w:tc>
          <w:tcPr>
            <w:tcW w:w="2976" w:type="dxa"/>
            <w:shd w:val="clear" w:color="auto" w:fill="auto"/>
            <w:vAlign w:val="center"/>
          </w:tcPr>
          <w:p w14:paraId="3464F18D">
            <w:pPr>
              <w:spacing w:line="300" w:lineRule="exact"/>
              <w:jc w:val="left"/>
              <w:rPr>
                <w:rFonts w:ascii="方正书宋_GBK" w:eastAsia="方正书宋_GBK"/>
              </w:rPr>
            </w:pPr>
            <w:r>
              <w:rPr>
                <w:rFonts w:ascii="方正书宋_GBK" w:eastAsia="方正书宋_GBK"/>
              </w:rPr>
              <w:t>发展工商联会员、指导基层工商联组织建设；组织培训、思想政治教育，对非公有制经济优秀事迹进行宣传等事项。</w:t>
            </w:r>
          </w:p>
        </w:tc>
        <w:tc>
          <w:tcPr>
            <w:tcW w:w="1417" w:type="dxa"/>
            <w:shd w:val="clear" w:color="auto" w:fill="auto"/>
            <w:vAlign w:val="center"/>
          </w:tcPr>
          <w:p w14:paraId="5E4E3714">
            <w:pPr>
              <w:spacing w:line="300" w:lineRule="exact"/>
              <w:jc w:val="left"/>
              <w:rPr>
                <w:rFonts w:ascii="方正书宋_GBK" w:eastAsia="方正书宋_GBK"/>
              </w:rPr>
            </w:pPr>
          </w:p>
        </w:tc>
        <w:tc>
          <w:tcPr>
            <w:tcW w:w="737" w:type="dxa"/>
            <w:shd w:val="clear" w:color="auto" w:fill="auto"/>
            <w:vAlign w:val="center"/>
          </w:tcPr>
          <w:p w14:paraId="07E5DA8C">
            <w:pPr>
              <w:spacing w:line="300" w:lineRule="exact"/>
              <w:jc w:val="center"/>
              <w:rPr>
                <w:rFonts w:ascii="方正书宋_GBK" w:eastAsia="方正书宋_GBK"/>
              </w:rPr>
            </w:pPr>
          </w:p>
        </w:tc>
        <w:tc>
          <w:tcPr>
            <w:tcW w:w="737" w:type="dxa"/>
            <w:shd w:val="clear" w:color="auto" w:fill="auto"/>
            <w:vAlign w:val="center"/>
          </w:tcPr>
          <w:p w14:paraId="56FFE771">
            <w:pPr>
              <w:spacing w:line="300" w:lineRule="exact"/>
              <w:jc w:val="center"/>
              <w:rPr>
                <w:rFonts w:ascii="方正书宋_GBK" w:eastAsia="方正书宋_GBK"/>
              </w:rPr>
            </w:pPr>
          </w:p>
        </w:tc>
        <w:tc>
          <w:tcPr>
            <w:tcW w:w="737" w:type="dxa"/>
            <w:shd w:val="clear" w:color="auto" w:fill="auto"/>
            <w:vAlign w:val="center"/>
          </w:tcPr>
          <w:p w14:paraId="7187E55A">
            <w:pPr>
              <w:spacing w:line="300" w:lineRule="exact"/>
              <w:jc w:val="center"/>
              <w:rPr>
                <w:rFonts w:ascii="方正书宋_GBK" w:eastAsia="方正书宋_GBK"/>
              </w:rPr>
            </w:pPr>
          </w:p>
        </w:tc>
        <w:tc>
          <w:tcPr>
            <w:tcW w:w="737" w:type="dxa"/>
            <w:shd w:val="clear" w:color="auto" w:fill="auto"/>
            <w:vAlign w:val="center"/>
          </w:tcPr>
          <w:p w14:paraId="3E7E1228">
            <w:pPr>
              <w:spacing w:line="300" w:lineRule="exact"/>
              <w:jc w:val="center"/>
              <w:rPr>
                <w:rFonts w:ascii="方正书宋_GBK" w:eastAsia="方正书宋_GBK"/>
              </w:rPr>
            </w:pPr>
          </w:p>
        </w:tc>
      </w:tr>
      <w:tr w14:paraId="060CE8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48B33B70">
            <w:pPr>
              <w:spacing w:line="300" w:lineRule="exact"/>
              <w:jc w:val="left"/>
              <w:rPr>
                <w:rFonts w:ascii="方正书宋_GBK" w:eastAsia="方正书宋_GBK"/>
                <w:b/>
              </w:rPr>
            </w:pPr>
            <w:r>
              <w:rPr>
                <w:rFonts w:ascii="方正书宋_GBK" w:eastAsia="方正书宋_GBK"/>
                <w:b/>
              </w:rPr>
              <w:t>　　1、组织建设及宣传教育、培训</w:t>
            </w:r>
          </w:p>
        </w:tc>
        <w:tc>
          <w:tcPr>
            <w:tcW w:w="1276" w:type="dxa"/>
            <w:vMerge w:val="restart"/>
            <w:shd w:val="clear" w:color="auto" w:fill="auto"/>
            <w:vAlign w:val="center"/>
          </w:tcPr>
          <w:p w14:paraId="66C16879">
            <w:pPr>
              <w:spacing w:line="300" w:lineRule="exact"/>
              <w:jc w:val="left"/>
              <w:rPr>
                <w:rFonts w:ascii="方正书宋_GBK" w:eastAsia="方正书宋_GBK"/>
              </w:rPr>
            </w:pPr>
            <w:r>
              <w:rPr>
                <w:rFonts w:ascii="方正书宋_GBK" w:eastAsia="方正书宋_GBK"/>
              </w:rPr>
              <w:t>91.25</w:t>
            </w:r>
          </w:p>
        </w:tc>
        <w:tc>
          <w:tcPr>
            <w:tcW w:w="2976" w:type="dxa"/>
            <w:vMerge w:val="restart"/>
            <w:shd w:val="clear" w:color="auto" w:fill="auto"/>
            <w:vAlign w:val="center"/>
          </w:tcPr>
          <w:p w14:paraId="0BFFB9A5">
            <w:pPr>
              <w:spacing w:line="300" w:lineRule="exact"/>
              <w:jc w:val="left"/>
              <w:rPr>
                <w:rFonts w:ascii="方正书宋_GBK" w:eastAsia="方正书宋_GBK"/>
              </w:rPr>
            </w:pPr>
            <w:r>
              <w:rPr>
                <w:rFonts w:ascii="方正书宋_GBK" w:eastAsia="方正书宋_GBK"/>
              </w:rPr>
              <w:t>贯彻全国工商联组织建设工作方针，指导全市各级组织的建设，维护会员合法权益，组织换届、培训、思想教育和基层建设工作，对非公有制经济优秀事迹进行宣传。</w:t>
            </w:r>
          </w:p>
        </w:tc>
        <w:tc>
          <w:tcPr>
            <w:tcW w:w="2976" w:type="dxa"/>
            <w:vMerge w:val="restart"/>
            <w:shd w:val="clear" w:color="auto" w:fill="auto"/>
            <w:vAlign w:val="center"/>
          </w:tcPr>
          <w:p w14:paraId="7A1BDC8C">
            <w:pPr>
              <w:spacing w:line="300" w:lineRule="exact"/>
              <w:jc w:val="left"/>
              <w:rPr>
                <w:rFonts w:ascii="方正书宋_GBK" w:eastAsia="方正书宋_GBK"/>
              </w:rPr>
            </w:pPr>
            <w:r>
              <w:rPr>
                <w:rFonts w:ascii="方正书宋_GBK" w:eastAsia="方正书宋_GBK"/>
              </w:rPr>
              <w:t>指导全市各级组织建设。提升民营企业家素质，推进民营企业文化建设，提升工商联工作影响力。</w:t>
            </w:r>
          </w:p>
        </w:tc>
        <w:tc>
          <w:tcPr>
            <w:tcW w:w="1417" w:type="dxa"/>
            <w:shd w:val="clear" w:color="auto" w:fill="auto"/>
            <w:vAlign w:val="center"/>
          </w:tcPr>
          <w:p w14:paraId="6E6DB40B">
            <w:pPr>
              <w:spacing w:line="300" w:lineRule="exact"/>
              <w:jc w:val="left"/>
              <w:rPr>
                <w:rFonts w:ascii="方正书宋_GBK" w:eastAsia="方正书宋_GBK"/>
              </w:rPr>
            </w:pPr>
            <w:r>
              <w:rPr>
                <w:rFonts w:ascii="方正书宋_GBK" w:eastAsia="方正书宋_GBK"/>
              </w:rPr>
              <w:t>工商联网站、微信平台等各种宣传媒介宣传篇数</w:t>
            </w:r>
          </w:p>
        </w:tc>
        <w:tc>
          <w:tcPr>
            <w:tcW w:w="737" w:type="dxa"/>
            <w:shd w:val="clear" w:color="auto" w:fill="auto"/>
            <w:vAlign w:val="center"/>
          </w:tcPr>
          <w:p w14:paraId="6AF8F067">
            <w:pPr>
              <w:spacing w:line="300" w:lineRule="exact"/>
              <w:jc w:val="center"/>
              <w:rPr>
                <w:rFonts w:ascii="方正书宋_GBK" w:eastAsia="方正书宋_GBK"/>
              </w:rPr>
            </w:pPr>
            <w:r>
              <w:rPr>
                <w:rFonts w:ascii="方正书宋_GBK" w:eastAsia="方正书宋_GBK"/>
              </w:rPr>
              <w:t>≥10</w:t>
            </w:r>
          </w:p>
        </w:tc>
        <w:tc>
          <w:tcPr>
            <w:tcW w:w="737" w:type="dxa"/>
            <w:shd w:val="clear" w:color="auto" w:fill="auto"/>
            <w:vAlign w:val="center"/>
          </w:tcPr>
          <w:p w14:paraId="1BEDD44C">
            <w:pPr>
              <w:spacing w:line="300" w:lineRule="exact"/>
              <w:jc w:val="center"/>
              <w:rPr>
                <w:rFonts w:ascii="方正书宋_GBK" w:eastAsia="方正书宋_GBK"/>
              </w:rPr>
            </w:pPr>
            <w:r>
              <w:rPr>
                <w:rFonts w:ascii="方正书宋_GBK" w:eastAsia="方正书宋_GBK"/>
              </w:rPr>
              <w:t>≥8</w:t>
            </w:r>
          </w:p>
        </w:tc>
        <w:tc>
          <w:tcPr>
            <w:tcW w:w="737" w:type="dxa"/>
            <w:shd w:val="clear" w:color="auto" w:fill="auto"/>
            <w:vAlign w:val="center"/>
          </w:tcPr>
          <w:p w14:paraId="4A59614A">
            <w:pPr>
              <w:spacing w:line="300" w:lineRule="exact"/>
              <w:jc w:val="center"/>
              <w:rPr>
                <w:rFonts w:ascii="方正书宋_GBK" w:eastAsia="方正书宋_GBK"/>
              </w:rPr>
            </w:pPr>
            <w:r>
              <w:rPr>
                <w:rFonts w:ascii="方正书宋_GBK" w:eastAsia="方正书宋_GBK"/>
              </w:rPr>
              <w:t>≥6</w:t>
            </w:r>
          </w:p>
        </w:tc>
        <w:tc>
          <w:tcPr>
            <w:tcW w:w="737" w:type="dxa"/>
            <w:shd w:val="clear" w:color="auto" w:fill="auto"/>
            <w:vAlign w:val="center"/>
          </w:tcPr>
          <w:p w14:paraId="576027E2">
            <w:pPr>
              <w:spacing w:line="300" w:lineRule="exact"/>
              <w:jc w:val="center"/>
              <w:rPr>
                <w:rFonts w:ascii="方正书宋_GBK" w:eastAsia="方正书宋_GBK"/>
              </w:rPr>
            </w:pPr>
            <w:r>
              <w:rPr>
                <w:rFonts w:ascii="方正书宋_GBK" w:eastAsia="方正书宋_GBK"/>
              </w:rPr>
              <w:t>＜6</w:t>
            </w:r>
          </w:p>
        </w:tc>
      </w:tr>
      <w:tr w14:paraId="2F6F27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6F44B3E5">
            <w:pPr>
              <w:spacing w:line="300" w:lineRule="exact"/>
              <w:jc w:val="left"/>
              <w:rPr>
                <w:rFonts w:ascii="方正书宋_GBK" w:eastAsia="方正书宋_GBK"/>
                <w:b/>
              </w:rPr>
            </w:pPr>
          </w:p>
        </w:tc>
        <w:tc>
          <w:tcPr>
            <w:tcW w:w="1276" w:type="dxa"/>
            <w:vMerge w:val="continue"/>
            <w:shd w:val="clear" w:color="auto" w:fill="auto"/>
            <w:vAlign w:val="center"/>
          </w:tcPr>
          <w:p w14:paraId="7B2E1687">
            <w:pPr>
              <w:spacing w:line="300" w:lineRule="exact"/>
              <w:jc w:val="left"/>
              <w:rPr>
                <w:rFonts w:ascii="方正书宋_GBK" w:eastAsia="方正书宋_GBK"/>
              </w:rPr>
            </w:pPr>
          </w:p>
        </w:tc>
        <w:tc>
          <w:tcPr>
            <w:tcW w:w="2976" w:type="dxa"/>
            <w:vMerge w:val="continue"/>
            <w:shd w:val="clear" w:color="auto" w:fill="auto"/>
            <w:vAlign w:val="center"/>
          </w:tcPr>
          <w:p w14:paraId="72D3248D">
            <w:pPr>
              <w:spacing w:line="300" w:lineRule="exact"/>
              <w:jc w:val="left"/>
              <w:rPr>
                <w:rFonts w:ascii="方正书宋_GBK" w:eastAsia="方正书宋_GBK"/>
              </w:rPr>
            </w:pPr>
          </w:p>
        </w:tc>
        <w:tc>
          <w:tcPr>
            <w:tcW w:w="2976" w:type="dxa"/>
            <w:vMerge w:val="continue"/>
            <w:shd w:val="clear" w:color="auto" w:fill="auto"/>
            <w:vAlign w:val="center"/>
          </w:tcPr>
          <w:p w14:paraId="64A37047">
            <w:pPr>
              <w:spacing w:line="300" w:lineRule="exact"/>
              <w:jc w:val="left"/>
              <w:rPr>
                <w:rFonts w:ascii="方正书宋_GBK" w:eastAsia="方正书宋_GBK"/>
              </w:rPr>
            </w:pPr>
          </w:p>
        </w:tc>
        <w:tc>
          <w:tcPr>
            <w:tcW w:w="1417" w:type="dxa"/>
            <w:shd w:val="clear" w:color="auto" w:fill="auto"/>
            <w:vAlign w:val="center"/>
          </w:tcPr>
          <w:p w14:paraId="72765747">
            <w:pPr>
              <w:spacing w:line="300" w:lineRule="exact"/>
              <w:jc w:val="left"/>
              <w:rPr>
                <w:rFonts w:ascii="方正书宋_GBK" w:eastAsia="方正书宋_GBK"/>
              </w:rPr>
            </w:pPr>
            <w:r>
              <w:rPr>
                <w:rFonts w:ascii="方正书宋_GBK" w:eastAsia="方正书宋_GBK"/>
              </w:rPr>
              <w:t>培训教育活动参与者满意度</w:t>
            </w:r>
          </w:p>
        </w:tc>
        <w:tc>
          <w:tcPr>
            <w:tcW w:w="737" w:type="dxa"/>
            <w:shd w:val="clear" w:color="auto" w:fill="auto"/>
            <w:vAlign w:val="center"/>
          </w:tcPr>
          <w:p w14:paraId="58D31B44">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107B47FD">
            <w:pPr>
              <w:spacing w:line="300" w:lineRule="exact"/>
              <w:jc w:val="center"/>
              <w:rPr>
                <w:rFonts w:ascii="方正书宋_GBK" w:eastAsia="方正书宋_GBK"/>
              </w:rPr>
            </w:pPr>
            <w:r>
              <w:rPr>
                <w:rFonts w:ascii="方正书宋_GBK" w:eastAsia="方正书宋_GBK"/>
              </w:rPr>
              <w:t>≥95%</w:t>
            </w:r>
          </w:p>
        </w:tc>
        <w:tc>
          <w:tcPr>
            <w:tcW w:w="737" w:type="dxa"/>
            <w:shd w:val="clear" w:color="auto" w:fill="auto"/>
            <w:vAlign w:val="center"/>
          </w:tcPr>
          <w:p w14:paraId="6941B718">
            <w:pPr>
              <w:spacing w:line="300" w:lineRule="exact"/>
              <w:jc w:val="center"/>
              <w:rPr>
                <w:rFonts w:ascii="方正书宋_GBK" w:eastAsia="方正书宋_GBK"/>
              </w:rPr>
            </w:pPr>
            <w:r>
              <w:rPr>
                <w:rFonts w:ascii="方正书宋_GBK" w:eastAsia="方正书宋_GBK"/>
              </w:rPr>
              <w:t>≥90%</w:t>
            </w:r>
          </w:p>
        </w:tc>
        <w:tc>
          <w:tcPr>
            <w:tcW w:w="737" w:type="dxa"/>
            <w:shd w:val="clear" w:color="auto" w:fill="auto"/>
            <w:vAlign w:val="center"/>
          </w:tcPr>
          <w:p w14:paraId="5182CE11">
            <w:pPr>
              <w:spacing w:line="300" w:lineRule="exact"/>
              <w:jc w:val="center"/>
              <w:rPr>
                <w:rFonts w:ascii="方正书宋_GBK" w:eastAsia="方正书宋_GBK"/>
              </w:rPr>
            </w:pPr>
            <w:r>
              <w:rPr>
                <w:rFonts w:ascii="方正书宋_GBK" w:eastAsia="方正书宋_GBK"/>
              </w:rPr>
              <w:t>＜90%</w:t>
            </w:r>
          </w:p>
        </w:tc>
      </w:tr>
      <w:tr w14:paraId="49C10A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49B167EE">
            <w:pPr>
              <w:spacing w:line="300" w:lineRule="exact"/>
              <w:jc w:val="left"/>
              <w:rPr>
                <w:rFonts w:ascii="方正书宋_GBK" w:eastAsia="方正书宋_GBK"/>
                <w:b/>
              </w:rPr>
            </w:pPr>
          </w:p>
        </w:tc>
        <w:tc>
          <w:tcPr>
            <w:tcW w:w="1276" w:type="dxa"/>
            <w:vMerge w:val="continue"/>
            <w:shd w:val="clear" w:color="auto" w:fill="auto"/>
            <w:vAlign w:val="center"/>
          </w:tcPr>
          <w:p w14:paraId="7D323AC9">
            <w:pPr>
              <w:spacing w:line="300" w:lineRule="exact"/>
              <w:jc w:val="left"/>
              <w:rPr>
                <w:rFonts w:ascii="方正书宋_GBK" w:eastAsia="方正书宋_GBK"/>
              </w:rPr>
            </w:pPr>
          </w:p>
        </w:tc>
        <w:tc>
          <w:tcPr>
            <w:tcW w:w="2976" w:type="dxa"/>
            <w:vMerge w:val="continue"/>
            <w:shd w:val="clear" w:color="auto" w:fill="auto"/>
            <w:vAlign w:val="center"/>
          </w:tcPr>
          <w:p w14:paraId="584EC5EC">
            <w:pPr>
              <w:spacing w:line="300" w:lineRule="exact"/>
              <w:jc w:val="left"/>
              <w:rPr>
                <w:rFonts w:ascii="方正书宋_GBK" w:eastAsia="方正书宋_GBK"/>
              </w:rPr>
            </w:pPr>
          </w:p>
        </w:tc>
        <w:tc>
          <w:tcPr>
            <w:tcW w:w="2976" w:type="dxa"/>
            <w:vMerge w:val="continue"/>
            <w:shd w:val="clear" w:color="auto" w:fill="auto"/>
            <w:vAlign w:val="center"/>
          </w:tcPr>
          <w:p w14:paraId="3F0C60BF">
            <w:pPr>
              <w:spacing w:line="300" w:lineRule="exact"/>
              <w:jc w:val="left"/>
              <w:rPr>
                <w:rFonts w:ascii="方正书宋_GBK" w:eastAsia="方正书宋_GBK"/>
              </w:rPr>
            </w:pPr>
          </w:p>
        </w:tc>
        <w:tc>
          <w:tcPr>
            <w:tcW w:w="1417" w:type="dxa"/>
            <w:shd w:val="clear" w:color="auto" w:fill="auto"/>
            <w:vAlign w:val="center"/>
          </w:tcPr>
          <w:p w14:paraId="40E7B3E4">
            <w:pPr>
              <w:spacing w:line="300" w:lineRule="exact"/>
              <w:jc w:val="left"/>
              <w:rPr>
                <w:rFonts w:ascii="方正书宋_GBK" w:eastAsia="方正书宋_GBK"/>
              </w:rPr>
            </w:pPr>
            <w:r>
              <w:rPr>
                <w:rFonts w:ascii="方正书宋_GBK" w:eastAsia="方正书宋_GBK"/>
              </w:rPr>
              <w:t>执委会</w:t>
            </w:r>
          </w:p>
        </w:tc>
        <w:tc>
          <w:tcPr>
            <w:tcW w:w="737" w:type="dxa"/>
            <w:shd w:val="clear" w:color="auto" w:fill="auto"/>
            <w:vAlign w:val="center"/>
          </w:tcPr>
          <w:p w14:paraId="32F82B12">
            <w:pPr>
              <w:spacing w:line="300" w:lineRule="exact"/>
              <w:jc w:val="center"/>
              <w:rPr>
                <w:rFonts w:ascii="方正书宋_GBK" w:eastAsia="方正书宋_GBK"/>
              </w:rPr>
            </w:pPr>
            <w:r>
              <w:rPr>
                <w:rFonts w:ascii="方正书宋_GBK" w:eastAsia="方正书宋_GBK"/>
              </w:rPr>
              <w:t>召开</w:t>
            </w:r>
          </w:p>
        </w:tc>
        <w:tc>
          <w:tcPr>
            <w:tcW w:w="737" w:type="dxa"/>
            <w:shd w:val="clear" w:color="auto" w:fill="auto"/>
            <w:vAlign w:val="center"/>
          </w:tcPr>
          <w:p w14:paraId="04E3210B">
            <w:pPr>
              <w:spacing w:line="300" w:lineRule="exact"/>
              <w:jc w:val="center"/>
              <w:rPr>
                <w:rFonts w:ascii="方正书宋_GBK" w:eastAsia="方正书宋_GBK"/>
              </w:rPr>
            </w:pPr>
            <w:r>
              <w:rPr>
                <w:rFonts w:ascii="方正书宋_GBK" w:eastAsia="方正书宋_GBK"/>
              </w:rPr>
              <w:t>没召开</w:t>
            </w:r>
          </w:p>
        </w:tc>
        <w:tc>
          <w:tcPr>
            <w:tcW w:w="737" w:type="dxa"/>
            <w:shd w:val="clear" w:color="auto" w:fill="auto"/>
            <w:vAlign w:val="center"/>
          </w:tcPr>
          <w:p w14:paraId="1371BF99">
            <w:pPr>
              <w:spacing w:line="300" w:lineRule="exact"/>
              <w:jc w:val="center"/>
              <w:rPr>
                <w:rFonts w:ascii="方正书宋_GBK" w:eastAsia="方正书宋_GBK"/>
              </w:rPr>
            </w:pPr>
            <w:r>
              <w:rPr>
                <w:rFonts w:ascii="方正书宋_GBK" w:eastAsia="方正书宋_GBK"/>
              </w:rPr>
              <w:t>没召开</w:t>
            </w:r>
          </w:p>
        </w:tc>
        <w:tc>
          <w:tcPr>
            <w:tcW w:w="737" w:type="dxa"/>
            <w:shd w:val="clear" w:color="auto" w:fill="auto"/>
            <w:vAlign w:val="center"/>
          </w:tcPr>
          <w:p w14:paraId="3EF35F0E">
            <w:pPr>
              <w:spacing w:line="300" w:lineRule="exact"/>
              <w:jc w:val="center"/>
              <w:rPr>
                <w:rFonts w:ascii="方正书宋_GBK" w:eastAsia="方正书宋_GBK"/>
              </w:rPr>
            </w:pPr>
            <w:r>
              <w:rPr>
                <w:rFonts w:ascii="方正书宋_GBK" w:eastAsia="方正书宋_GBK"/>
              </w:rPr>
              <w:t>没召开</w:t>
            </w:r>
          </w:p>
        </w:tc>
      </w:tr>
      <w:tr w14:paraId="372408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337E003E">
            <w:pPr>
              <w:spacing w:line="300" w:lineRule="exact"/>
              <w:jc w:val="left"/>
              <w:rPr>
                <w:rFonts w:ascii="方正书宋_GBK" w:eastAsia="方正书宋_GBK"/>
                <w:b/>
              </w:rPr>
            </w:pPr>
          </w:p>
        </w:tc>
        <w:tc>
          <w:tcPr>
            <w:tcW w:w="1276" w:type="dxa"/>
            <w:vMerge w:val="continue"/>
            <w:shd w:val="clear" w:color="auto" w:fill="auto"/>
            <w:vAlign w:val="center"/>
          </w:tcPr>
          <w:p w14:paraId="7006CC8D">
            <w:pPr>
              <w:spacing w:line="300" w:lineRule="exact"/>
              <w:jc w:val="left"/>
              <w:rPr>
                <w:rFonts w:ascii="方正书宋_GBK" w:eastAsia="方正书宋_GBK"/>
              </w:rPr>
            </w:pPr>
          </w:p>
        </w:tc>
        <w:tc>
          <w:tcPr>
            <w:tcW w:w="2976" w:type="dxa"/>
            <w:vMerge w:val="continue"/>
            <w:shd w:val="clear" w:color="auto" w:fill="auto"/>
            <w:vAlign w:val="center"/>
          </w:tcPr>
          <w:p w14:paraId="5513B5BC">
            <w:pPr>
              <w:spacing w:line="300" w:lineRule="exact"/>
              <w:jc w:val="left"/>
              <w:rPr>
                <w:rFonts w:ascii="方正书宋_GBK" w:eastAsia="方正书宋_GBK"/>
              </w:rPr>
            </w:pPr>
          </w:p>
        </w:tc>
        <w:tc>
          <w:tcPr>
            <w:tcW w:w="2976" w:type="dxa"/>
            <w:vMerge w:val="continue"/>
            <w:shd w:val="clear" w:color="auto" w:fill="auto"/>
            <w:vAlign w:val="center"/>
          </w:tcPr>
          <w:p w14:paraId="70905660">
            <w:pPr>
              <w:spacing w:line="300" w:lineRule="exact"/>
              <w:jc w:val="left"/>
              <w:rPr>
                <w:rFonts w:ascii="方正书宋_GBK" w:eastAsia="方正书宋_GBK"/>
              </w:rPr>
            </w:pPr>
          </w:p>
        </w:tc>
        <w:tc>
          <w:tcPr>
            <w:tcW w:w="1417" w:type="dxa"/>
            <w:shd w:val="clear" w:color="auto" w:fill="auto"/>
            <w:vAlign w:val="center"/>
          </w:tcPr>
          <w:p w14:paraId="692F6ECB">
            <w:pPr>
              <w:spacing w:line="300" w:lineRule="exact"/>
              <w:jc w:val="left"/>
              <w:rPr>
                <w:rFonts w:ascii="方正书宋_GBK" w:eastAsia="方正书宋_GBK"/>
              </w:rPr>
            </w:pPr>
            <w:r>
              <w:rPr>
                <w:rFonts w:ascii="方正书宋_GBK" w:eastAsia="方正书宋_GBK"/>
              </w:rPr>
              <w:t>开展教育培训等活动人次</w:t>
            </w:r>
          </w:p>
        </w:tc>
        <w:tc>
          <w:tcPr>
            <w:tcW w:w="737" w:type="dxa"/>
            <w:shd w:val="clear" w:color="auto" w:fill="auto"/>
            <w:vAlign w:val="center"/>
          </w:tcPr>
          <w:p w14:paraId="45708889">
            <w:pPr>
              <w:spacing w:line="300" w:lineRule="exact"/>
              <w:jc w:val="center"/>
              <w:rPr>
                <w:rFonts w:ascii="方正书宋_GBK" w:eastAsia="方正书宋_GBK"/>
              </w:rPr>
            </w:pPr>
            <w:r>
              <w:rPr>
                <w:rFonts w:ascii="方正书宋_GBK" w:eastAsia="方正书宋_GBK"/>
              </w:rPr>
              <w:t>≥1000</w:t>
            </w:r>
          </w:p>
        </w:tc>
        <w:tc>
          <w:tcPr>
            <w:tcW w:w="737" w:type="dxa"/>
            <w:shd w:val="clear" w:color="auto" w:fill="auto"/>
            <w:vAlign w:val="center"/>
          </w:tcPr>
          <w:p w14:paraId="72115AA0">
            <w:pPr>
              <w:spacing w:line="300" w:lineRule="exact"/>
              <w:jc w:val="center"/>
              <w:rPr>
                <w:rFonts w:ascii="方正书宋_GBK" w:eastAsia="方正书宋_GBK"/>
              </w:rPr>
            </w:pPr>
            <w:r>
              <w:rPr>
                <w:rFonts w:ascii="方正书宋_GBK" w:eastAsia="方正书宋_GBK"/>
              </w:rPr>
              <w:t>≥800</w:t>
            </w:r>
          </w:p>
        </w:tc>
        <w:tc>
          <w:tcPr>
            <w:tcW w:w="737" w:type="dxa"/>
            <w:shd w:val="clear" w:color="auto" w:fill="auto"/>
            <w:vAlign w:val="center"/>
          </w:tcPr>
          <w:p w14:paraId="13B7F222">
            <w:pPr>
              <w:spacing w:line="300" w:lineRule="exact"/>
              <w:jc w:val="center"/>
              <w:rPr>
                <w:rFonts w:ascii="方正书宋_GBK" w:eastAsia="方正书宋_GBK"/>
              </w:rPr>
            </w:pPr>
            <w:r>
              <w:rPr>
                <w:rFonts w:ascii="方正书宋_GBK" w:eastAsia="方正书宋_GBK"/>
              </w:rPr>
              <w:t>≥600</w:t>
            </w:r>
          </w:p>
        </w:tc>
        <w:tc>
          <w:tcPr>
            <w:tcW w:w="737" w:type="dxa"/>
            <w:shd w:val="clear" w:color="auto" w:fill="auto"/>
            <w:vAlign w:val="center"/>
          </w:tcPr>
          <w:p w14:paraId="21C762BC">
            <w:pPr>
              <w:spacing w:line="300" w:lineRule="exact"/>
              <w:jc w:val="center"/>
              <w:rPr>
                <w:rFonts w:ascii="方正书宋_GBK" w:eastAsia="方正书宋_GBK"/>
              </w:rPr>
            </w:pPr>
            <w:r>
              <w:rPr>
                <w:rFonts w:ascii="方正书宋_GBK" w:eastAsia="方正书宋_GBK"/>
              </w:rPr>
              <w:t>＜600</w:t>
            </w:r>
          </w:p>
        </w:tc>
      </w:tr>
      <w:tr w14:paraId="4B934E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72B0BF85">
            <w:pPr>
              <w:spacing w:line="300" w:lineRule="exact"/>
              <w:jc w:val="left"/>
              <w:rPr>
                <w:rFonts w:ascii="方正书宋_GBK" w:eastAsia="方正书宋_GBK"/>
                <w:b/>
              </w:rPr>
            </w:pPr>
          </w:p>
        </w:tc>
        <w:tc>
          <w:tcPr>
            <w:tcW w:w="1276" w:type="dxa"/>
            <w:vMerge w:val="continue"/>
            <w:shd w:val="clear" w:color="auto" w:fill="auto"/>
            <w:vAlign w:val="center"/>
          </w:tcPr>
          <w:p w14:paraId="44B8CFFA">
            <w:pPr>
              <w:spacing w:line="300" w:lineRule="exact"/>
              <w:jc w:val="left"/>
              <w:rPr>
                <w:rFonts w:ascii="方正书宋_GBK" w:eastAsia="方正书宋_GBK"/>
              </w:rPr>
            </w:pPr>
          </w:p>
        </w:tc>
        <w:tc>
          <w:tcPr>
            <w:tcW w:w="2976" w:type="dxa"/>
            <w:vMerge w:val="continue"/>
            <w:shd w:val="clear" w:color="auto" w:fill="auto"/>
            <w:vAlign w:val="center"/>
          </w:tcPr>
          <w:p w14:paraId="1A9D3A21">
            <w:pPr>
              <w:spacing w:line="300" w:lineRule="exact"/>
              <w:jc w:val="left"/>
              <w:rPr>
                <w:rFonts w:ascii="方正书宋_GBK" w:eastAsia="方正书宋_GBK"/>
              </w:rPr>
            </w:pPr>
          </w:p>
        </w:tc>
        <w:tc>
          <w:tcPr>
            <w:tcW w:w="2976" w:type="dxa"/>
            <w:vMerge w:val="continue"/>
            <w:shd w:val="clear" w:color="auto" w:fill="auto"/>
            <w:vAlign w:val="center"/>
          </w:tcPr>
          <w:p w14:paraId="3BD66C6C">
            <w:pPr>
              <w:spacing w:line="300" w:lineRule="exact"/>
              <w:jc w:val="left"/>
              <w:rPr>
                <w:rFonts w:ascii="方正书宋_GBK" w:eastAsia="方正书宋_GBK"/>
              </w:rPr>
            </w:pPr>
          </w:p>
        </w:tc>
        <w:tc>
          <w:tcPr>
            <w:tcW w:w="1417" w:type="dxa"/>
            <w:shd w:val="clear" w:color="auto" w:fill="auto"/>
            <w:vAlign w:val="center"/>
          </w:tcPr>
          <w:p w14:paraId="54ADCDFA">
            <w:pPr>
              <w:spacing w:line="300" w:lineRule="exact"/>
              <w:jc w:val="left"/>
              <w:rPr>
                <w:rFonts w:ascii="方正书宋_GBK" w:eastAsia="方正书宋_GBK"/>
              </w:rPr>
            </w:pPr>
            <w:r>
              <w:rPr>
                <w:rFonts w:ascii="方正书宋_GBK" w:eastAsia="方正书宋_GBK"/>
              </w:rPr>
              <w:t>常委会</w:t>
            </w:r>
          </w:p>
        </w:tc>
        <w:tc>
          <w:tcPr>
            <w:tcW w:w="737" w:type="dxa"/>
            <w:shd w:val="clear" w:color="auto" w:fill="auto"/>
            <w:vAlign w:val="center"/>
          </w:tcPr>
          <w:p w14:paraId="129A3B8A">
            <w:pPr>
              <w:spacing w:line="300" w:lineRule="exact"/>
              <w:jc w:val="center"/>
              <w:rPr>
                <w:rFonts w:ascii="方正书宋_GBK" w:eastAsia="方正书宋_GBK"/>
              </w:rPr>
            </w:pPr>
            <w:r>
              <w:rPr>
                <w:rFonts w:ascii="方正书宋_GBK" w:eastAsia="方正书宋_GBK"/>
              </w:rPr>
              <w:t>召开</w:t>
            </w:r>
          </w:p>
        </w:tc>
        <w:tc>
          <w:tcPr>
            <w:tcW w:w="737" w:type="dxa"/>
            <w:shd w:val="clear" w:color="auto" w:fill="auto"/>
            <w:vAlign w:val="center"/>
          </w:tcPr>
          <w:p w14:paraId="17C17B8E">
            <w:pPr>
              <w:spacing w:line="300" w:lineRule="exact"/>
              <w:jc w:val="center"/>
              <w:rPr>
                <w:rFonts w:ascii="方正书宋_GBK" w:eastAsia="方正书宋_GBK"/>
              </w:rPr>
            </w:pPr>
            <w:r>
              <w:rPr>
                <w:rFonts w:ascii="方正书宋_GBK" w:eastAsia="方正书宋_GBK"/>
              </w:rPr>
              <w:t>没召开</w:t>
            </w:r>
          </w:p>
        </w:tc>
        <w:tc>
          <w:tcPr>
            <w:tcW w:w="737" w:type="dxa"/>
            <w:shd w:val="clear" w:color="auto" w:fill="auto"/>
            <w:vAlign w:val="center"/>
          </w:tcPr>
          <w:p w14:paraId="220514F7">
            <w:pPr>
              <w:spacing w:line="300" w:lineRule="exact"/>
              <w:jc w:val="center"/>
              <w:rPr>
                <w:rFonts w:ascii="方正书宋_GBK" w:eastAsia="方正书宋_GBK"/>
              </w:rPr>
            </w:pPr>
            <w:r>
              <w:rPr>
                <w:rFonts w:ascii="方正书宋_GBK" w:eastAsia="方正书宋_GBK"/>
              </w:rPr>
              <w:t>没召开</w:t>
            </w:r>
          </w:p>
        </w:tc>
        <w:tc>
          <w:tcPr>
            <w:tcW w:w="737" w:type="dxa"/>
            <w:shd w:val="clear" w:color="auto" w:fill="auto"/>
            <w:vAlign w:val="center"/>
          </w:tcPr>
          <w:p w14:paraId="6537554B">
            <w:pPr>
              <w:spacing w:line="300" w:lineRule="exact"/>
              <w:jc w:val="center"/>
              <w:rPr>
                <w:rFonts w:ascii="方正书宋_GBK" w:eastAsia="方正书宋_GBK"/>
              </w:rPr>
            </w:pPr>
            <w:r>
              <w:rPr>
                <w:rFonts w:ascii="方正书宋_GBK" w:eastAsia="方正书宋_GBK"/>
              </w:rPr>
              <w:t>没召开</w:t>
            </w:r>
          </w:p>
        </w:tc>
      </w:tr>
      <w:tr w14:paraId="3005BF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745E3965">
            <w:pPr>
              <w:spacing w:line="300" w:lineRule="exact"/>
              <w:jc w:val="left"/>
              <w:rPr>
                <w:rFonts w:ascii="方正书宋_GBK" w:eastAsia="方正书宋_GBK"/>
                <w:b/>
              </w:rPr>
            </w:pPr>
          </w:p>
        </w:tc>
        <w:tc>
          <w:tcPr>
            <w:tcW w:w="1276" w:type="dxa"/>
            <w:vMerge w:val="continue"/>
            <w:shd w:val="clear" w:color="auto" w:fill="auto"/>
            <w:vAlign w:val="center"/>
          </w:tcPr>
          <w:p w14:paraId="5F1903DB">
            <w:pPr>
              <w:spacing w:line="300" w:lineRule="exact"/>
              <w:jc w:val="left"/>
              <w:rPr>
                <w:rFonts w:ascii="方正书宋_GBK" w:eastAsia="方正书宋_GBK"/>
              </w:rPr>
            </w:pPr>
          </w:p>
        </w:tc>
        <w:tc>
          <w:tcPr>
            <w:tcW w:w="2976" w:type="dxa"/>
            <w:vMerge w:val="continue"/>
            <w:shd w:val="clear" w:color="auto" w:fill="auto"/>
            <w:vAlign w:val="center"/>
          </w:tcPr>
          <w:p w14:paraId="03E943CA">
            <w:pPr>
              <w:spacing w:line="300" w:lineRule="exact"/>
              <w:jc w:val="left"/>
              <w:rPr>
                <w:rFonts w:ascii="方正书宋_GBK" w:eastAsia="方正书宋_GBK"/>
              </w:rPr>
            </w:pPr>
          </w:p>
        </w:tc>
        <w:tc>
          <w:tcPr>
            <w:tcW w:w="2976" w:type="dxa"/>
            <w:vMerge w:val="continue"/>
            <w:shd w:val="clear" w:color="auto" w:fill="auto"/>
            <w:vAlign w:val="center"/>
          </w:tcPr>
          <w:p w14:paraId="5F6C83E5">
            <w:pPr>
              <w:spacing w:line="300" w:lineRule="exact"/>
              <w:jc w:val="left"/>
              <w:rPr>
                <w:rFonts w:ascii="方正书宋_GBK" w:eastAsia="方正书宋_GBK"/>
              </w:rPr>
            </w:pPr>
          </w:p>
        </w:tc>
        <w:tc>
          <w:tcPr>
            <w:tcW w:w="1417" w:type="dxa"/>
            <w:shd w:val="clear" w:color="auto" w:fill="auto"/>
            <w:vAlign w:val="center"/>
          </w:tcPr>
          <w:p w14:paraId="6DBEA3A6">
            <w:pPr>
              <w:spacing w:line="300" w:lineRule="exact"/>
              <w:jc w:val="left"/>
              <w:rPr>
                <w:rFonts w:ascii="方正书宋_GBK" w:eastAsia="方正书宋_GBK"/>
              </w:rPr>
            </w:pPr>
            <w:r>
              <w:rPr>
                <w:rFonts w:ascii="方正书宋_GBK" w:eastAsia="方正书宋_GBK"/>
              </w:rPr>
              <w:t>商会建设</w:t>
            </w:r>
          </w:p>
        </w:tc>
        <w:tc>
          <w:tcPr>
            <w:tcW w:w="737" w:type="dxa"/>
            <w:shd w:val="clear" w:color="auto" w:fill="auto"/>
            <w:vAlign w:val="center"/>
          </w:tcPr>
          <w:p w14:paraId="54E0479F">
            <w:pPr>
              <w:spacing w:line="300" w:lineRule="exact"/>
              <w:jc w:val="center"/>
              <w:rPr>
                <w:rFonts w:ascii="方正书宋_GBK" w:eastAsia="方正书宋_GBK"/>
              </w:rPr>
            </w:pPr>
            <w:r>
              <w:rPr>
                <w:rFonts w:ascii="方正书宋_GBK" w:eastAsia="方正书宋_GBK"/>
              </w:rPr>
              <w:t>按计划完成≥95%</w:t>
            </w:r>
          </w:p>
        </w:tc>
        <w:tc>
          <w:tcPr>
            <w:tcW w:w="737" w:type="dxa"/>
            <w:shd w:val="clear" w:color="auto" w:fill="auto"/>
            <w:vAlign w:val="center"/>
          </w:tcPr>
          <w:p w14:paraId="2E2BA1C3">
            <w:pPr>
              <w:spacing w:line="300" w:lineRule="exact"/>
              <w:jc w:val="center"/>
              <w:rPr>
                <w:rFonts w:ascii="方正书宋_GBK" w:eastAsia="方正书宋_GBK"/>
              </w:rPr>
            </w:pPr>
            <w:r>
              <w:rPr>
                <w:rFonts w:ascii="方正书宋_GBK" w:eastAsia="方正书宋_GBK"/>
              </w:rPr>
              <w:t>按计划完成≥90%</w:t>
            </w:r>
          </w:p>
        </w:tc>
        <w:tc>
          <w:tcPr>
            <w:tcW w:w="737" w:type="dxa"/>
            <w:shd w:val="clear" w:color="auto" w:fill="auto"/>
            <w:vAlign w:val="center"/>
          </w:tcPr>
          <w:p w14:paraId="67C37B05">
            <w:pPr>
              <w:spacing w:line="300" w:lineRule="exact"/>
              <w:jc w:val="center"/>
              <w:rPr>
                <w:rFonts w:ascii="方正书宋_GBK" w:eastAsia="方正书宋_GBK"/>
              </w:rPr>
            </w:pPr>
            <w:r>
              <w:rPr>
                <w:rFonts w:ascii="方正书宋_GBK" w:eastAsia="方正书宋_GBK"/>
              </w:rPr>
              <w:t>按计划完成≥85%</w:t>
            </w:r>
          </w:p>
        </w:tc>
        <w:tc>
          <w:tcPr>
            <w:tcW w:w="737" w:type="dxa"/>
            <w:shd w:val="clear" w:color="auto" w:fill="auto"/>
            <w:vAlign w:val="center"/>
          </w:tcPr>
          <w:p w14:paraId="1E2664DD">
            <w:pPr>
              <w:spacing w:line="300" w:lineRule="exact"/>
              <w:jc w:val="center"/>
              <w:rPr>
                <w:rFonts w:ascii="方正书宋_GBK" w:eastAsia="方正书宋_GBK"/>
              </w:rPr>
            </w:pPr>
            <w:r>
              <w:rPr>
                <w:rFonts w:ascii="方正书宋_GBK" w:eastAsia="方正书宋_GBK"/>
              </w:rPr>
              <w:t>按计划完成＜85%</w:t>
            </w:r>
          </w:p>
        </w:tc>
      </w:tr>
      <w:tr w14:paraId="336264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1FB12050">
            <w:pPr>
              <w:spacing w:line="300" w:lineRule="exact"/>
              <w:jc w:val="left"/>
              <w:rPr>
                <w:rFonts w:ascii="方正书宋_GBK" w:eastAsia="方正书宋_GBK"/>
                <w:b/>
              </w:rPr>
            </w:pPr>
          </w:p>
        </w:tc>
        <w:tc>
          <w:tcPr>
            <w:tcW w:w="1276" w:type="dxa"/>
            <w:vMerge w:val="continue"/>
            <w:shd w:val="clear" w:color="auto" w:fill="auto"/>
            <w:vAlign w:val="center"/>
          </w:tcPr>
          <w:p w14:paraId="69654492">
            <w:pPr>
              <w:spacing w:line="300" w:lineRule="exact"/>
              <w:jc w:val="left"/>
              <w:rPr>
                <w:rFonts w:ascii="方正书宋_GBK" w:eastAsia="方正书宋_GBK"/>
              </w:rPr>
            </w:pPr>
          </w:p>
        </w:tc>
        <w:tc>
          <w:tcPr>
            <w:tcW w:w="2976" w:type="dxa"/>
            <w:vMerge w:val="continue"/>
            <w:shd w:val="clear" w:color="auto" w:fill="auto"/>
            <w:vAlign w:val="center"/>
          </w:tcPr>
          <w:p w14:paraId="259AE251">
            <w:pPr>
              <w:spacing w:line="300" w:lineRule="exact"/>
              <w:jc w:val="left"/>
              <w:rPr>
                <w:rFonts w:ascii="方正书宋_GBK" w:eastAsia="方正书宋_GBK"/>
              </w:rPr>
            </w:pPr>
          </w:p>
        </w:tc>
        <w:tc>
          <w:tcPr>
            <w:tcW w:w="2976" w:type="dxa"/>
            <w:vMerge w:val="continue"/>
            <w:shd w:val="clear" w:color="auto" w:fill="auto"/>
            <w:vAlign w:val="center"/>
          </w:tcPr>
          <w:p w14:paraId="6EED581F">
            <w:pPr>
              <w:spacing w:line="300" w:lineRule="exact"/>
              <w:jc w:val="left"/>
              <w:rPr>
                <w:rFonts w:ascii="方正书宋_GBK" w:eastAsia="方正书宋_GBK"/>
              </w:rPr>
            </w:pPr>
          </w:p>
        </w:tc>
        <w:tc>
          <w:tcPr>
            <w:tcW w:w="1417" w:type="dxa"/>
            <w:shd w:val="clear" w:color="auto" w:fill="auto"/>
            <w:vAlign w:val="center"/>
          </w:tcPr>
          <w:p w14:paraId="00F55FC1">
            <w:pPr>
              <w:spacing w:line="300" w:lineRule="exact"/>
              <w:jc w:val="left"/>
              <w:rPr>
                <w:rFonts w:ascii="方正书宋_GBK" w:eastAsia="方正书宋_GBK"/>
              </w:rPr>
            </w:pPr>
            <w:r>
              <w:rPr>
                <w:rFonts w:ascii="方正书宋_GBK" w:eastAsia="方正书宋_GBK"/>
              </w:rPr>
              <w:t>党员活动日</w:t>
            </w:r>
          </w:p>
        </w:tc>
        <w:tc>
          <w:tcPr>
            <w:tcW w:w="737" w:type="dxa"/>
            <w:shd w:val="clear" w:color="auto" w:fill="auto"/>
            <w:vAlign w:val="center"/>
          </w:tcPr>
          <w:p w14:paraId="3625E34B">
            <w:pPr>
              <w:spacing w:line="300" w:lineRule="exact"/>
              <w:jc w:val="center"/>
              <w:rPr>
                <w:rFonts w:ascii="方正书宋_GBK" w:eastAsia="方正书宋_GBK"/>
              </w:rPr>
            </w:pPr>
            <w:r>
              <w:rPr>
                <w:rFonts w:ascii="方正书宋_GBK" w:eastAsia="方正书宋_GBK"/>
              </w:rPr>
              <w:t>≥4</w:t>
            </w:r>
          </w:p>
        </w:tc>
        <w:tc>
          <w:tcPr>
            <w:tcW w:w="737" w:type="dxa"/>
            <w:shd w:val="clear" w:color="auto" w:fill="auto"/>
            <w:vAlign w:val="center"/>
          </w:tcPr>
          <w:p w14:paraId="1291F23D">
            <w:pPr>
              <w:spacing w:line="300" w:lineRule="exact"/>
              <w:jc w:val="center"/>
              <w:rPr>
                <w:rFonts w:ascii="方正书宋_GBK" w:eastAsia="方正书宋_GBK"/>
              </w:rPr>
            </w:pPr>
            <w:r>
              <w:rPr>
                <w:rFonts w:ascii="方正书宋_GBK" w:eastAsia="方正书宋_GBK"/>
              </w:rPr>
              <w:t>3</w:t>
            </w:r>
          </w:p>
        </w:tc>
        <w:tc>
          <w:tcPr>
            <w:tcW w:w="737" w:type="dxa"/>
            <w:shd w:val="clear" w:color="auto" w:fill="auto"/>
            <w:vAlign w:val="center"/>
          </w:tcPr>
          <w:p w14:paraId="5A9567D5">
            <w:pPr>
              <w:spacing w:line="300" w:lineRule="exact"/>
              <w:jc w:val="center"/>
              <w:rPr>
                <w:rFonts w:ascii="方正书宋_GBK" w:eastAsia="方正书宋_GBK"/>
              </w:rPr>
            </w:pPr>
            <w:r>
              <w:rPr>
                <w:rFonts w:ascii="方正书宋_GBK" w:eastAsia="方正书宋_GBK"/>
              </w:rPr>
              <w:t>2</w:t>
            </w:r>
          </w:p>
        </w:tc>
        <w:tc>
          <w:tcPr>
            <w:tcW w:w="737" w:type="dxa"/>
            <w:shd w:val="clear" w:color="auto" w:fill="auto"/>
            <w:vAlign w:val="center"/>
          </w:tcPr>
          <w:p w14:paraId="2D21DEC2">
            <w:pPr>
              <w:spacing w:line="300" w:lineRule="exact"/>
              <w:jc w:val="center"/>
              <w:rPr>
                <w:rFonts w:ascii="方正书宋_GBK" w:eastAsia="方正书宋_GBK"/>
              </w:rPr>
            </w:pPr>
            <w:r>
              <w:rPr>
                <w:rFonts w:ascii="方正书宋_GBK" w:eastAsia="方正书宋_GBK"/>
              </w:rPr>
              <w:t>1</w:t>
            </w:r>
          </w:p>
        </w:tc>
      </w:tr>
      <w:tr w14:paraId="048C2F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3C35CD6">
            <w:pPr>
              <w:spacing w:line="300" w:lineRule="exact"/>
              <w:jc w:val="left"/>
              <w:rPr>
                <w:rFonts w:ascii="方正书宋_GBK" w:eastAsia="方正书宋_GBK"/>
                <w:b/>
              </w:rPr>
            </w:pPr>
            <w:r>
              <w:rPr>
                <w:rFonts w:ascii="方正书宋_GBK" w:eastAsia="方正书宋_GBK"/>
                <w:b/>
              </w:rPr>
              <w:t>三、工商联事务管理</w:t>
            </w:r>
          </w:p>
        </w:tc>
        <w:tc>
          <w:tcPr>
            <w:tcW w:w="1276" w:type="dxa"/>
            <w:shd w:val="clear" w:color="auto" w:fill="auto"/>
            <w:vAlign w:val="center"/>
          </w:tcPr>
          <w:p w14:paraId="32063A90">
            <w:pPr>
              <w:spacing w:line="300" w:lineRule="exact"/>
              <w:jc w:val="left"/>
              <w:rPr>
                <w:rFonts w:ascii="方正书宋_GBK" w:eastAsia="方正书宋_GBK"/>
              </w:rPr>
            </w:pPr>
          </w:p>
        </w:tc>
        <w:tc>
          <w:tcPr>
            <w:tcW w:w="2976" w:type="dxa"/>
            <w:shd w:val="clear" w:color="auto" w:fill="auto"/>
            <w:vAlign w:val="center"/>
          </w:tcPr>
          <w:p w14:paraId="78260677">
            <w:pPr>
              <w:spacing w:line="300" w:lineRule="exact"/>
              <w:jc w:val="left"/>
              <w:rPr>
                <w:rFonts w:ascii="方正书宋_GBK" w:eastAsia="方正书宋_GBK"/>
              </w:rPr>
            </w:pPr>
            <w:r>
              <w:rPr>
                <w:rFonts w:ascii="方正书宋_GBK" w:eastAsia="方正书宋_GBK"/>
              </w:rPr>
              <w:t>综合性事务管理等事项</w:t>
            </w:r>
          </w:p>
        </w:tc>
        <w:tc>
          <w:tcPr>
            <w:tcW w:w="2976" w:type="dxa"/>
            <w:shd w:val="clear" w:color="auto" w:fill="auto"/>
            <w:vAlign w:val="center"/>
          </w:tcPr>
          <w:p w14:paraId="4246BF54">
            <w:pPr>
              <w:spacing w:line="300" w:lineRule="exact"/>
              <w:jc w:val="left"/>
              <w:rPr>
                <w:rFonts w:ascii="方正书宋_GBK" w:eastAsia="方正书宋_GBK"/>
              </w:rPr>
            </w:pPr>
            <w:r>
              <w:rPr>
                <w:rFonts w:ascii="方正书宋_GBK" w:eastAsia="方正书宋_GBK"/>
              </w:rPr>
              <w:t>保障工商联各项工作顺利开展</w:t>
            </w:r>
          </w:p>
        </w:tc>
        <w:tc>
          <w:tcPr>
            <w:tcW w:w="1417" w:type="dxa"/>
            <w:shd w:val="clear" w:color="auto" w:fill="auto"/>
            <w:vAlign w:val="center"/>
          </w:tcPr>
          <w:p w14:paraId="556EF112">
            <w:pPr>
              <w:spacing w:line="300" w:lineRule="exact"/>
              <w:jc w:val="left"/>
              <w:rPr>
                <w:rFonts w:ascii="方正书宋_GBK" w:eastAsia="方正书宋_GBK"/>
              </w:rPr>
            </w:pPr>
          </w:p>
        </w:tc>
        <w:tc>
          <w:tcPr>
            <w:tcW w:w="737" w:type="dxa"/>
            <w:shd w:val="clear" w:color="auto" w:fill="auto"/>
            <w:vAlign w:val="center"/>
          </w:tcPr>
          <w:p w14:paraId="18D444D0">
            <w:pPr>
              <w:spacing w:line="300" w:lineRule="exact"/>
              <w:jc w:val="center"/>
              <w:rPr>
                <w:rFonts w:ascii="方正书宋_GBK" w:eastAsia="方正书宋_GBK"/>
              </w:rPr>
            </w:pPr>
          </w:p>
        </w:tc>
        <w:tc>
          <w:tcPr>
            <w:tcW w:w="737" w:type="dxa"/>
            <w:shd w:val="clear" w:color="auto" w:fill="auto"/>
            <w:vAlign w:val="center"/>
          </w:tcPr>
          <w:p w14:paraId="5BCD1BDA">
            <w:pPr>
              <w:spacing w:line="300" w:lineRule="exact"/>
              <w:jc w:val="center"/>
              <w:rPr>
                <w:rFonts w:ascii="方正书宋_GBK" w:eastAsia="方正书宋_GBK"/>
              </w:rPr>
            </w:pPr>
          </w:p>
        </w:tc>
        <w:tc>
          <w:tcPr>
            <w:tcW w:w="737" w:type="dxa"/>
            <w:shd w:val="clear" w:color="auto" w:fill="auto"/>
            <w:vAlign w:val="center"/>
          </w:tcPr>
          <w:p w14:paraId="1DC633C0">
            <w:pPr>
              <w:spacing w:line="300" w:lineRule="exact"/>
              <w:jc w:val="center"/>
              <w:rPr>
                <w:rFonts w:ascii="方正书宋_GBK" w:eastAsia="方正书宋_GBK"/>
              </w:rPr>
            </w:pPr>
          </w:p>
        </w:tc>
        <w:tc>
          <w:tcPr>
            <w:tcW w:w="737" w:type="dxa"/>
            <w:shd w:val="clear" w:color="auto" w:fill="auto"/>
            <w:vAlign w:val="center"/>
          </w:tcPr>
          <w:p w14:paraId="3B13C0B3">
            <w:pPr>
              <w:spacing w:line="300" w:lineRule="exact"/>
              <w:jc w:val="center"/>
              <w:rPr>
                <w:rFonts w:ascii="方正书宋_GBK" w:eastAsia="方正书宋_GBK"/>
              </w:rPr>
            </w:pPr>
          </w:p>
        </w:tc>
      </w:tr>
      <w:tr w14:paraId="0222DD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8D1E9B6">
            <w:pPr>
              <w:spacing w:line="300" w:lineRule="exact"/>
              <w:jc w:val="left"/>
              <w:rPr>
                <w:rFonts w:ascii="方正书宋_GBK" w:eastAsia="方正书宋_GBK"/>
                <w:b/>
              </w:rPr>
            </w:pPr>
            <w:r>
              <w:rPr>
                <w:rFonts w:ascii="方正书宋_GBK" w:eastAsia="方正书宋_GBK"/>
                <w:b/>
              </w:rPr>
              <w:t>　　1、综合事务管理</w:t>
            </w:r>
          </w:p>
        </w:tc>
        <w:tc>
          <w:tcPr>
            <w:tcW w:w="1276" w:type="dxa"/>
            <w:shd w:val="clear" w:color="auto" w:fill="auto"/>
            <w:vAlign w:val="center"/>
          </w:tcPr>
          <w:p w14:paraId="0C146F97">
            <w:pPr>
              <w:spacing w:line="300" w:lineRule="exact"/>
              <w:jc w:val="left"/>
              <w:rPr>
                <w:rFonts w:ascii="方正书宋_GBK" w:eastAsia="方正书宋_GBK"/>
              </w:rPr>
            </w:pPr>
          </w:p>
        </w:tc>
        <w:tc>
          <w:tcPr>
            <w:tcW w:w="2976" w:type="dxa"/>
            <w:shd w:val="clear" w:color="auto" w:fill="auto"/>
            <w:vAlign w:val="center"/>
          </w:tcPr>
          <w:p w14:paraId="561BAC70">
            <w:pPr>
              <w:spacing w:line="300" w:lineRule="exact"/>
              <w:jc w:val="left"/>
              <w:rPr>
                <w:rFonts w:ascii="方正书宋_GBK" w:eastAsia="方正书宋_GBK"/>
              </w:rPr>
            </w:pPr>
            <w:r>
              <w:rPr>
                <w:rFonts w:ascii="方正书宋_GBK" w:eastAsia="方正书宋_GBK"/>
              </w:rPr>
              <w:t>档案、信息、机关各类会议、财务、机要、保密、安全保卫、固定资产、车辆等管理和后勤保障工作。</w:t>
            </w:r>
          </w:p>
        </w:tc>
        <w:tc>
          <w:tcPr>
            <w:tcW w:w="2976" w:type="dxa"/>
            <w:shd w:val="clear" w:color="auto" w:fill="auto"/>
            <w:vAlign w:val="center"/>
          </w:tcPr>
          <w:p w14:paraId="7A0A985A">
            <w:pPr>
              <w:spacing w:line="300" w:lineRule="exact"/>
              <w:jc w:val="left"/>
              <w:rPr>
                <w:rFonts w:ascii="方正书宋_GBK" w:eastAsia="方正书宋_GBK"/>
              </w:rPr>
            </w:pPr>
            <w:r>
              <w:rPr>
                <w:rFonts w:ascii="方正书宋_GBK" w:eastAsia="方正书宋_GBK"/>
              </w:rPr>
              <w:t>保证工商联日常工作正常运转</w:t>
            </w:r>
          </w:p>
        </w:tc>
        <w:tc>
          <w:tcPr>
            <w:tcW w:w="1417" w:type="dxa"/>
            <w:shd w:val="clear" w:color="auto" w:fill="auto"/>
            <w:vAlign w:val="center"/>
          </w:tcPr>
          <w:p w14:paraId="664112F8">
            <w:pPr>
              <w:spacing w:line="300" w:lineRule="exact"/>
              <w:jc w:val="left"/>
              <w:rPr>
                <w:rFonts w:ascii="方正书宋_GBK" w:eastAsia="方正书宋_GBK"/>
              </w:rPr>
            </w:pPr>
            <w:r>
              <w:rPr>
                <w:rFonts w:ascii="方正书宋_GBK" w:eastAsia="方正书宋_GBK"/>
              </w:rPr>
              <w:t>综合事务工作完成率</w:t>
            </w:r>
          </w:p>
        </w:tc>
        <w:tc>
          <w:tcPr>
            <w:tcW w:w="737" w:type="dxa"/>
            <w:shd w:val="clear" w:color="auto" w:fill="auto"/>
            <w:vAlign w:val="center"/>
          </w:tcPr>
          <w:p w14:paraId="42D7A86F">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77904B6B">
            <w:pPr>
              <w:spacing w:line="300" w:lineRule="exact"/>
              <w:jc w:val="center"/>
              <w:rPr>
                <w:rFonts w:ascii="方正书宋_GBK" w:eastAsia="方正书宋_GBK"/>
              </w:rPr>
            </w:pPr>
            <w:r>
              <w:rPr>
                <w:rFonts w:ascii="方正书宋_GBK" w:eastAsia="方正书宋_GBK"/>
              </w:rPr>
              <w:t>≥95%</w:t>
            </w:r>
          </w:p>
        </w:tc>
        <w:tc>
          <w:tcPr>
            <w:tcW w:w="737" w:type="dxa"/>
            <w:shd w:val="clear" w:color="auto" w:fill="auto"/>
            <w:vAlign w:val="center"/>
          </w:tcPr>
          <w:p w14:paraId="31802B7A">
            <w:pPr>
              <w:spacing w:line="300" w:lineRule="exact"/>
              <w:jc w:val="center"/>
              <w:rPr>
                <w:rFonts w:ascii="方正书宋_GBK" w:eastAsia="方正书宋_GBK"/>
              </w:rPr>
            </w:pPr>
            <w:r>
              <w:rPr>
                <w:rFonts w:ascii="方正书宋_GBK" w:eastAsia="方正书宋_GBK"/>
              </w:rPr>
              <w:t>≥90%</w:t>
            </w:r>
          </w:p>
        </w:tc>
        <w:tc>
          <w:tcPr>
            <w:tcW w:w="737" w:type="dxa"/>
            <w:shd w:val="clear" w:color="auto" w:fill="auto"/>
            <w:vAlign w:val="center"/>
          </w:tcPr>
          <w:p w14:paraId="52CE1A45">
            <w:pPr>
              <w:spacing w:line="300" w:lineRule="exact"/>
              <w:jc w:val="center"/>
              <w:rPr>
                <w:rFonts w:ascii="方正书宋_GBK" w:eastAsia="方正书宋_GBK"/>
              </w:rPr>
            </w:pPr>
            <w:r>
              <w:rPr>
                <w:rFonts w:ascii="方正书宋_GBK" w:eastAsia="方正书宋_GBK"/>
              </w:rPr>
              <w:t>＜90%</w:t>
            </w:r>
          </w:p>
        </w:tc>
      </w:tr>
    </w:tbl>
    <w:p w14:paraId="6C7AC5C5">
      <w:pPr>
        <w:spacing w:line="584" w:lineRule="exact"/>
        <w:jc w:val="left"/>
        <w:outlineLvl w:val="0"/>
        <w:rPr>
          <w:rFonts w:ascii="Times New Roman" w:hAnsi="Times New Roman" w:eastAsia="仿宋_GB2312" w:cs="Times New Roman"/>
        </w:rPr>
        <w:sectPr>
          <w:footerReference r:id="rId3" w:type="default"/>
          <w:pgSz w:w="16839" w:h="11907" w:orient="landscape"/>
          <w:pgMar w:top="1020" w:right="1361" w:bottom="1020" w:left="1361" w:header="851" w:footer="992" w:gutter="0"/>
          <w:cols w:space="425" w:num="1"/>
          <w:titlePg/>
          <w:docGrid w:type="lines" w:linePitch="312" w:charSpace="0"/>
        </w:sectPr>
      </w:pPr>
    </w:p>
    <w:p w14:paraId="68839EF4">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六、政府采购预算情况</w:t>
      </w:r>
    </w:p>
    <w:p w14:paraId="451CFB32">
      <w:pPr>
        <w:spacing w:line="584" w:lineRule="exact"/>
        <w:ind w:firstLine="640" w:firstLineChars="200"/>
        <w:outlineLvl w:val="0"/>
        <w:rPr>
          <w:rFonts w:ascii="Times New Roman" w:hAnsi="Times New Roman" w:eastAsia="仿宋_GB2312" w:cs="Times New Roman"/>
          <w:sz w:val="32"/>
          <w:szCs w:val="24"/>
        </w:rPr>
      </w:pPr>
      <w:bookmarkStart w:id="2" w:name="_Toc471398468"/>
      <w:r>
        <w:rPr>
          <w:rFonts w:ascii="Times New Roman" w:hAnsi="Times New Roman" w:eastAsia="仿宋_GB2312" w:cs="Times New Roman"/>
          <w:sz w:val="32"/>
          <w:szCs w:val="24"/>
        </w:rPr>
        <w:t>201</w:t>
      </w:r>
      <w:r>
        <w:rPr>
          <w:rFonts w:hint="eastAsia" w:ascii="Times New Roman" w:hAnsi="Times New Roman" w:eastAsia="仿宋_GB2312" w:cs="Times New Roman"/>
          <w:sz w:val="32"/>
          <w:szCs w:val="24"/>
        </w:rPr>
        <w:t>9</w:t>
      </w:r>
      <w:r>
        <w:rPr>
          <w:rFonts w:ascii="Times New Roman" w:hAnsi="Times New Roman" w:eastAsia="仿宋_GB2312" w:cs="Times New Roman"/>
          <w:sz w:val="32"/>
          <w:szCs w:val="24"/>
        </w:rPr>
        <w:t>年，我部门安排政府采购预算</w:t>
      </w:r>
      <w:r>
        <w:rPr>
          <w:rFonts w:hint="eastAsia" w:ascii="Times New Roman" w:hAnsi="Times New Roman" w:eastAsia="仿宋_GB2312" w:cs="Times New Roman"/>
          <w:sz w:val="32"/>
          <w:szCs w:val="24"/>
        </w:rPr>
        <w:t>0</w:t>
      </w:r>
      <w:r>
        <w:rPr>
          <w:rFonts w:ascii="Times New Roman" w:hAnsi="Times New Roman" w:eastAsia="仿宋_GB2312" w:cs="Times New Roman"/>
          <w:sz w:val="32"/>
          <w:szCs w:val="24"/>
        </w:rPr>
        <w:t>万元。具体内容见下表。</w:t>
      </w:r>
    </w:p>
    <w:bookmarkEnd w:id="2"/>
    <w:p w14:paraId="624DF33F">
      <w:pPr>
        <w:spacing w:line="584" w:lineRule="exact"/>
        <w:jc w:val="center"/>
        <w:outlineLvl w:val="0"/>
        <w:rPr>
          <w:rFonts w:ascii="Times New Roman" w:hAnsi="Times New Roman" w:eastAsia="仿宋_GB2312" w:cs="Times New Roman"/>
          <w:sz w:val="32"/>
        </w:rPr>
      </w:pPr>
      <w:bookmarkStart w:id="3" w:name="_Toc504489153"/>
      <w:r>
        <w:rPr>
          <w:rFonts w:ascii="Times New Roman" w:hAnsi="Times New Roman" w:eastAsia="仿宋_GB2312" w:cs="Times New Roman"/>
          <w:sz w:val="32"/>
        </w:rPr>
        <w:t>部门政府采购预算</w:t>
      </w:r>
      <w:bookmarkEnd w:id="3"/>
    </w:p>
    <w:tbl>
      <w:tblPr>
        <w:tblStyle w:val="8"/>
        <w:tblW w:w="4851"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406"/>
        <w:gridCol w:w="1057"/>
        <w:gridCol w:w="932"/>
        <w:gridCol w:w="1372"/>
        <w:gridCol w:w="720"/>
        <w:gridCol w:w="740"/>
        <w:gridCol w:w="950"/>
        <w:gridCol w:w="956"/>
        <w:gridCol w:w="956"/>
        <w:gridCol w:w="956"/>
        <w:gridCol w:w="790"/>
        <w:gridCol w:w="924"/>
        <w:gridCol w:w="929"/>
        <w:gridCol w:w="880"/>
      </w:tblGrid>
      <w:tr w14:paraId="0A8E41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2806" w:type="pct"/>
            <w:gridSpan w:val="7"/>
            <w:tcBorders>
              <w:top w:val="single" w:color="FFFFFF" w:sz="6" w:space="0"/>
              <w:left w:val="single" w:color="FFFFFF" w:sz="6" w:space="0"/>
              <w:right w:val="single" w:color="FFFFFF" w:sz="6" w:space="0"/>
            </w:tcBorders>
            <w:shd w:val="clear" w:color="auto" w:fill="auto"/>
            <w:vAlign w:val="center"/>
          </w:tcPr>
          <w:p w14:paraId="40A417CD">
            <w:pPr>
              <w:spacing w:line="584" w:lineRule="exact"/>
              <w:jc w:val="left"/>
              <w:rPr>
                <w:rFonts w:ascii="Times New Roman" w:hAnsi="Times New Roman" w:eastAsia="仿宋_GB2312" w:cs="Times New Roman"/>
                <w:sz w:val="24"/>
              </w:rPr>
            </w:pPr>
            <w:r>
              <w:rPr>
                <w:rFonts w:hint="eastAsia" w:ascii="Times New Roman" w:hAnsi="Times New Roman" w:eastAsia="仿宋_GB2312" w:cs="Times New Roman"/>
                <w:sz w:val="24"/>
              </w:rPr>
              <w:t>310廊坊市工商业联合会</w:t>
            </w:r>
          </w:p>
        </w:tc>
        <w:tc>
          <w:tcPr>
            <w:tcW w:w="2194" w:type="pct"/>
            <w:gridSpan w:val="7"/>
            <w:tcBorders>
              <w:top w:val="single" w:color="FFFFFF" w:sz="6" w:space="0"/>
              <w:left w:val="single" w:color="FFFFFF" w:sz="6" w:space="0"/>
              <w:right w:val="single" w:color="FFFFFF" w:sz="6" w:space="0"/>
            </w:tcBorders>
            <w:shd w:val="clear" w:color="auto" w:fill="auto"/>
            <w:vAlign w:val="center"/>
          </w:tcPr>
          <w:p w14:paraId="4615CA34">
            <w:pPr>
              <w:spacing w:line="584" w:lineRule="exact"/>
              <w:jc w:val="right"/>
              <w:rPr>
                <w:rFonts w:ascii="Times New Roman" w:hAnsi="Times New Roman" w:eastAsia="仿宋_GB2312" w:cs="Times New Roman"/>
                <w:sz w:val="24"/>
              </w:rPr>
            </w:pPr>
            <w:r>
              <w:rPr>
                <w:rFonts w:ascii="Times New Roman" w:hAnsi="Times New Roman" w:eastAsia="仿宋_GB2312" w:cs="Times New Roman"/>
                <w:sz w:val="24"/>
              </w:rPr>
              <w:t>单位：万元</w:t>
            </w:r>
          </w:p>
        </w:tc>
      </w:tr>
      <w:tr w14:paraId="3EBA3A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1189" w:type="pct"/>
            <w:gridSpan w:val="2"/>
            <w:shd w:val="clear" w:color="auto" w:fill="auto"/>
            <w:vAlign w:val="center"/>
          </w:tcPr>
          <w:p w14:paraId="1C742B73">
            <w:pPr>
              <w:spacing w:line="584" w:lineRule="exact"/>
              <w:jc w:val="center"/>
              <w:rPr>
                <w:rFonts w:ascii="Times New Roman" w:hAnsi="Times New Roman" w:eastAsia="仿宋_GB2312" w:cs="Times New Roman"/>
                <w:b/>
              </w:rPr>
            </w:pPr>
            <w:r>
              <w:rPr>
                <w:rFonts w:ascii="Times New Roman" w:hAnsi="Times New Roman" w:eastAsia="仿宋_GB2312" w:cs="Times New Roman"/>
                <w:b/>
              </w:rPr>
              <w:t>政府采购项目来源</w:t>
            </w:r>
          </w:p>
        </w:tc>
        <w:tc>
          <w:tcPr>
            <w:tcW w:w="320" w:type="pct"/>
            <w:vMerge w:val="restart"/>
            <w:shd w:val="clear" w:color="auto" w:fill="auto"/>
            <w:vAlign w:val="center"/>
          </w:tcPr>
          <w:p w14:paraId="7AA69E1A">
            <w:pPr>
              <w:spacing w:line="584" w:lineRule="exact"/>
              <w:jc w:val="center"/>
              <w:rPr>
                <w:rFonts w:ascii="Times New Roman" w:hAnsi="Times New Roman" w:eastAsia="仿宋_GB2312" w:cs="Times New Roman"/>
                <w:b/>
              </w:rPr>
            </w:pPr>
            <w:r>
              <w:rPr>
                <w:rFonts w:ascii="Times New Roman" w:hAnsi="Times New Roman" w:eastAsia="仿宋_GB2312" w:cs="Times New Roman"/>
                <w:b/>
              </w:rPr>
              <w:t>采购物品名称</w:t>
            </w:r>
          </w:p>
        </w:tc>
        <w:tc>
          <w:tcPr>
            <w:tcW w:w="471" w:type="pct"/>
            <w:vMerge w:val="restart"/>
            <w:shd w:val="clear" w:color="auto" w:fill="auto"/>
            <w:vAlign w:val="center"/>
          </w:tcPr>
          <w:p w14:paraId="1A796D4E">
            <w:pPr>
              <w:spacing w:line="584" w:lineRule="exact"/>
              <w:jc w:val="center"/>
              <w:rPr>
                <w:rFonts w:ascii="Times New Roman" w:hAnsi="Times New Roman" w:eastAsia="仿宋_GB2312" w:cs="Times New Roman"/>
                <w:b/>
              </w:rPr>
            </w:pPr>
            <w:r>
              <w:rPr>
                <w:rFonts w:ascii="Times New Roman" w:hAnsi="Times New Roman" w:eastAsia="仿宋_GB2312" w:cs="Times New Roman"/>
                <w:b/>
              </w:rPr>
              <w:t>政府采购目录序号</w:t>
            </w:r>
          </w:p>
        </w:tc>
        <w:tc>
          <w:tcPr>
            <w:tcW w:w="247" w:type="pct"/>
            <w:vMerge w:val="restart"/>
            <w:shd w:val="clear" w:color="auto" w:fill="auto"/>
            <w:vAlign w:val="center"/>
          </w:tcPr>
          <w:p w14:paraId="5CD9BD63">
            <w:pPr>
              <w:spacing w:line="584" w:lineRule="exact"/>
              <w:jc w:val="center"/>
              <w:rPr>
                <w:rFonts w:ascii="Times New Roman" w:hAnsi="Times New Roman" w:eastAsia="仿宋_GB2312" w:cs="Times New Roman"/>
                <w:b/>
              </w:rPr>
            </w:pPr>
            <w:r>
              <w:rPr>
                <w:rFonts w:ascii="Times New Roman" w:hAnsi="Times New Roman" w:eastAsia="仿宋_GB2312" w:cs="Times New Roman"/>
                <w:b/>
              </w:rPr>
              <w:t>数量单位</w:t>
            </w:r>
          </w:p>
        </w:tc>
        <w:tc>
          <w:tcPr>
            <w:tcW w:w="254" w:type="pct"/>
            <w:vMerge w:val="restart"/>
            <w:shd w:val="clear" w:color="auto" w:fill="auto"/>
            <w:vAlign w:val="center"/>
          </w:tcPr>
          <w:p w14:paraId="22D8548C">
            <w:pPr>
              <w:spacing w:line="584" w:lineRule="exact"/>
              <w:jc w:val="center"/>
              <w:rPr>
                <w:rFonts w:ascii="Times New Roman" w:hAnsi="Times New Roman" w:eastAsia="仿宋_GB2312" w:cs="Times New Roman"/>
                <w:b/>
              </w:rPr>
            </w:pPr>
            <w:r>
              <w:rPr>
                <w:rFonts w:ascii="Times New Roman" w:hAnsi="Times New Roman" w:eastAsia="仿宋_GB2312" w:cs="Times New Roman"/>
                <w:b/>
              </w:rPr>
              <w:t>数量</w:t>
            </w:r>
          </w:p>
        </w:tc>
        <w:tc>
          <w:tcPr>
            <w:tcW w:w="326" w:type="pct"/>
            <w:vMerge w:val="restart"/>
            <w:shd w:val="clear" w:color="auto" w:fill="auto"/>
            <w:vAlign w:val="center"/>
          </w:tcPr>
          <w:p w14:paraId="415F49B1">
            <w:pPr>
              <w:spacing w:line="584" w:lineRule="exact"/>
              <w:jc w:val="center"/>
              <w:rPr>
                <w:rFonts w:ascii="Times New Roman" w:hAnsi="Times New Roman" w:eastAsia="仿宋_GB2312" w:cs="Times New Roman"/>
                <w:b/>
              </w:rPr>
            </w:pPr>
            <w:r>
              <w:rPr>
                <w:rFonts w:ascii="Times New Roman" w:hAnsi="Times New Roman" w:eastAsia="仿宋_GB2312" w:cs="Times New Roman"/>
                <w:b/>
              </w:rPr>
              <w:t>单价</w:t>
            </w:r>
          </w:p>
        </w:tc>
        <w:tc>
          <w:tcPr>
            <w:tcW w:w="2194" w:type="pct"/>
            <w:gridSpan w:val="7"/>
            <w:shd w:val="clear" w:color="auto" w:fill="auto"/>
            <w:vAlign w:val="center"/>
          </w:tcPr>
          <w:p w14:paraId="51C0DF96">
            <w:pPr>
              <w:spacing w:line="584" w:lineRule="exact"/>
              <w:jc w:val="center"/>
              <w:rPr>
                <w:rFonts w:ascii="Times New Roman" w:hAnsi="Times New Roman" w:eastAsia="仿宋_GB2312" w:cs="Times New Roman"/>
                <w:b/>
              </w:rPr>
            </w:pPr>
            <w:r>
              <w:rPr>
                <w:rFonts w:ascii="Times New Roman" w:hAnsi="Times New Roman" w:eastAsia="仿宋_GB2312" w:cs="Times New Roman"/>
                <w:b/>
              </w:rPr>
              <w:t>政府采购金额</w:t>
            </w:r>
          </w:p>
        </w:tc>
      </w:tr>
      <w:tr w14:paraId="69A09F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826" w:type="pct"/>
            <w:vMerge w:val="restart"/>
            <w:shd w:val="clear" w:color="auto" w:fill="auto"/>
            <w:vAlign w:val="center"/>
          </w:tcPr>
          <w:p w14:paraId="6B440520">
            <w:pPr>
              <w:spacing w:line="584" w:lineRule="exact"/>
              <w:jc w:val="center"/>
              <w:rPr>
                <w:rFonts w:ascii="Times New Roman" w:hAnsi="Times New Roman" w:eastAsia="仿宋_GB2312" w:cs="Times New Roman"/>
                <w:b/>
              </w:rPr>
            </w:pPr>
            <w:r>
              <w:rPr>
                <w:rFonts w:ascii="Times New Roman" w:hAnsi="Times New Roman" w:eastAsia="仿宋_GB2312" w:cs="Times New Roman"/>
                <w:b/>
              </w:rPr>
              <w:t>项目名称</w:t>
            </w:r>
          </w:p>
        </w:tc>
        <w:tc>
          <w:tcPr>
            <w:tcW w:w="363" w:type="pct"/>
            <w:vMerge w:val="restart"/>
            <w:shd w:val="clear" w:color="auto" w:fill="auto"/>
            <w:vAlign w:val="center"/>
          </w:tcPr>
          <w:p w14:paraId="306921BE">
            <w:pPr>
              <w:spacing w:line="584" w:lineRule="exact"/>
              <w:jc w:val="center"/>
              <w:rPr>
                <w:rFonts w:ascii="Times New Roman" w:hAnsi="Times New Roman" w:eastAsia="仿宋_GB2312" w:cs="Times New Roman"/>
                <w:b/>
              </w:rPr>
            </w:pPr>
            <w:r>
              <w:rPr>
                <w:rFonts w:ascii="Times New Roman" w:hAnsi="Times New Roman" w:eastAsia="仿宋_GB2312" w:cs="Times New Roman"/>
                <w:b/>
              </w:rPr>
              <w:t>预算资金</w:t>
            </w:r>
          </w:p>
        </w:tc>
        <w:tc>
          <w:tcPr>
            <w:tcW w:w="320" w:type="pct"/>
            <w:vMerge w:val="continue"/>
            <w:shd w:val="clear" w:color="auto" w:fill="auto"/>
            <w:vAlign w:val="center"/>
          </w:tcPr>
          <w:p w14:paraId="5794DB96">
            <w:pPr>
              <w:spacing w:line="584" w:lineRule="exact"/>
              <w:jc w:val="left"/>
              <w:outlineLvl w:val="0"/>
              <w:rPr>
                <w:rFonts w:ascii="Times New Roman" w:hAnsi="Times New Roman" w:eastAsia="仿宋_GB2312" w:cs="Times New Roman"/>
              </w:rPr>
            </w:pPr>
          </w:p>
        </w:tc>
        <w:tc>
          <w:tcPr>
            <w:tcW w:w="471" w:type="pct"/>
            <w:vMerge w:val="continue"/>
            <w:shd w:val="clear" w:color="auto" w:fill="auto"/>
            <w:vAlign w:val="center"/>
          </w:tcPr>
          <w:p w14:paraId="2AA6B9D1">
            <w:pPr>
              <w:spacing w:line="584" w:lineRule="exact"/>
              <w:jc w:val="left"/>
              <w:outlineLvl w:val="0"/>
              <w:rPr>
                <w:rFonts w:ascii="Times New Roman" w:hAnsi="Times New Roman" w:eastAsia="仿宋_GB2312" w:cs="Times New Roman"/>
              </w:rPr>
            </w:pPr>
          </w:p>
        </w:tc>
        <w:tc>
          <w:tcPr>
            <w:tcW w:w="247" w:type="pct"/>
            <w:vMerge w:val="continue"/>
            <w:shd w:val="clear" w:color="auto" w:fill="auto"/>
            <w:vAlign w:val="center"/>
          </w:tcPr>
          <w:p w14:paraId="2FF02440">
            <w:pPr>
              <w:spacing w:line="584" w:lineRule="exact"/>
              <w:jc w:val="left"/>
              <w:outlineLvl w:val="0"/>
              <w:rPr>
                <w:rFonts w:ascii="Times New Roman" w:hAnsi="Times New Roman" w:eastAsia="仿宋_GB2312" w:cs="Times New Roman"/>
              </w:rPr>
            </w:pPr>
          </w:p>
        </w:tc>
        <w:tc>
          <w:tcPr>
            <w:tcW w:w="254" w:type="pct"/>
            <w:vMerge w:val="continue"/>
            <w:shd w:val="clear" w:color="auto" w:fill="auto"/>
            <w:vAlign w:val="center"/>
          </w:tcPr>
          <w:p w14:paraId="1FD703F3">
            <w:pPr>
              <w:spacing w:line="584" w:lineRule="exact"/>
              <w:jc w:val="left"/>
              <w:outlineLvl w:val="0"/>
              <w:rPr>
                <w:rFonts w:ascii="Times New Roman" w:hAnsi="Times New Roman" w:eastAsia="仿宋_GB2312" w:cs="Times New Roman"/>
              </w:rPr>
            </w:pPr>
          </w:p>
        </w:tc>
        <w:tc>
          <w:tcPr>
            <w:tcW w:w="326" w:type="pct"/>
            <w:vMerge w:val="continue"/>
            <w:shd w:val="clear" w:color="auto" w:fill="auto"/>
            <w:vAlign w:val="center"/>
          </w:tcPr>
          <w:p w14:paraId="6CF16B4B">
            <w:pPr>
              <w:spacing w:line="584" w:lineRule="exact"/>
              <w:jc w:val="left"/>
              <w:outlineLvl w:val="0"/>
              <w:rPr>
                <w:rFonts w:ascii="Times New Roman" w:hAnsi="Times New Roman" w:eastAsia="仿宋_GB2312" w:cs="Times New Roman"/>
              </w:rPr>
            </w:pPr>
          </w:p>
        </w:tc>
        <w:tc>
          <w:tcPr>
            <w:tcW w:w="328" w:type="pct"/>
            <w:vMerge w:val="restart"/>
            <w:shd w:val="clear" w:color="auto" w:fill="auto"/>
            <w:vAlign w:val="center"/>
          </w:tcPr>
          <w:p w14:paraId="68E197E4">
            <w:pPr>
              <w:spacing w:line="584" w:lineRule="exact"/>
              <w:jc w:val="center"/>
              <w:rPr>
                <w:rFonts w:ascii="Times New Roman" w:hAnsi="Times New Roman" w:eastAsia="仿宋_GB2312" w:cs="Times New Roman"/>
                <w:b/>
              </w:rPr>
            </w:pPr>
            <w:r>
              <w:rPr>
                <w:rFonts w:ascii="Times New Roman" w:hAnsi="Times New Roman" w:eastAsia="仿宋_GB2312" w:cs="Times New Roman"/>
                <w:b/>
              </w:rPr>
              <w:t>总计</w:t>
            </w:r>
          </w:p>
        </w:tc>
        <w:tc>
          <w:tcPr>
            <w:tcW w:w="1563" w:type="pct"/>
            <w:gridSpan w:val="5"/>
            <w:shd w:val="clear" w:color="auto" w:fill="auto"/>
            <w:vAlign w:val="center"/>
          </w:tcPr>
          <w:p w14:paraId="5A0B18B6">
            <w:pPr>
              <w:spacing w:line="584" w:lineRule="exact"/>
              <w:jc w:val="center"/>
              <w:rPr>
                <w:rFonts w:ascii="Times New Roman" w:hAnsi="Times New Roman" w:eastAsia="仿宋_GB2312" w:cs="Times New Roman"/>
                <w:b/>
              </w:rPr>
            </w:pPr>
            <w:r>
              <w:rPr>
                <w:rFonts w:ascii="Times New Roman" w:hAnsi="Times New Roman" w:eastAsia="仿宋_GB2312" w:cs="Times New Roman"/>
                <w:b/>
              </w:rPr>
              <w:t>当年部门预算安排资金</w:t>
            </w:r>
          </w:p>
        </w:tc>
        <w:tc>
          <w:tcPr>
            <w:tcW w:w="302" w:type="pct"/>
            <w:vMerge w:val="restart"/>
            <w:shd w:val="clear" w:color="auto" w:fill="auto"/>
            <w:vAlign w:val="center"/>
          </w:tcPr>
          <w:p w14:paraId="1BC7D65F">
            <w:pPr>
              <w:spacing w:line="584" w:lineRule="exact"/>
              <w:jc w:val="center"/>
              <w:rPr>
                <w:rFonts w:ascii="Times New Roman" w:hAnsi="Times New Roman" w:eastAsia="仿宋_GB2312" w:cs="Times New Roman"/>
                <w:b/>
              </w:rPr>
            </w:pPr>
            <w:r>
              <w:rPr>
                <w:rFonts w:ascii="Times New Roman" w:hAnsi="Times New Roman" w:eastAsia="仿宋_GB2312" w:cs="Times New Roman"/>
                <w:b/>
              </w:rPr>
              <w:t>其他渠道资金</w:t>
            </w:r>
          </w:p>
        </w:tc>
      </w:tr>
      <w:tr w14:paraId="7273B6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blHeader/>
          <w:jc w:val="center"/>
        </w:trPr>
        <w:tc>
          <w:tcPr>
            <w:tcW w:w="826" w:type="pct"/>
            <w:vMerge w:val="continue"/>
            <w:shd w:val="clear" w:color="auto" w:fill="auto"/>
            <w:vAlign w:val="center"/>
          </w:tcPr>
          <w:p w14:paraId="29DB11B4">
            <w:pPr>
              <w:spacing w:line="584" w:lineRule="exact"/>
              <w:jc w:val="left"/>
              <w:outlineLvl w:val="0"/>
              <w:rPr>
                <w:rFonts w:ascii="Times New Roman" w:hAnsi="Times New Roman" w:eastAsia="仿宋_GB2312" w:cs="Times New Roman"/>
              </w:rPr>
            </w:pPr>
          </w:p>
        </w:tc>
        <w:tc>
          <w:tcPr>
            <w:tcW w:w="363" w:type="pct"/>
            <w:vMerge w:val="continue"/>
            <w:shd w:val="clear" w:color="auto" w:fill="auto"/>
            <w:vAlign w:val="center"/>
          </w:tcPr>
          <w:p w14:paraId="7228A99A">
            <w:pPr>
              <w:spacing w:line="584" w:lineRule="exact"/>
              <w:jc w:val="left"/>
              <w:outlineLvl w:val="0"/>
              <w:rPr>
                <w:rFonts w:ascii="Times New Roman" w:hAnsi="Times New Roman" w:eastAsia="仿宋_GB2312" w:cs="Times New Roman"/>
              </w:rPr>
            </w:pPr>
          </w:p>
        </w:tc>
        <w:tc>
          <w:tcPr>
            <w:tcW w:w="320" w:type="pct"/>
            <w:vMerge w:val="continue"/>
            <w:shd w:val="clear" w:color="auto" w:fill="auto"/>
            <w:vAlign w:val="center"/>
          </w:tcPr>
          <w:p w14:paraId="2163AE2C">
            <w:pPr>
              <w:spacing w:line="584" w:lineRule="exact"/>
              <w:jc w:val="left"/>
              <w:outlineLvl w:val="0"/>
              <w:rPr>
                <w:rFonts w:ascii="Times New Roman" w:hAnsi="Times New Roman" w:eastAsia="仿宋_GB2312" w:cs="Times New Roman"/>
              </w:rPr>
            </w:pPr>
          </w:p>
        </w:tc>
        <w:tc>
          <w:tcPr>
            <w:tcW w:w="471" w:type="pct"/>
            <w:vMerge w:val="continue"/>
            <w:shd w:val="clear" w:color="auto" w:fill="auto"/>
            <w:vAlign w:val="center"/>
          </w:tcPr>
          <w:p w14:paraId="259D83DD">
            <w:pPr>
              <w:spacing w:line="584" w:lineRule="exact"/>
              <w:jc w:val="left"/>
              <w:outlineLvl w:val="0"/>
              <w:rPr>
                <w:rFonts w:ascii="Times New Roman" w:hAnsi="Times New Roman" w:eastAsia="仿宋_GB2312" w:cs="Times New Roman"/>
              </w:rPr>
            </w:pPr>
          </w:p>
        </w:tc>
        <w:tc>
          <w:tcPr>
            <w:tcW w:w="247" w:type="pct"/>
            <w:vMerge w:val="continue"/>
            <w:shd w:val="clear" w:color="auto" w:fill="auto"/>
            <w:vAlign w:val="center"/>
          </w:tcPr>
          <w:p w14:paraId="11064299">
            <w:pPr>
              <w:spacing w:line="584" w:lineRule="exact"/>
              <w:jc w:val="left"/>
              <w:outlineLvl w:val="0"/>
              <w:rPr>
                <w:rFonts w:ascii="Times New Roman" w:hAnsi="Times New Roman" w:eastAsia="仿宋_GB2312" w:cs="Times New Roman"/>
              </w:rPr>
            </w:pPr>
          </w:p>
        </w:tc>
        <w:tc>
          <w:tcPr>
            <w:tcW w:w="254" w:type="pct"/>
            <w:vMerge w:val="continue"/>
            <w:shd w:val="clear" w:color="auto" w:fill="auto"/>
            <w:vAlign w:val="center"/>
          </w:tcPr>
          <w:p w14:paraId="30FCA275">
            <w:pPr>
              <w:spacing w:line="584" w:lineRule="exact"/>
              <w:jc w:val="left"/>
              <w:outlineLvl w:val="0"/>
              <w:rPr>
                <w:rFonts w:ascii="Times New Roman" w:hAnsi="Times New Roman" w:eastAsia="仿宋_GB2312" w:cs="Times New Roman"/>
              </w:rPr>
            </w:pPr>
          </w:p>
        </w:tc>
        <w:tc>
          <w:tcPr>
            <w:tcW w:w="326" w:type="pct"/>
            <w:vMerge w:val="continue"/>
            <w:shd w:val="clear" w:color="auto" w:fill="auto"/>
            <w:vAlign w:val="center"/>
          </w:tcPr>
          <w:p w14:paraId="607A7E5F">
            <w:pPr>
              <w:spacing w:line="584" w:lineRule="exact"/>
              <w:jc w:val="left"/>
              <w:outlineLvl w:val="0"/>
              <w:rPr>
                <w:rFonts w:ascii="Times New Roman" w:hAnsi="Times New Roman" w:eastAsia="仿宋_GB2312" w:cs="Times New Roman"/>
              </w:rPr>
            </w:pPr>
          </w:p>
        </w:tc>
        <w:tc>
          <w:tcPr>
            <w:tcW w:w="328" w:type="pct"/>
            <w:vMerge w:val="continue"/>
            <w:shd w:val="clear" w:color="auto" w:fill="auto"/>
            <w:vAlign w:val="center"/>
          </w:tcPr>
          <w:p w14:paraId="1142163D">
            <w:pPr>
              <w:spacing w:line="584" w:lineRule="exact"/>
              <w:jc w:val="left"/>
              <w:outlineLvl w:val="0"/>
              <w:rPr>
                <w:rFonts w:ascii="Times New Roman" w:hAnsi="Times New Roman" w:eastAsia="仿宋_GB2312" w:cs="Times New Roman"/>
              </w:rPr>
            </w:pPr>
          </w:p>
        </w:tc>
        <w:tc>
          <w:tcPr>
            <w:tcW w:w="328" w:type="pct"/>
            <w:shd w:val="clear" w:color="auto" w:fill="auto"/>
            <w:vAlign w:val="center"/>
          </w:tcPr>
          <w:p w14:paraId="09078A98">
            <w:pPr>
              <w:spacing w:line="584" w:lineRule="exact"/>
              <w:jc w:val="center"/>
              <w:rPr>
                <w:rFonts w:ascii="Times New Roman" w:hAnsi="Times New Roman" w:eastAsia="仿宋_GB2312" w:cs="Times New Roman"/>
                <w:b/>
              </w:rPr>
            </w:pPr>
            <w:r>
              <w:rPr>
                <w:rFonts w:ascii="Times New Roman" w:hAnsi="Times New Roman" w:eastAsia="仿宋_GB2312" w:cs="Times New Roman"/>
                <w:b/>
              </w:rPr>
              <w:t>合计</w:t>
            </w:r>
          </w:p>
        </w:tc>
        <w:tc>
          <w:tcPr>
            <w:tcW w:w="328" w:type="pct"/>
            <w:shd w:val="clear" w:color="auto" w:fill="auto"/>
            <w:vAlign w:val="center"/>
          </w:tcPr>
          <w:p w14:paraId="2F4809B7">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一般公共预算拨款</w:t>
            </w:r>
          </w:p>
        </w:tc>
        <w:tc>
          <w:tcPr>
            <w:tcW w:w="271" w:type="pct"/>
            <w:shd w:val="clear" w:color="auto" w:fill="auto"/>
            <w:vAlign w:val="center"/>
          </w:tcPr>
          <w:p w14:paraId="3C4D827B">
            <w:pPr>
              <w:spacing w:line="584" w:lineRule="exact"/>
              <w:jc w:val="center"/>
              <w:rPr>
                <w:rFonts w:ascii="Times New Roman" w:hAnsi="Times New Roman" w:eastAsia="仿宋_GB2312" w:cs="Times New Roman"/>
                <w:b/>
              </w:rPr>
            </w:pPr>
            <w:r>
              <w:rPr>
                <w:rFonts w:ascii="Times New Roman" w:hAnsi="Times New Roman" w:eastAsia="仿宋_GB2312" w:cs="Times New Roman"/>
                <w:b/>
              </w:rPr>
              <w:t>基金预算拨款</w:t>
            </w:r>
          </w:p>
        </w:tc>
        <w:tc>
          <w:tcPr>
            <w:tcW w:w="317" w:type="pct"/>
            <w:shd w:val="clear" w:color="auto" w:fill="auto"/>
            <w:vAlign w:val="center"/>
          </w:tcPr>
          <w:p w14:paraId="1510EEE7">
            <w:pPr>
              <w:spacing w:line="584" w:lineRule="exact"/>
              <w:jc w:val="center"/>
              <w:rPr>
                <w:rFonts w:ascii="Times New Roman" w:hAnsi="Times New Roman" w:eastAsia="仿宋_GB2312" w:cs="Times New Roman"/>
                <w:b/>
              </w:rPr>
            </w:pPr>
            <w:r>
              <w:rPr>
                <w:rFonts w:ascii="Times New Roman" w:hAnsi="Times New Roman" w:eastAsia="仿宋_GB2312" w:cs="Times New Roman"/>
                <w:b/>
              </w:rPr>
              <w:t>财政专户核拨</w:t>
            </w:r>
          </w:p>
        </w:tc>
        <w:tc>
          <w:tcPr>
            <w:tcW w:w="319" w:type="pct"/>
            <w:shd w:val="clear" w:color="auto" w:fill="auto"/>
            <w:vAlign w:val="center"/>
          </w:tcPr>
          <w:p w14:paraId="0063D2B9">
            <w:pPr>
              <w:spacing w:line="584" w:lineRule="exact"/>
              <w:jc w:val="center"/>
              <w:rPr>
                <w:rFonts w:ascii="Times New Roman" w:hAnsi="Times New Roman" w:eastAsia="仿宋_GB2312" w:cs="Times New Roman"/>
                <w:b/>
              </w:rPr>
            </w:pPr>
            <w:r>
              <w:rPr>
                <w:rFonts w:ascii="Times New Roman" w:hAnsi="Times New Roman" w:eastAsia="仿宋_GB2312" w:cs="Times New Roman"/>
                <w:b/>
              </w:rPr>
              <w:t>其他来源收入</w:t>
            </w:r>
          </w:p>
        </w:tc>
        <w:tc>
          <w:tcPr>
            <w:tcW w:w="302" w:type="pct"/>
            <w:vMerge w:val="continue"/>
            <w:shd w:val="clear" w:color="auto" w:fill="auto"/>
            <w:vAlign w:val="center"/>
          </w:tcPr>
          <w:p w14:paraId="47A07CF7">
            <w:pPr>
              <w:spacing w:line="584" w:lineRule="exact"/>
              <w:jc w:val="left"/>
              <w:outlineLvl w:val="0"/>
              <w:rPr>
                <w:rFonts w:ascii="Times New Roman" w:hAnsi="Times New Roman" w:eastAsia="仿宋_GB2312" w:cs="Times New Roman"/>
              </w:rPr>
            </w:pPr>
          </w:p>
        </w:tc>
      </w:tr>
      <w:tr w14:paraId="131DF4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shd w:val="clear" w:color="auto" w:fill="auto"/>
            <w:vAlign w:val="center"/>
          </w:tcPr>
          <w:p w14:paraId="49598D0B">
            <w:pPr>
              <w:spacing w:line="584" w:lineRule="exact"/>
              <w:jc w:val="center"/>
              <w:rPr>
                <w:rFonts w:ascii="Times New Roman" w:hAnsi="Times New Roman" w:eastAsia="仿宋_GB2312" w:cs="Times New Roman"/>
                <w:b/>
              </w:rPr>
            </w:pPr>
            <w:r>
              <w:rPr>
                <w:rFonts w:ascii="Times New Roman" w:hAnsi="Times New Roman" w:eastAsia="仿宋_GB2312" w:cs="Times New Roman"/>
                <w:b/>
              </w:rPr>
              <w:t>合　计</w:t>
            </w:r>
          </w:p>
        </w:tc>
        <w:tc>
          <w:tcPr>
            <w:tcW w:w="363" w:type="pct"/>
            <w:shd w:val="clear" w:color="auto" w:fill="auto"/>
            <w:vAlign w:val="center"/>
          </w:tcPr>
          <w:p w14:paraId="299FAEE1">
            <w:pPr>
              <w:spacing w:line="584" w:lineRule="exact"/>
              <w:jc w:val="right"/>
              <w:rPr>
                <w:rFonts w:ascii="Times New Roman" w:hAnsi="Times New Roman" w:eastAsia="仿宋_GB2312" w:cs="Times New Roman"/>
                <w:b/>
              </w:rPr>
            </w:pPr>
          </w:p>
        </w:tc>
        <w:tc>
          <w:tcPr>
            <w:tcW w:w="320" w:type="pct"/>
            <w:shd w:val="clear" w:color="auto" w:fill="auto"/>
            <w:vAlign w:val="center"/>
          </w:tcPr>
          <w:p w14:paraId="0C8A4F09">
            <w:pPr>
              <w:spacing w:line="584" w:lineRule="exact"/>
              <w:jc w:val="left"/>
              <w:rPr>
                <w:rFonts w:ascii="Times New Roman" w:hAnsi="Times New Roman" w:eastAsia="仿宋_GB2312" w:cs="Times New Roman"/>
                <w:b/>
              </w:rPr>
            </w:pPr>
          </w:p>
        </w:tc>
        <w:tc>
          <w:tcPr>
            <w:tcW w:w="471" w:type="pct"/>
            <w:shd w:val="clear" w:color="auto" w:fill="auto"/>
            <w:vAlign w:val="center"/>
          </w:tcPr>
          <w:p w14:paraId="34A4A4F5">
            <w:pPr>
              <w:spacing w:line="584" w:lineRule="exact"/>
              <w:jc w:val="left"/>
              <w:rPr>
                <w:rFonts w:ascii="Times New Roman" w:hAnsi="Times New Roman" w:eastAsia="仿宋_GB2312" w:cs="Times New Roman"/>
                <w:b/>
              </w:rPr>
            </w:pPr>
          </w:p>
        </w:tc>
        <w:tc>
          <w:tcPr>
            <w:tcW w:w="247" w:type="pct"/>
            <w:shd w:val="clear" w:color="auto" w:fill="auto"/>
            <w:vAlign w:val="center"/>
          </w:tcPr>
          <w:p w14:paraId="47EA6E1B">
            <w:pPr>
              <w:spacing w:line="584" w:lineRule="exact"/>
              <w:jc w:val="left"/>
              <w:rPr>
                <w:rFonts w:ascii="Times New Roman" w:hAnsi="Times New Roman" w:eastAsia="仿宋_GB2312" w:cs="Times New Roman"/>
                <w:b/>
              </w:rPr>
            </w:pPr>
          </w:p>
        </w:tc>
        <w:tc>
          <w:tcPr>
            <w:tcW w:w="254" w:type="pct"/>
            <w:shd w:val="clear" w:color="auto" w:fill="auto"/>
            <w:vAlign w:val="center"/>
          </w:tcPr>
          <w:p w14:paraId="7C4A309C">
            <w:pPr>
              <w:spacing w:line="584" w:lineRule="exact"/>
              <w:jc w:val="right"/>
              <w:rPr>
                <w:rFonts w:ascii="Times New Roman" w:hAnsi="Times New Roman" w:eastAsia="仿宋_GB2312" w:cs="Times New Roman"/>
                <w:b/>
              </w:rPr>
            </w:pPr>
          </w:p>
        </w:tc>
        <w:tc>
          <w:tcPr>
            <w:tcW w:w="326" w:type="pct"/>
            <w:shd w:val="clear" w:color="auto" w:fill="auto"/>
            <w:vAlign w:val="center"/>
          </w:tcPr>
          <w:p w14:paraId="246EF56E">
            <w:pPr>
              <w:spacing w:line="584" w:lineRule="exact"/>
              <w:jc w:val="right"/>
              <w:rPr>
                <w:rFonts w:ascii="Times New Roman" w:hAnsi="Times New Roman" w:eastAsia="仿宋_GB2312" w:cs="Times New Roman"/>
                <w:b/>
              </w:rPr>
            </w:pPr>
          </w:p>
        </w:tc>
        <w:tc>
          <w:tcPr>
            <w:tcW w:w="328" w:type="pct"/>
            <w:shd w:val="clear" w:color="auto" w:fill="auto"/>
            <w:vAlign w:val="center"/>
          </w:tcPr>
          <w:p w14:paraId="2B3C0351">
            <w:pPr>
              <w:spacing w:line="584" w:lineRule="exact"/>
              <w:jc w:val="right"/>
              <w:rPr>
                <w:rFonts w:ascii="Times New Roman" w:hAnsi="Times New Roman" w:eastAsia="仿宋_GB2312" w:cs="Times New Roman"/>
                <w:b/>
              </w:rPr>
            </w:pPr>
          </w:p>
        </w:tc>
        <w:tc>
          <w:tcPr>
            <w:tcW w:w="328" w:type="pct"/>
            <w:shd w:val="clear" w:color="auto" w:fill="auto"/>
            <w:vAlign w:val="center"/>
          </w:tcPr>
          <w:p w14:paraId="5B174115">
            <w:pPr>
              <w:spacing w:line="584" w:lineRule="exact"/>
              <w:jc w:val="right"/>
              <w:rPr>
                <w:rFonts w:ascii="Times New Roman" w:hAnsi="Times New Roman" w:eastAsia="仿宋_GB2312" w:cs="Times New Roman"/>
                <w:b/>
              </w:rPr>
            </w:pPr>
          </w:p>
        </w:tc>
        <w:tc>
          <w:tcPr>
            <w:tcW w:w="328" w:type="pct"/>
            <w:shd w:val="clear" w:color="auto" w:fill="auto"/>
            <w:vAlign w:val="center"/>
          </w:tcPr>
          <w:p w14:paraId="21A69A61">
            <w:pPr>
              <w:spacing w:line="584" w:lineRule="exact"/>
              <w:jc w:val="right"/>
              <w:rPr>
                <w:rFonts w:ascii="Times New Roman" w:hAnsi="Times New Roman" w:eastAsia="仿宋_GB2312" w:cs="Times New Roman"/>
                <w:b/>
              </w:rPr>
            </w:pPr>
          </w:p>
        </w:tc>
        <w:tc>
          <w:tcPr>
            <w:tcW w:w="271" w:type="pct"/>
            <w:shd w:val="clear" w:color="auto" w:fill="auto"/>
            <w:vAlign w:val="center"/>
          </w:tcPr>
          <w:p w14:paraId="7EF4E852">
            <w:pPr>
              <w:spacing w:line="584" w:lineRule="exact"/>
              <w:jc w:val="right"/>
              <w:rPr>
                <w:rFonts w:ascii="Times New Roman" w:hAnsi="Times New Roman" w:eastAsia="仿宋_GB2312" w:cs="Times New Roman"/>
                <w:b/>
              </w:rPr>
            </w:pPr>
          </w:p>
        </w:tc>
        <w:tc>
          <w:tcPr>
            <w:tcW w:w="317" w:type="pct"/>
            <w:shd w:val="clear" w:color="auto" w:fill="auto"/>
            <w:vAlign w:val="center"/>
          </w:tcPr>
          <w:p w14:paraId="69A8E748">
            <w:pPr>
              <w:spacing w:line="584" w:lineRule="exact"/>
              <w:jc w:val="right"/>
              <w:rPr>
                <w:rFonts w:ascii="Times New Roman" w:hAnsi="Times New Roman" w:eastAsia="仿宋_GB2312" w:cs="Times New Roman"/>
                <w:b/>
              </w:rPr>
            </w:pPr>
          </w:p>
        </w:tc>
        <w:tc>
          <w:tcPr>
            <w:tcW w:w="319" w:type="pct"/>
            <w:shd w:val="clear" w:color="auto" w:fill="auto"/>
            <w:vAlign w:val="center"/>
          </w:tcPr>
          <w:p w14:paraId="18E54A46">
            <w:pPr>
              <w:spacing w:line="584" w:lineRule="exact"/>
              <w:jc w:val="right"/>
              <w:rPr>
                <w:rFonts w:ascii="Times New Roman" w:hAnsi="Times New Roman" w:eastAsia="仿宋_GB2312" w:cs="Times New Roman"/>
                <w:b/>
              </w:rPr>
            </w:pPr>
          </w:p>
        </w:tc>
        <w:tc>
          <w:tcPr>
            <w:tcW w:w="302" w:type="pct"/>
            <w:shd w:val="clear" w:color="auto" w:fill="auto"/>
            <w:vAlign w:val="center"/>
          </w:tcPr>
          <w:p w14:paraId="7A85CBE8">
            <w:pPr>
              <w:spacing w:line="584" w:lineRule="exact"/>
              <w:jc w:val="right"/>
              <w:rPr>
                <w:rFonts w:ascii="Times New Roman" w:hAnsi="Times New Roman" w:eastAsia="仿宋_GB2312" w:cs="Times New Roman"/>
                <w:b/>
              </w:rPr>
            </w:pPr>
          </w:p>
        </w:tc>
      </w:tr>
      <w:tr w14:paraId="0E78DF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shd w:val="clear" w:color="auto" w:fill="auto"/>
            <w:vAlign w:val="center"/>
          </w:tcPr>
          <w:p w14:paraId="433BCF3D">
            <w:pPr>
              <w:spacing w:line="584" w:lineRule="exact"/>
              <w:jc w:val="center"/>
              <w:rPr>
                <w:rFonts w:ascii="Times New Roman" w:hAnsi="Times New Roman" w:eastAsia="仿宋_GB2312" w:cs="Times New Roman"/>
                <w:b/>
              </w:rPr>
            </w:pPr>
          </w:p>
        </w:tc>
        <w:tc>
          <w:tcPr>
            <w:tcW w:w="363" w:type="pct"/>
            <w:shd w:val="clear" w:color="auto" w:fill="auto"/>
            <w:vAlign w:val="center"/>
          </w:tcPr>
          <w:p w14:paraId="73DD7FEB">
            <w:pPr>
              <w:spacing w:line="584" w:lineRule="exact"/>
              <w:jc w:val="right"/>
              <w:rPr>
                <w:rFonts w:ascii="Times New Roman" w:hAnsi="Times New Roman" w:eastAsia="仿宋_GB2312" w:cs="Times New Roman"/>
                <w:b/>
              </w:rPr>
            </w:pPr>
          </w:p>
        </w:tc>
        <w:tc>
          <w:tcPr>
            <w:tcW w:w="320" w:type="pct"/>
            <w:shd w:val="clear" w:color="auto" w:fill="auto"/>
            <w:vAlign w:val="center"/>
          </w:tcPr>
          <w:p w14:paraId="48748219">
            <w:pPr>
              <w:spacing w:line="584" w:lineRule="exact"/>
              <w:jc w:val="left"/>
              <w:rPr>
                <w:rFonts w:ascii="Times New Roman" w:hAnsi="Times New Roman" w:eastAsia="仿宋_GB2312" w:cs="Times New Roman"/>
                <w:b/>
              </w:rPr>
            </w:pPr>
          </w:p>
        </w:tc>
        <w:tc>
          <w:tcPr>
            <w:tcW w:w="471" w:type="pct"/>
            <w:shd w:val="clear" w:color="auto" w:fill="auto"/>
            <w:vAlign w:val="center"/>
          </w:tcPr>
          <w:p w14:paraId="5E14D10F">
            <w:pPr>
              <w:spacing w:line="584" w:lineRule="exact"/>
              <w:jc w:val="left"/>
              <w:rPr>
                <w:rFonts w:ascii="Times New Roman" w:hAnsi="Times New Roman" w:eastAsia="仿宋_GB2312" w:cs="Times New Roman"/>
                <w:b/>
              </w:rPr>
            </w:pPr>
          </w:p>
        </w:tc>
        <w:tc>
          <w:tcPr>
            <w:tcW w:w="247" w:type="pct"/>
            <w:shd w:val="clear" w:color="auto" w:fill="auto"/>
            <w:vAlign w:val="center"/>
          </w:tcPr>
          <w:p w14:paraId="1F0AE70C">
            <w:pPr>
              <w:spacing w:line="584" w:lineRule="exact"/>
              <w:jc w:val="left"/>
              <w:rPr>
                <w:rFonts w:ascii="Times New Roman" w:hAnsi="Times New Roman" w:eastAsia="仿宋_GB2312" w:cs="Times New Roman"/>
                <w:b/>
              </w:rPr>
            </w:pPr>
          </w:p>
        </w:tc>
        <w:tc>
          <w:tcPr>
            <w:tcW w:w="254" w:type="pct"/>
            <w:shd w:val="clear" w:color="auto" w:fill="auto"/>
            <w:vAlign w:val="center"/>
          </w:tcPr>
          <w:p w14:paraId="0B46493E">
            <w:pPr>
              <w:spacing w:line="584" w:lineRule="exact"/>
              <w:jc w:val="right"/>
              <w:rPr>
                <w:rFonts w:ascii="Times New Roman" w:hAnsi="Times New Roman" w:eastAsia="仿宋_GB2312" w:cs="Times New Roman"/>
                <w:b/>
              </w:rPr>
            </w:pPr>
          </w:p>
        </w:tc>
        <w:tc>
          <w:tcPr>
            <w:tcW w:w="326" w:type="pct"/>
            <w:shd w:val="clear" w:color="auto" w:fill="auto"/>
            <w:vAlign w:val="center"/>
          </w:tcPr>
          <w:p w14:paraId="09FDFF1C">
            <w:pPr>
              <w:spacing w:line="584" w:lineRule="exact"/>
              <w:jc w:val="right"/>
              <w:rPr>
                <w:rFonts w:ascii="Times New Roman" w:hAnsi="Times New Roman" w:eastAsia="仿宋_GB2312" w:cs="Times New Roman"/>
                <w:b/>
              </w:rPr>
            </w:pPr>
          </w:p>
        </w:tc>
        <w:tc>
          <w:tcPr>
            <w:tcW w:w="328" w:type="pct"/>
            <w:shd w:val="clear" w:color="auto" w:fill="auto"/>
            <w:vAlign w:val="center"/>
          </w:tcPr>
          <w:p w14:paraId="7DB736A0">
            <w:pPr>
              <w:spacing w:line="584" w:lineRule="exact"/>
              <w:jc w:val="right"/>
              <w:rPr>
                <w:rFonts w:ascii="Times New Roman" w:hAnsi="Times New Roman" w:eastAsia="仿宋_GB2312" w:cs="Times New Roman"/>
                <w:b/>
              </w:rPr>
            </w:pPr>
          </w:p>
        </w:tc>
        <w:tc>
          <w:tcPr>
            <w:tcW w:w="328" w:type="pct"/>
            <w:shd w:val="clear" w:color="auto" w:fill="auto"/>
            <w:vAlign w:val="center"/>
          </w:tcPr>
          <w:p w14:paraId="280951CA">
            <w:pPr>
              <w:spacing w:line="584" w:lineRule="exact"/>
              <w:jc w:val="right"/>
              <w:rPr>
                <w:rFonts w:ascii="Times New Roman" w:hAnsi="Times New Roman" w:eastAsia="仿宋_GB2312" w:cs="Times New Roman"/>
                <w:b/>
              </w:rPr>
            </w:pPr>
          </w:p>
        </w:tc>
        <w:tc>
          <w:tcPr>
            <w:tcW w:w="328" w:type="pct"/>
            <w:shd w:val="clear" w:color="auto" w:fill="auto"/>
            <w:vAlign w:val="center"/>
          </w:tcPr>
          <w:p w14:paraId="1674924C">
            <w:pPr>
              <w:spacing w:line="584" w:lineRule="exact"/>
              <w:jc w:val="right"/>
              <w:rPr>
                <w:rFonts w:ascii="Times New Roman" w:hAnsi="Times New Roman" w:eastAsia="仿宋_GB2312" w:cs="Times New Roman"/>
                <w:b/>
              </w:rPr>
            </w:pPr>
          </w:p>
        </w:tc>
        <w:tc>
          <w:tcPr>
            <w:tcW w:w="271" w:type="pct"/>
            <w:shd w:val="clear" w:color="auto" w:fill="auto"/>
            <w:vAlign w:val="center"/>
          </w:tcPr>
          <w:p w14:paraId="4EBAF8D8">
            <w:pPr>
              <w:spacing w:line="584" w:lineRule="exact"/>
              <w:jc w:val="right"/>
              <w:rPr>
                <w:rFonts w:ascii="Times New Roman" w:hAnsi="Times New Roman" w:eastAsia="仿宋_GB2312" w:cs="Times New Roman"/>
                <w:b/>
              </w:rPr>
            </w:pPr>
          </w:p>
        </w:tc>
        <w:tc>
          <w:tcPr>
            <w:tcW w:w="317" w:type="pct"/>
            <w:shd w:val="clear" w:color="auto" w:fill="auto"/>
            <w:vAlign w:val="center"/>
          </w:tcPr>
          <w:p w14:paraId="3FDE2E21">
            <w:pPr>
              <w:spacing w:line="584" w:lineRule="exact"/>
              <w:jc w:val="right"/>
              <w:rPr>
                <w:rFonts w:ascii="Times New Roman" w:hAnsi="Times New Roman" w:eastAsia="仿宋_GB2312" w:cs="Times New Roman"/>
                <w:b/>
              </w:rPr>
            </w:pPr>
          </w:p>
        </w:tc>
        <w:tc>
          <w:tcPr>
            <w:tcW w:w="319" w:type="pct"/>
            <w:shd w:val="clear" w:color="auto" w:fill="auto"/>
            <w:vAlign w:val="center"/>
          </w:tcPr>
          <w:p w14:paraId="4CF3CAB0">
            <w:pPr>
              <w:spacing w:line="584" w:lineRule="exact"/>
              <w:jc w:val="right"/>
              <w:rPr>
                <w:rFonts w:ascii="Times New Roman" w:hAnsi="Times New Roman" w:eastAsia="仿宋_GB2312" w:cs="Times New Roman"/>
                <w:b/>
              </w:rPr>
            </w:pPr>
          </w:p>
        </w:tc>
        <w:tc>
          <w:tcPr>
            <w:tcW w:w="302" w:type="pct"/>
            <w:shd w:val="clear" w:color="auto" w:fill="auto"/>
            <w:vAlign w:val="center"/>
          </w:tcPr>
          <w:p w14:paraId="57949208">
            <w:pPr>
              <w:spacing w:line="584" w:lineRule="exact"/>
              <w:jc w:val="right"/>
              <w:rPr>
                <w:rFonts w:ascii="Times New Roman" w:hAnsi="Times New Roman" w:eastAsia="仿宋_GB2312" w:cs="Times New Roman"/>
                <w:b/>
              </w:rPr>
            </w:pPr>
          </w:p>
        </w:tc>
      </w:tr>
      <w:tr w14:paraId="1CB776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shd w:val="clear" w:color="auto" w:fill="auto"/>
            <w:vAlign w:val="center"/>
          </w:tcPr>
          <w:p w14:paraId="1C058019">
            <w:pPr>
              <w:spacing w:line="584" w:lineRule="exact"/>
              <w:jc w:val="left"/>
              <w:rPr>
                <w:rFonts w:ascii="Times New Roman" w:hAnsi="Times New Roman" w:eastAsia="仿宋_GB2312" w:cs="Times New Roman"/>
              </w:rPr>
            </w:pPr>
          </w:p>
        </w:tc>
        <w:tc>
          <w:tcPr>
            <w:tcW w:w="363" w:type="pct"/>
            <w:shd w:val="clear" w:color="auto" w:fill="auto"/>
            <w:vAlign w:val="center"/>
          </w:tcPr>
          <w:p w14:paraId="64DB3028">
            <w:pPr>
              <w:spacing w:line="584" w:lineRule="exact"/>
              <w:jc w:val="right"/>
              <w:rPr>
                <w:rFonts w:ascii="Times New Roman" w:hAnsi="Times New Roman" w:eastAsia="仿宋_GB2312" w:cs="Times New Roman"/>
              </w:rPr>
            </w:pPr>
          </w:p>
        </w:tc>
        <w:tc>
          <w:tcPr>
            <w:tcW w:w="320" w:type="pct"/>
            <w:shd w:val="clear" w:color="auto" w:fill="auto"/>
            <w:vAlign w:val="center"/>
          </w:tcPr>
          <w:p w14:paraId="41AC869D">
            <w:pPr>
              <w:spacing w:line="584" w:lineRule="exact"/>
              <w:jc w:val="left"/>
              <w:rPr>
                <w:rFonts w:ascii="Times New Roman" w:hAnsi="Times New Roman" w:eastAsia="仿宋_GB2312" w:cs="Times New Roman"/>
              </w:rPr>
            </w:pPr>
          </w:p>
        </w:tc>
        <w:tc>
          <w:tcPr>
            <w:tcW w:w="471" w:type="pct"/>
            <w:shd w:val="clear" w:color="auto" w:fill="auto"/>
            <w:vAlign w:val="center"/>
          </w:tcPr>
          <w:p w14:paraId="10E29D13">
            <w:pPr>
              <w:spacing w:line="584" w:lineRule="exact"/>
              <w:jc w:val="left"/>
              <w:rPr>
                <w:rFonts w:ascii="Times New Roman" w:hAnsi="Times New Roman" w:eastAsia="仿宋_GB2312" w:cs="Times New Roman"/>
              </w:rPr>
            </w:pPr>
          </w:p>
        </w:tc>
        <w:tc>
          <w:tcPr>
            <w:tcW w:w="247" w:type="pct"/>
            <w:shd w:val="clear" w:color="auto" w:fill="auto"/>
            <w:vAlign w:val="center"/>
          </w:tcPr>
          <w:p w14:paraId="2AF8D150">
            <w:pPr>
              <w:spacing w:line="584" w:lineRule="exact"/>
              <w:jc w:val="left"/>
              <w:rPr>
                <w:rFonts w:ascii="Times New Roman" w:hAnsi="Times New Roman" w:eastAsia="仿宋_GB2312" w:cs="Times New Roman"/>
              </w:rPr>
            </w:pPr>
          </w:p>
        </w:tc>
        <w:tc>
          <w:tcPr>
            <w:tcW w:w="254" w:type="pct"/>
            <w:shd w:val="clear" w:color="auto" w:fill="auto"/>
            <w:vAlign w:val="center"/>
          </w:tcPr>
          <w:p w14:paraId="5A0F8206">
            <w:pPr>
              <w:spacing w:line="584" w:lineRule="exact"/>
              <w:jc w:val="right"/>
              <w:rPr>
                <w:rFonts w:ascii="Times New Roman" w:hAnsi="Times New Roman" w:eastAsia="仿宋_GB2312" w:cs="Times New Roman"/>
              </w:rPr>
            </w:pPr>
          </w:p>
        </w:tc>
        <w:tc>
          <w:tcPr>
            <w:tcW w:w="326" w:type="pct"/>
            <w:shd w:val="clear" w:color="auto" w:fill="auto"/>
            <w:vAlign w:val="center"/>
          </w:tcPr>
          <w:p w14:paraId="43AF339D">
            <w:pPr>
              <w:spacing w:line="584" w:lineRule="exact"/>
              <w:jc w:val="right"/>
              <w:rPr>
                <w:rFonts w:ascii="Times New Roman" w:hAnsi="Times New Roman" w:eastAsia="仿宋_GB2312" w:cs="Times New Roman"/>
              </w:rPr>
            </w:pPr>
          </w:p>
        </w:tc>
        <w:tc>
          <w:tcPr>
            <w:tcW w:w="328" w:type="pct"/>
            <w:shd w:val="clear" w:color="auto" w:fill="auto"/>
            <w:vAlign w:val="center"/>
          </w:tcPr>
          <w:p w14:paraId="47D394C0">
            <w:pPr>
              <w:spacing w:line="584" w:lineRule="exact"/>
              <w:jc w:val="right"/>
              <w:rPr>
                <w:rFonts w:ascii="Times New Roman" w:hAnsi="Times New Roman" w:eastAsia="仿宋_GB2312" w:cs="Times New Roman"/>
              </w:rPr>
            </w:pPr>
          </w:p>
        </w:tc>
        <w:tc>
          <w:tcPr>
            <w:tcW w:w="328" w:type="pct"/>
            <w:shd w:val="clear" w:color="auto" w:fill="auto"/>
            <w:vAlign w:val="center"/>
          </w:tcPr>
          <w:p w14:paraId="3F86642D">
            <w:pPr>
              <w:spacing w:line="584" w:lineRule="exact"/>
              <w:jc w:val="right"/>
              <w:rPr>
                <w:rFonts w:ascii="Times New Roman" w:hAnsi="Times New Roman" w:eastAsia="仿宋_GB2312" w:cs="Times New Roman"/>
              </w:rPr>
            </w:pPr>
          </w:p>
        </w:tc>
        <w:tc>
          <w:tcPr>
            <w:tcW w:w="328" w:type="pct"/>
            <w:shd w:val="clear" w:color="auto" w:fill="auto"/>
            <w:vAlign w:val="center"/>
          </w:tcPr>
          <w:p w14:paraId="717930CC">
            <w:pPr>
              <w:spacing w:line="584" w:lineRule="exact"/>
              <w:jc w:val="right"/>
              <w:rPr>
                <w:rFonts w:ascii="Times New Roman" w:hAnsi="Times New Roman" w:eastAsia="仿宋_GB2312" w:cs="Times New Roman"/>
              </w:rPr>
            </w:pPr>
          </w:p>
        </w:tc>
        <w:tc>
          <w:tcPr>
            <w:tcW w:w="271" w:type="pct"/>
            <w:shd w:val="clear" w:color="auto" w:fill="auto"/>
            <w:vAlign w:val="center"/>
          </w:tcPr>
          <w:p w14:paraId="6C9E1110">
            <w:pPr>
              <w:spacing w:line="584" w:lineRule="exact"/>
              <w:jc w:val="right"/>
              <w:rPr>
                <w:rFonts w:ascii="Times New Roman" w:hAnsi="Times New Roman" w:eastAsia="仿宋_GB2312" w:cs="Times New Roman"/>
              </w:rPr>
            </w:pPr>
          </w:p>
        </w:tc>
        <w:tc>
          <w:tcPr>
            <w:tcW w:w="317" w:type="pct"/>
            <w:shd w:val="clear" w:color="auto" w:fill="auto"/>
            <w:vAlign w:val="center"/>
          </w:tcPr>
          <w:p w14:paraId="38080A26">
            <w:pPr>
              <w:spacing w:line="584" w:lineRule="exact"/>
              <w:jc w:val="right"/>
              <w:rPr>
                <w:rFonts w:ascii="Times New Roman" w:hAnsi="Times New Roman" w:eastAsia="仿宋_GB2312" w:cs="Times New Roman"/>
              </w:rPr>
            </w:pPr>
          </w:p>
        </w:tc>
        <w:tc>
          <w:tcPr>
            <w:tcW w:w="319" w:type="pct"/>
            <w:shd w:val="clear" w:color="auto" w:fill="auto"/>
            <w:vAlign w:val="center"/>
          </w:tcPr>
          <w:p w14:paraId="4BA332F8">
            <w:pPr>
              <w:spacing w:line="584" w:lineRule="exact"/>
              <w:jc w:val="right"/>
              <w:rPr>
                <w:rFonts w:ascii="Times New Roman" w:hAnsi="Times New Roman" w:eastAsia="仿宋_GB2312" w:cs="Times New Roman"/>
              </w:rPr>
            </w:pPr>
          </w:p>
        </w:tc>
        <w:tc>
          <w:tcPr>
            <w:tcW w:w="302" w:type="pct"/>
            <w:shd w:val="clear" w:color="auto" w:fill="auto"/>
            <w:vAlign w:val="center"/>
          </w:tcPr>
          <w:p w14:paraId="5A34A0DF">
            <w:pPr>
              <w:spacing w:line="584" w:lineRule="exact"/>
              <w:jc w:val="right"/>
              <w:rPr>
                <w:rFonts w:ascii="Times New Roman" w:hAnsi="Times New Roman" w:eastAsia="仿宋_GB2312" w:cs="Times New Roman"/>
              </w:rPr>
            </w:pPr>
          </w:p>
        </w:tc>
      </w:tr>
      <w:tr w14:paraId="1C03D8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shd w:val="clear" w:color="auto" w:fill="auto"/>
            <w:vAlign w:val="center"/>
          </w:tcPr>
          <w:p w14:paraId="43FC8070">
            <w:pPr>
              <w:spacing w:line="584" w:lineRule="exact"/>
              <w:jc w:val="left"/>
              <w:rPr>
                <w:rFonts w:ascii="Times New Roman" w:hAnsi="Times New Roman" w:eastAsia="仿宋_GB2312" w:cs="Times New Roman"/>
              </w:rPr>
            </w:pPr>
          </w:p>
        </w:tc>
        <w:tc>
          <w:tcPr>
            <w:tcW w:w="363" w:type="pct"/>
            <w:shd w:val="clear" w:color="auto" w:fill="auto"/>
            <w:vAlign w:val="center"/>
          </w:tcPr>
          <w:p w14:paraId="19473D69">
            <w:pPr>
              <w:spacing w:line="584" w:lineRule="exact"/>
              <w:jc w:val="right"/>
              <w:rPr>
                <w:rFonts w:ascii="Times New Roman" w:hAnsi="Times New Roman" w:eastAsia="仿宋_GB2312" w:cs="Times New Roman"/>
              </w:rPr>
            </w:pPr>
          </w:p>
        </w:tc>
        <w:tc>
          <w:tcPr>
            <w:tcW w:w="320" w:type="pct"/>
            <w:shd w:val="clear" w:color="auto" w:fill="auto"/>
            <w:vAlign w:val="center"/>
          </w:tcPr>
          <w:p w14:paraId="4507F923">
            <w:pPr>
              <w:spacing w:line="584" w:lineRule="exact"/>
              <w:jc w:val="left"/>
              <w:rPr>
                <w:rFonts w:ascii="Times New Roman" w:hAnsi="Times New Roman" w:eastAsia="仿宋_GB2312" w:cs="Times New Roman"/>
              </w:rPr>
            </w:pPr>
          </w:p>
        </w:tc>
        <w:tc>
          <w:tcPr>
            <w:tcW w:w="471" w:type="pct"/>
            <w:shd w:val="clear" w:color="auto" w:fill="auto"/>
            <w:vAlign w:val="center"/>
          </w:tcPr>
          <w:p w14:paraId="261015D7">
            <w:pPr>
              <w:spacing w:line="584" w:lineRule="exact"/>
              <w:jc w:val="left"/>
              <w:rPr>
                <w:rFonts w:ascii="Times New Roman" w:hAnsi="Times New Roman" w:eastAsia="仿宋_GB2312" w:cs="Times New Roman"/>
              </w:rPr>
            </w:pPr>
          </w:p>
        </w:tc>
        <w:tc>
          <w:tcPr>
            <w:tcW w:w="247" w:type="pct"/>
            <w:shd w:val="clear" w:color="auto" w:fill="auto"/>
            <w:vAlign w:val="center"/>
          </w:tcPr>
          <w:p w14:paraId="5B6FB4F2">
            <w:pPr>
              <w:spacing w:line="584" w:lineRule="exact"/>
              <w:jc w:val="left"/>
              <w:rPr>
                <w:rFonts w:ascii="Times New Roman" w:hAnsi="Times New Roman" w:eastAsia="仿宋_GB2312" w:cs="Times New Roman"/>
              </w:rPr>
            </w:pPr>
          </w:p>
        </w:tc>
        <w:tc>
          <w:tcPr>
            <w:tcW w:w="254" w:type="pct"/>
            <w:shd w:val="clear" w:color="auto" w:fill="auto"/>
            <w:vAlign w:val="center"/>
          </w:tcPr>
          <w:p w14:paraId="5E3D2F04">
            <w:pPr>
              <w:spacing w:line="584" w:lineRule="exact"/>
              <w:jc w:val="right"/>
              <w:rPr>
                <w:rFonts w:ascii="Times New Roman" w:hAnsi="Times New Roman" w:eastAsia="仿宋_GB2312" w:cs="Times New Roman"/>
              </w:rPr>
            </w:pPr>
          </w:p>
        </w:tc>
        <w:tc>
          <w:tcPr>
            <w:tcW w:w="326" w:type="pct"/>
            <w:shd w:val="clear" w:color="auto" w:fill="auto"/>
            <w:vAlign w:val="center"/>
          </w:tcPr>
          <w:p w14:paraId="67D91A70">
            <w:pPr>
              <w:spacing w:line="584" w:lineRule="exact"/>
              <w:jc w:val="right"/>
              <w:rPr>
                <w:rFonts w:ascii="Times New Roman" w:hAnsi="Times New Roman" w:eastAsia="仿宋_GB2312" w:cs="Times New Roman"/>
              </w:rPr>
            </w:pPr>
          </w:p>
        </w:tc>
        <w:tc>
          <w:tcPr>
            <w:tcW w:w="328" w:type="pct"/>
            <w:shd w:val="clear" w:color="auto" w:fill="auto"/>
            <w:vAlign w:val="center"/>
          </w:tcPr>
          <w:p w14:paraId="039D6082">
            <w:pPr>
              <w:spacing w:line="584" w:lineRule="exact"/>
              <w:jc w:val="right"/>
              <w:rPr>
                <w:rFonts w:ascii="Times New Roman" w:hAnsi="Times New Roman" w:eastAsia="仿宋_GB2312" w:cs="Times New Roman"/>
              </w:rPr>
            </w:pPr>
          </w:p>
        </w:tc>
        <w:tc>
          <w:tcPr>
            <w:tcW w:w="328" w:type="pct"/>
            <w:shd w:val="clear" w:color="auto" w:fill="auto"/>
            <w:vAlign w:val="center"/>
          </w:tcPr>
          <w:p w14:paraId="2E898AC3">
            <w:pPr>
              <w:spacing w:line="584" w:lineRule="exact"/>
              <w:jc w:val="right"/>
              <w:rPr>
                <w:rFonts w:ascii="Times New Roman" w:hAnsi="Times New Roman" w:eastAsia="仿宋_GB2312" w:cs="Times New Roman"/>
              </w:rPr>
            </w:pPr>
          </w:p>
        </w:tc>
        <w:tc>
          <w:tcPr>
            <w:tcW w:w="328" w:type="pct"/>
            <w:shd w:val="clear" w:color="auto" w:fill="auto"/>
            <w:vAlign w:val="center"/>
          </w:tcPr>
          <w:p w14:paraId="198BC55A">
            <w:pPr>
              <w:spacing w:line="584" w:lineRule="exact"/>
              <w:jc w:val="right"/>
              <w:rPr>
                <w:rFonts w:ascii="Times New Roman" w:hAnsi="Times New Roman" w:eastAsia="仿宋_GB2312" w:cs="Times New Roman"/>
              </w:rPr>
            </w:pPr>
          </w:p>
        </w:tc>
        <w:tc>
          <w:tcPr>
            <w:tcW w:w="271" w:type="pct"/>
            <w:shd w:val="clear" w:color="auto" w:fill="auto"/>
            <w:vAlign w:val="center"/>
          </w:tcPr>
          <w:p w14:paraId="17BD5364">
            <w:pPr>
              <w:spacing w:line="584" w:lineRule="exact"/>
              <w:jc w:val="right"/>
              <w:rPr>
                <w:rFonts w:ascii="Times New Roman" w:hAnsi="Times New Roman" w:eastAsia="仿宋_GB2312" w:cs="Times New Roman"/>
              </w:rPr>
            </w:pPr>
          </w:p>
        </w:tc>
        <w:tc>
          <w:tcPr>
            <w:tcW w:w="317" w:type="pct"/>
            <w:shd w:val="clear" w:color="auto" w:fill="auto"/>
            <w:vAlign w:val="center"/>
          </w:tcPr>
          <w:p w14:paraId="2163606E">
            <w:pPr>
              <w:spacing w:line="584" w:lineRule="exact"/>
              <w:jc w:val="right"/>
              <w:rPr>
                <w:rFonts w:ascii="Times New Roman" w:hAnsi="Times New Roman" w:eastAsia="仿宋_GB2312" w:cs="Times New Roman"/>
              </w:rPr>
            </w:pPr>
          </w:p>
        </w:tc>
        <w:tc>
          <w:tcPr>
            <w:tcW w:w="319" w:type="pct"/>
            <w:shd w:val="clear" w:color="auto" w:fill="auto"/>
            <w:vAlign w:val="center"/>
          </w:tcPr>
          <w:p w14:paraId="5A8A637B">
            <w:pPr>
              <w:spacing w:line="584" w:lineRule="exact"/>
              <w:jc w:val="right"/>
              <w:rPr>
                <w:rFonts w:ascii="Times New Roman" w:hAnsi="Times New Roman" w:eastAsia="仿宋_GB2312" w:cs="Times New Roman"/>
              </w:rPr>
            </w:pPr>
          </w:p>
        </w:tc>
        <w:tc>
          <w:tcPr>
            <w:tcW w:w="302" w:type="pct"/>
            <w:shd w:val="clear" w:color="auto" w:fill="auto"/>
            <w:vAlign w:val="center"/>
          </w:tcPr>
          <w:p w14:paraId="1A112848">
            <w:pPr>
              <w:spacing w:line="584" w:lineRule="exact"/>
              <w:jc w:val="right"/>
              <w:rPr>
                <w:rFonts w:ascii="Times New Roman" w:hAnsi="Times New Roman" w:eastAsia="仿宋_GB2312" w:cs="Times New Roman"/>
              </w:rPr>
            </w:pPr>
          </w:p>
        </w:tc>
      </w:tr>
      <w:tr w14:paraId="4963CE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shd w:val="clear" w:color="auto" w:fill="auto"/>
            <w:vAlign w:val="center"/>
          </w:tcPr>
          <w:p w14:paraId="55C2E1F7">
            <w:pPr>
              <w:spacing w:line="584" w:lineRule="exact"/>
              <w:jc w:val="left"/>
              <w:rPr>
                <w:rFonts w:ascii="Times New Roman" w:hAnsi="Times New Roman" w:eastAsia="仿宋_GB2312" w:cs="Times New Roman"/>
              </w:rPr>
            </w:pPr>
          </w:p>
        </w:tc>
        <w:tc>
          <w:tcPr>
            <w:tcW w:w="363" w:type="pct"/>
            <w:shd w:val="clear" w:color="auto" w:fill="auto"/>
            <w:vAlign w:val="center"/>
          </w:tcPr>
          <w:p w14:paraId="255A17F0">
            <w:pPr>
              <w:spacing w:line="584" w:lineRule="exact"/>
              <w:jc w:val="right"/>
              <w:rPr>
                <w:rFonts w:ascii="Times New Roman" w:hAnsi="Times New Roman" w:eastAsia="仿宋_GB2312" w:cs="Times New Roman"/>
              </w:rPr>
            </w:pPr>
          </w:p>
        </w:tc>
        <w:tc>
          <w:tcPr>
            <w:tcW w:w="320" w:type="pct"/>
            <w:shd w:val="clear" w:color="auto" w:fill="auto"/>
            <w:vAlign w:val="center"/>
          </w:tcPr>
          <w:p w14:paraId="379F2D35">
            <w:pPr>
              <w:spacing w:line="584" w:lineRule="exact"/>
              <w:jc w:val="left"/>
              <w:rPr>
                <w:rFonts w:ascii="Times New Roman" w:hAnsi="Times New Roman" w:eastAsia="仿宋_GB2312" w:cs="Times New Roman"/>
              </w:rPr>
            </w:pPr>
          </w:p>
        </w:tc>
        <w:tc>
          <w:tcPr>
            <w:tcW w:w="471" w:type="pct"/>
            <w:shd w:val="clear" w:color="auto" w:fill="auto"/>
            <w:vAlign w:val="center"/>
          </w:tcPr>
          <w:p w14:paraId="31FED259">
            <w:pPr>
              <w:spacing w:line="584" w:lineRule="exact"/>
              <w:jc w:val="left"/>
              <w:rPr>
                <w:rFonts w:ascii="Times New Roman" w:hAnsi="Times New Roman" w:eastAsia="仿宋_GB2312" w:cs="Times New Roman"/>
              </w:rPr>
            </w:pPr>
          </w:p>
        </w:tc>
        <w:tc>
          <w:tcPr>
            <w:tcW w:w="247" w:type="pct"/>
            <w:shd w:val="clear" w:color="auto" w:fill="auto"/>
            <w:vAlign w:val="center"/>
          </w:tcPr>
          <w:p w14:paraId="124EE841">
            <w:pPr>
              <w:spacing w:line="584" w:lineRule="exact"/>
              <w:jc w:val="left"/>
              <w:rPr>
                <w:rFonts w:ascii="Times New Roman" w:hAnsi="Times New Roman" w:eastAsia="仿宋_GB2312" w:cs="Times New Roman"/>
              </w:rPr>
            </w:pPr>
          </w:p>
        </w:tc>
        <w:tc>
          <w:tcPr>
            <w:tcW w:w="254" w:type="pct"/>
            <w:shd w:val="clear" w:color="auto" w:fill="auto"/>
            <w:vAlign w:val="center"/>
          </w:tcPr>
          <w:p w14:paraId="4362D0D4">
            <w:pPr>
              <w:spacing w:line="584" w:lineRule="exact"/>
              <w:jc w:val="right"/>
              <w:rPr>
                <w:rFonts w:ascii="Times New Roman" w:hAnsi="Times New Roman" w:eastAsia="仿宋_GB2312" w:cs="Times New Roman"/>
              </w:rPr>
            </w:pPr>
          </w:p>
        </w:tc>
        <w:tc>
          <w:tcPr>
            <w:tcW w:w="326" w:type="pct"/>
            <w:shd w:val="clear" w:color="auto" w:fill="auto"/>
            <w:vAlign w:val="center"/>
          </w:tcPr>
          <w:p w14:paraId="0D57F012">
            <w:pPr>
              <w:spacing w:line="584" w:lineRule="exact"/>
              <w:jc w:val="right"/>
              <w:rPr>
                <w:rFonts w:ascii="Times New Roman" w:hAnsi="Times New Roman" w:eastAsia="仿宋_GB2312" w:cs="Times New Roman"/>
              </w:rPr>
            </w:pPr>
          </w:p>
        </w:tc>
        <w:tc>
          <w:tcPr>
            <w:tcW w:w="328" w:type="pct"/>
            <w:shd w:val="clear" w:color="auto" w:fill="auto"/>
            <w:vAlign w:val="center"/>
          </w:tcPr>
          <w:p w14:paraId="73CDED40">
            <w:pPr>
              <w:spacing w:line="584" w:lineRule="exact"/>
              <w:jc w:val="right"/>
              <w:rPr>
                <w:rFonts w:ascii="Times New Roman" w:hAnsi="Times New Roman" w:eastAsia="仿宋_GB2312" w:cs="Times New Roman"/>
              </w:rPr>
            </w:pPr>
          </w:p>
        </w:tc>
        <w:tc>
          <w:tcPr>
            <w:tcW w:w="328" w:type="pct"/>
            <w:shd w:val="clear" w:color="auto" w:fill="auto"/>
            <w:vAlign w:val="center"/>
          </w:tcPr>
          <w:p w14:paraId="79B62399">
            <w:pPr>
              <w:spacing w:line="584" w:lineRule="exact"/>
              <w:jc w:val="right"/>
              <w:rPr>
                <w:rFonts w:ascii="Times New Roman" w:hAnsi="Times New Roman" w:eastAsia="仿宋_GB2312" w:cs="Times New Roman"/>
              </w:rPr>
            </w:pPr>
          </w:p>
        </w:tc>
        <w:tc>
          <w:tcPr>
            <w:tcW w:w="328" w:type="pct"/>
            <w:shd w:val="clear" w:color="auto" w:fill="auto"/>
            <w:vAlign w:val="center"/>
          </w:tcPr>
          <w:p w14:paraId="5AC11B0C">
            <w:pPr>
              <w:spacing w:line="584" w:lineRule="exact"/>
              <w:jc w:val="right"/>
              <w:rPr>
                <w:rFonts w:ascii="Times New Roman" w:hAnsi="Times New Roman" w:eastAsia="仿宋_GB2312" w:cs="Times New Roman"/>
              </w:rPr>
            </w:pPr>
          </w:p>
        </w:tc>
        <w:tc>
          <w:tcPr>
            <w:tcW w:w="271" w:type="pct"/>
            <w:shd w:val="clear" w:color="auto" w:fill="auto"/>
            <w:vAlign w:val="center"/>
          </w:tcPr>
          <w:p w14:paraId="2F6FA78F">
            <w:pPr>
              <w:spacing w:line="584" w:lineRule="exact"/>
              <w:jc w:val="right"/>
              <w:rPr>
                <w:rFonts w:ascii="Times New Roman" w:hAnsi="Times New Roman" w:eastAsia="仿宋_GB2312" w:cs="Times New Roman"/>
              </w:rPr>
            </w:pPr>
          </w:p>
        </w:tc>
        <w:tc>
          <w:tcPr>
            <w:tcW w:w="317" w:type="pct"/>
            <w:shd w:val="clear" w:color="auto" w:fill="auto"/>
            <w:vAlign w:val="center"/>
          </w:tcPr>
          <w:p w14:paraId="3DE3E0C7">
            <w:pPr>
              <w:spacing w:line="584" w:lineRule="exact"/>
              <w:jc w:val="right"/>
              <w:rPr>
                <w:rFonts w:ascii="Times New Roman" w:hAnsi="Times New Roman" w:eastAsia="仿宋_GB2312" w:cs="Times New Roman"/>
              </w:rPr>
            </w:pPr>
          </w:p>
        </w:tc>
        <w:tc>
          <w:tcPr>
            <w:tcW w:w="319" w:type="pct"/>
            <w:shd w:val="clear" w:color="auto" w:fill="auto"/>
            <w:vAlign w:val="center"/>
          </w:tcPr>
          <w:p w14:paraId="19CD6BA6">
            <w:pPr>
              <w:spacing w:line="584" w:lineRule="exact"/>
              <w:jc w:val="right"/>
              <w:rPr>
                <w:rFonts w:ascii="Times New Roman" w:hAnsi="Times New Roman" w:eastAsia="仿宋_GB2312" w:cs="Times New Roman"/>
              </w:rPr>
            </w:pPr>
          </w:p>
        </w:tc>
        <w:tc>
          <w:tcPr>
            <w:tcW w:w="302" w:type="pct"/>
            <w:shd w:val="clear" w:color="auto" w:fill="auto"/>
            <w:vAlign w:val="center"/>
          </w:tcPr>
          <w:p w14:paraId="4B740A87">
            <w:pPr>
              <w:spacing w:line="584" w:lineRule="exact"/>
              <w:jc w:val="right"/>
              <w:rPr>
                <w:rFonts w:ascii="Times New Roman" w:hAnsi="Times New Roman" w:eastAsia="仿宋_GB2312" w:cs="Times New Roman"/>
              </w:rPr>
            </w:pPr>
          </w:p>
        </w:tc>
      </w:tr>
      <w:tr w14:paraId="5508A2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826" w:type="pct"/>
            <w:shd w:val="clear" w:color="auto" w:fill="auto"/>
            <w:vAlign w:val="center"/>
          </w:tcPr>
          <w:p w14:paraId="52184832">
            <w:pPr>
              <w:spacing w:line="584" w:lineRule="exact"/>
              <w:jc w:val="left"/>
              <w:rPr>
                <w:rFonts w:ascii="Times New Roman" w:hAnsi="Times New Roman" w:eastAsia="仿宋_GB2312" w:cs="Times New Roman"/>
              </w:rPr>
            </w:pPr>
          </w:p>
        </w:tc>
        <w:tc>
          <w:tcPr>
            <w:tcW w:w="363" w:type="pct"/>
            <w:shd w:val="clear" w:color="auto" w:fill="auto"/>
            <w:vAlign w:val="center"/>
          </w:tcPr>
          <w:p w14:paraId="511A2918">
            <w:pPr>
              <w:spacing w:line="584" w:lineRule="exact"/>
              <w:jc w:val="right"/>
              <w:rPr>
                <w:rFonts w:ascii="Times New Roman" w:hAnsi="Times New Roman" w:eastAsia="仿宋_GB2312" w:cs="Times New Roman"/>
              </w:rPr>
            </w:pPr>
          </w:p>
        </w:tc>
        <w:tc>
          <w:tcPr>
            <w:tcW w:w="320" w:type="pct"/>
            <w:shd w:val="clear" w:color="auto" w:fill="auto"/>
            <w:vAlign w:val="center"/>
          </w:tcPr>
          <w:p w14:paraId="1BE1162E">
            <w:pPr>
              <w:spacing w:line="584" w:lineRule="exact"/>
              <w:jc w:val="left"/>
              <w:rPr>
                <w:rFonts w:ascii="Times New Roman" w:hAnsi="Times New Roman" w:eastAsia="仿宋_GB2312" w:cs="Times New Roman"/>
              </w:rPr>
            </w:pPr>
          </w:p>
        </w:tc>
        <w:tc>
          <w:tcPr>
            <w:tcW w:w="471" w:type="pct"/>
            <w:shd w:val="clear" w:color="auto" w:fill="auto"/>
            <w:vAlign w:val="center"/>
          </w:tcPr>
          <w:p w14:paraId="0FB5F75D">
            <w:pPr>
              <w:spacing w:line="584" w:lineRule="exact"/>
              <w:jc w:val="left"/>
              <w:rPr>
                <w:rFonts w:ascii="Times New Roman" w:hAnsi="Times New Roman" w:eastAsia="仿宋_GB2312" w:cs="Times New Roman"/>
              </w:rPr>
            </w:pPr>
          </w:p>
        </w:tc>
        <w:tc>
          <w:tcPr>
            <w:tcW w:w="247" w:type="pct"/>
            <w:shd w:val="clear" w:color="auto" w:fill="auto"/>
            <w:vAlign w:val="center"/>
          </w:tcPr>
          <w:p w14:paraId="56560C5B">
            <w:pPr>
              <w:spacing w:line="584" w:lineRule="exact"/>
              <w:jc w:val="left"/>
              <w:rPr>
                <w:rFonts w:ascii="Times New Roman" w:hAnsi="Times New Roman" w:eastAsia="仿宋_GB2312" w:cs="Times New Roman"/>
              </w:rPr>
            </w:pPr>
          </w:p>
        </w:tc>
        <w:tc>
          <w:tcPr>
            <w:tcW w:w="254" w:type="pct"/>
            <w:shd w:val="clear" w:color="auto" w:fill="auto"/>
            <w:vAlign w:val="center"/>
          </w:tcPr>
          <w:p w14:paraId="07E2AEE3">
            <w:pPr>
              <w:spacing w:line="584" w:lineRule="exact"/>
              <w:jc w:val="right"/>
              <w:rPr>
                <w:rFonts w:ascii="Times New Roman" w:hAnsi="Times New Roman" w:eastAsia="仿宋_GB2312" w:cs="Times New Roman"/>
              </w:rPr>
            </w:pPr>
          </w:p>
        </w:tc>
        <w:tc>
          <w:tcPr>
            <w:tcW w:w="326" w:type="pct"/>
            <w:shd w:val="clear" w:color="auto" w:fill="auto"/>
            <w:vAlign w:val="center"/>
          </w:tcPr>
          <w:p w14:paraId="7457D685">
            <w:pPr>
              <w:spacing w:line="584" w:lineRule="exact"/>
              <w:jc w:val="right"/>
              <w:rPr>
                <w:rFonts w:ascii="Times New Roman" w:hAnsi="Times New Roman" w:eastAsia="仿宋_GB2312" w:cs="Times New Roman"/>
              </w:rPr>
            </w:pPr>
          </w:p>
        </w:tc>
        <w:tc>
          <w:tcPr>
            <w:tcW w:w="328" w:type="pct"/>
            <w:shd w:val="clear" w:color="auto" w:fill="auto"/>
            <w:vAlign w:val="center"/>
          </w:tcPr>
          <w:p w14:paraId="55435F78">
            <w:pPr>
              <w:spacing w:line="584" w:lineRule="exact"/>
              <w:jc w:val="right"/>
              <w:rPr>
                <w:rFonts w:ascii="Times New Roman" w:hAnsi="Times New Roman" w:eastAsia="仿宋_GB2312" w:cs="Times New Roman"/>
              </w:rPr>
            </w:pPr>
          </w:p>
        </w:tc>
        <w:tc>
          <w:tcPr>
            <w:tcW w:w="328" w:type="pct"/>
            <w:shd w:val="clear" w:color="auto" w:fill="auto"/>
            <w:vAlign w:val="center"/>
          </w:tcPr>
          <w:p w14:paraId="663D9110">
            <w:pPr>
              <w:spacing w:line="584" w:lineRule="exact"/>
              <w:jc w:val="right"/>
              <w:rPr>
                <w:rFonts w:ascii="Times New Roman" w:hAnsi="Times New Roman" w:eastAsia="仿宋_GB2312" w:cs="Times New Roman"/>
              </w:rPr>
            </w:pPr>
          </w:p>
        </w:tc>
        <w:tc>
          <w:tcPr>
            <w:tcW w:w="328" w:type="pct"/>
            <w:shd w:val="clear" w:color="auto" w:fill="auto"/>
            <w:vAlign w:val="center"/>
          </w:tcPr>
          <w:p w14:paraId="0FBCD29A">
            <w:pPr>
              <w:spacing w:line="584" w:lineRule="exact"/>
              <w:jc w:val="right"/>
              <w:rPr>
                <w:rFonts w:ascii="Times New Roman" w:hAnsi="Times New Roman" w:eastAsia="仿宋_GB2312" w:cs="Times New Roman"/>
              </w:rPr>
            </w:pPr>
          </w:p>
        </w:tc>
        <w:tc>
          <w:tcPr>
            <w:tcW w:w="271" w:type="pct"/>
            <w:shd w:val="clear" w:color="auto" w:fill="auto"/>
            <w:vAlign w:val="center"/>
          </w:tcPr>
          <w:p w14:paraId="0F71B93B">
            <w:pPr>
              <w:spacing w:line="584" w:lineRule="exact"/>
              <w:jc w:val="right"/>
              <w:rPr>
                <w:rFonts w:ascii="Times New Roman" w:hAnsi="Times New Roman" w:eastAsia="仿宋_GB2312" w:cs="Times New Roman"/>
              </w:rPr>
            </w:pPr>
          </w:p>
        </w:tc>
        <w:tc>
          <w:tcPr>
            <w:tcW w:w="317" w:type="pct"/>
            <w:shd w:val="clear" w:color="auto" w:fill="auto"/>
            <w:vAlign w:val="center"/>
          </w:tcPr>
          <w:p w14:paraId="01484C0B">
            <w:pPr>
              <w:spacing w:line="584" w:lineRule="exact"/>
              <w:jc w:val="right"/>
              <w:rPr>
                <w:rFonts w:ascii="Times New Roman" w:hAnsi="Times New Roman" w:eastAsia="仿宋_GB2312" w:cs="Times New Roman"/>
              </w:rPr>
            </w:pPr>
          </w:p>
        </w:tc>
        <w:tc>
          <w:tcPr>
            <w:tcW w:w="319" w:type="pct"/>
            <w:shd w:val="clear" w:color="auto" w:fill="auto"/>
            <w:vAlign w:val="center"/>
          </w:tcPr>
          <w:p w14:paraId="351C5B35">
            <w:pPr>
              <w:spacing w:line="584" w:lineRule="exact"/>
              <w:jc w:val="right"/>
              <w:rPr>
                <w:rFonts w:ascii="Times New Roman" w:hAnsi="Times New Roman" w:eastAsia="仿宋_GB2312" w:cs="Times New Roman"/>
              </w:rPr>
            </w:pPr>
          </w:p>
        </w:tc>
        <w:tc>
          <w:tcPr>
            <w:tcW w:w="302" w:type="pct"/>
            <w:shd w:val="clear" w:color="auto" w:fill="auto"/>
            <w:vAlign w:val="center"/>
          </w:tcPr>
          <w:p w14:paraId="3CF8E79E">
            <w:pPr>
              <w:spacing w:line="584" w:lineRule="exact"/>
              <w:jc w:val="right"/>
              <w:rPr>
                <w:rFonts w:ascii="Times New Roman" w:hAnsi="Times New Roman" w:eastAsia="仿宋_GB2312" w:cs="Times New Roman"/>
              </w:rPr>
            </w:pPr>
          </w:p>
        </w:tc>
      </w:tr>
    </w:tbl>
    <w:p w14:paraId="0641BDA2">
      <w:pPr>
        <w:spacing w:line="584" w:lineRule="exact"/>
        <w:jc w:val="left"/>
        <w:outlineLvl w:val="0"/>
        <w:rPr>
          <w:rFonts w:ascii="Times New Roman" w:hAnsi="Times New Roman" w:eastAsia="仿宋_GB2312" w:cs="Times New Roman"/>
        </w:rPr>
        <w:sectPr>
          <w:pgSz w:w="16839" w:h="11907" w:orient="landscape"/>
          <w:pgMar w:top="1361" w:right="1020" w:bottom="1361" w:left="1020" w:header="851" w:footer="992" w:gutter="0"/>
          <w:cols w:space="425" w:num="1"/>
          <w:docGrid w:type="lines" w:linePitch="312" w:charSpace="0"/>
        </w:sectPr>
      </w:pPr>
    </w:p>
    <w:p w14:paraId="1190DF84">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七、国有资产信息</w:t>
      </w:r>
    </w:p>
    <w:p w14:paraId="404215D3">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廊坊市</w:t>
      </w:r>
      <w:r>
        <w:rPr>
          <w:rFonts w:hint="eastAsia" w:ascii="Times New Roman" w:hAnsi="Times New Roman" w:eastAsia="仿宋_GB2312" w:cs="Times New Roman"/>
          <w:sz w:val="32"/>
          <w:szCs w:val="32"/>
        </w:rPr>
        <w:t>工商业联合会</w:t>
      </w:r>
      <w:r>
        <w:rPr>
          <w:rFonts w:ascii="Times New Roman" w:hAnsi="Times New Roman" w:eastAsia="仿宋_GB2312" w:cs="Times New Roman"/>
          <w:sz w:val="32"/>
          <w:szCs w:val="32"/>
        </w:rPr>
        <w:t>（含所属单位）上年末固定资产金额为</w:t>
      </w:r>
      <w:r>
        <w:rPr>
          <w:rFonts w:hint="eastAsia" w:ascii="Times New Roman" w:hAnsi="Times New Roman" w:eastAsia="仿宋_GB2312" w:cs="Times New Roman"/>
          <w:sz w:val="32"/>
          <w:szCs w:val="32"/>
        </w:rPr>
        <w:t>165.76</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。本年度我部门拟购置固定资产</w:t>
      </w:r>
      <w:r>
        <w:rPr>
          <w:rFonts w:hint="eastAsia" w:ascii="Times New Roman" w:hAnsi="Times New Roman" w:eastAsia="仿宋_GB2312" w:cs="Times New Roman"/>
          <w:sz w:val="32"/>
          <w:szCs w:val="32"/>
        </w:rPr>
        <w:t>共计0万元</w:t>
      </w:r>
      <w:r>
        <w:rPr>
          <w:rFonts w:ascii="Times New Roman" w:hAnsi="Times New Roman" w:eastAsia="仿宋_GB2312" w:cs="Times New Roman"/>
          <w:sz w:val="32"/>
          <w:szCs w:val="32"/>
        </w:rPr>
        <w:t>。</w:t>
      </w:r>
    </w:p>
    <w:p w14:paraId="2E73F266">
      <w:pPr>
        <w:spacing w:line="584" w:lineRule="exact"/>
        <w:ind w:firstLine="640"/>
        <w:rPr>
          <w:rFonts w:ascii="Times New Roman" w:hAnsi="Times New Roman" w:eastAsia="仿宋_GB2312" w:cs="Times New Roman"/>
          <w:sz w:val="32"/>
          <w:szCs w:val="32"/>
        </w:rPr>
      </w:pPr>
    </w:p>
    <w:tbl>
      <w:tblPr>
        <w:tblStyle w:val="8"/>
        <w:tblW w:w="13482" w:type="dxa"/>
        <w:tblInd w:w="93" w:type="dxa"/>
        <w:tblLayout w:type="autofit"/>
        <w:tblCellMar>
          <w:top w:w="0" w:type="dxa"/>
          <w:left w:w="108" w:type="dxa"/>
          <w:bottom w:w="0" w:type="dxa"/>
          <w:right w:w="108" w:type="dxa"/>
        </w:tblCellMar>
      </w:tblPr>
      <w:tblGrid>
        <w:gridCol w:w="5224"/>
        <w:gridCol w:w="3155"/>
        <w:gridCol w:w="5103"/>
      </w:tblGrid>
      <w:tr w14:paraId="36410039">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14:paraId="7E0B24A1">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14:paraId="36973C67">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3A0F742A">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编制部门：廊坊市</w:t>
            </w:r>
            <w:r>
              <w:rPr>
                <w:rFonts w:hint="eastAsia" w:ascii="Times New Roman" w:hAnsi="Times New Roman" w:eastAsia="仿宋_GB2312" w:cs="Times New Roman"/>
                <w:kern w:val="0"/>
                <w:sz w:val="22"/>
              </w:rPr>
              <w:t>工商业联合会</w:t>
            </w:r>
          </w:p>
        </w:tc>
        <w:tc>
          <w:tcPr>
            <w:tcW w:w="5103" w:type="dxa"/>
            <w:tcBorders>
              <w:top w:val="nil"/>
              <w:left w:val="nil"/>
              <w:bottom w:val="nil"/>
              <w:right w:val="nil"/>
            </w:tcBorders>
            <w:shd w:val="clear" w:color="auto" w:fill="auto"/>
            <w:noWrap/>
            <w:vAlign w:val="center"/>
          </w:tcPr>
          <w:p w14:paraId="31123C90">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截止时间：201</w:t>
            </w:r>
            <w:r>
              <w:rPr>
                <w:rFonts w:hint="eastAsia" w:ascii="Times New Roman" w:hAnsi="Times New Roman" w:eastAsia="仿宋_GB2312" w:cs="Times New Roman"/>
                <w:kern w:val="0"/>
                <w:sz w:val="22"/>
              </w:rPr>
              <w:t>8</w:t>
            </w:r>
            <w:r>
              <w:rPr>
                <w:rFonts w:ascii="Times New Roman" w:hAnsi="Times New Roman" w:eastAsia="仿宋_GB2312" w:cs="Times New Roman"/>
                <w:kern w:val="0"/>
                <w:sz w:val="22"/>
              </w:rPr>
              <w:t>年12月31日</w:t>
            </w:r>
          </w:p>
        </w:tc>
      </w:tr>
      <w:tr w14:paraId="34F712A2">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F3E24F">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5BC647BD">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7600E9D3">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0FD8995F">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2467DC2D">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5990148F">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14:paraId="266D35C3">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165.76</w:t>
            </w:r>
          </w:p>
        </w:tc>
      </w:tr>
      <w:tr w14:paraId="29679C27">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48D3F182">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2951D1CE">
            <w:pPr>
              <w:widowControl/>
              <w:jc w:val="center"/>
              <w:rPr>
                <w:rFonts w:ascii="仿宋" w:hAnsi="仿宋" w:eastAsia="仿宋" w:cs="宋体"/>
                <w:kern w:val="0"/>
                <w:sz w:val="22"/>
              </w:rPr>
            </w:pPr>
            <w:r>
              <w:rPr>
                <w:rFonts w:ascii="仿宋" w:hAnsi="仿宋" w:eastAsia="仿宋" w:cs="宋体"/>
                <w:kern w:val="0"/>
                <w:sz w:val="22"/>
              </w:rPr>
              <w:t>1007</w:t>
            </w:r>
          </w:p>
        </w:tc>
        <w:tc>
          <w:tcPr>
            <w:tcW w:w="5103" w:type="dxa"/>
            <w:tcBorders>
              <w:top w:val="nil"/>
              <w:left w:val="nil"/>
              <w:bottom w:val="single" w:color="auto" w:sz="4" w:space="0"/>
              <w:right w:val="single" w:color="auto" w:sz="4" w:space="0"/>
            </w:tcBorders>
            <w:shd w:val="clear" w:color="auto" w:fill="auto"/>
            <w:noWrap/>
            <w:vAlign w:val="center"/>
          </w:tcPr>
          <w:p w14:paraId="2AECED34">
            <w:pPr>
              <w:widowControl/>
              <w:jc w:val="center"/>
              <w:rPr>
                <w:rFonts w:ascii="仿宋" w:hAnsi="仿宋" w:eastAsia="仿宋" w:cs="宋体"/>
                <w:kern w:val="0"/>
                <w:sz w:val="22"/>
              </w:rPr>
            </w:pPr>
            <w:r>
              <w:rPr>
                <w:rFonts w:ascii="仿宋" w:hAnsi="仿宋" w:eastAsia="仿宋" w:cs="宋体"/>
                <w:kern w:val="0"/>
                <w:sz w:val="22"/>
              </w:rPr>
              <w:t>110</w:t>
            </w:r>
            <w:r>
              <w:rPr>
                <w:rFonts w:hint="eastAsia" w:ascii="仿宋" w:hAnsi="仿宋" w:eastAsia="仿宋" w:cs="宋体"/>
                <w:kern w:val="0"/>
                <w:sz w:val="22"/>
              </w:rPr>
              <w:t>．</w:t>
            </w:r>
            <w:r>
              <w:rPr>
                <w:rFonts w:ascii="仿宋" w:hAnsi="仿宋" w:eastAsia="仿宋" w:cs="宋体"/>
                <w:kern w:val="0"/>
                <w:sz w:val="22"/>
              </w:rPr>
              <w:t>77</w:t>
            </w:r>
          </w:p>
        </w:tc>
      </w:tr>
      <w:tr w14:paraId="20823D67">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19354951">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402EDC8C">
            <w:pPr>
              <w:widowControl/>
              <w:jc w:val="center"/>
              <w:rPr>
                <w:rFonts w:ascii="仿宋" w:hAnsi="仿宋" w:eastAsia="仿宋" w:cs="宋体"/>
                <w:kern w:val="0"/>
                <w:sz w:val="22"/>
              </w:rPr>
            </w:pPr>
            <w:r>
              <w:rPr>
                <w:rFonts w:ascii="仿宋" w:hAnsi="仿宋" w:eastAsia="仿宋" w:cs="宋体"/>
                <w:kern w:val="0"/>
                <w:sz w:val="22"/>
              </w:rPr>
              <w:t>1007</w:t>
            </w:r>
          </w:p>
        </w:tc>
        <w:tc>
          <w:tcPr>
            <w:tcW w:w="5103" w:type="dxa"/>
            <w:tcBorders>
              <w:top w:val="nil"/>
              <w:left w:val="nil"/>
              <w:bottom w:val="single" w:color="auto" w:sz="4" w:space="0"/>
              <w:right w:val="single" w:color="auto" w:sz="4" w:space="0"/>
            </w:tcBorders>
            <w:shd w:val="clear" w:color="auto" w:fill="auto"/>
            <w:noWrap/>
            <w:vAlign w:val="center"/>
          </w:tcPr>
          <w:p w14:paraId="3F21A23B">
            <w:pPr>
              <w:widowControl/>
              <w:jc w:val="center"/>
              <w:rPr>
                <w:rFonts w:ascii="仿宋" w:hAnsi="仿宋" w:eastAsia="仿宋" w:cs="宋体"/>
                <w:kern w:val="0"/>
                <w:sz w:val="22"/>
              </w:rPr>
            </w:pPr>
            <w:r>
              <w:rPr>
                <w:rFonts w:ascii="仿宋" w:hAnsi="仿宋" w:eastAsia="仿宋" w:cs="宋体"/>
                <w:kern w:val="0"/>
                <w:sz w:val="22"/>
              </w:rPr>
              <w:t>110</w:t>
            </w:r>
            <w:r>
              <w:rPr>
                <w:rFonts w:hint="eastAsia" w:ascii="仿宋" w:hAnsi="仿宋" w:eastAsia="仿宋" w:cs="宋体"/>
                <w:kern w:val="0"/>
                <w:sz w:val="22"/>
              </w:rPr>
              <w:t>．</w:t>
            </w:r>
            <w:r>
              <w:rPr>
                <w:rFonts w:ascii="仿宋" w:hAnsi="仿宋" w:eastAsia="仿宋" w:cs="宋体"/>
                <w:kern w:val="0"/>
                <w:sz w:val="22"/>
              </w:rPr>
              <w:t>77</w:t>
            </w:r>
          </w:p>
        </w:tc>
      </w:tr>
      <w:tr w14:paraId="02397062">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6F81CC79">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2915D748">
            <w:pPr>
              <w:widowControl/>
              <w:jc w:val="center"/>
              <w:rPr>
                <w:rFonts w:ascii="仿宋" w:hAnsi="仿宋" w:eastAsia="仿宋" w:cs="宋体"/>
                <w:kern w:val="0"/>
                <w:sz w:val="22"/>
              </w:rPr>
            </w:pPr>
            <w:r>
              <w:rPr>
                <w:rFonts w:ascii="仿宋" w:hAnsi="仿宋" w:eastAsia="仿宋" w:cs="宋体"/>
                <w:kern w:val="0"/>
                <w:sz w:val="22"/>
              </w:rPr>
              <w:t>1</w:t>
            </w:r>
          </w:p>
        </w:tc>
        <w:tc>
          <w:tcPr>
            <w:tcW w:w="5103" w:type="dxa"/>
            <w:tcBorders>
              <w:top w:val="nil"/>
              <w:left w:val="nil"/>
              <w:bottom w:val="single" w:color="auto" w:sz="4" w:space="0"/>
              <w:right w:val="single" w:color="auto" w:sz="4" w:space="0"/>
            </w:tcBorders>
            <w:shd w:val="clear" w:color="auto" w:fill="auto"/>
            <w:noWrap/>
            <w:vAlign w:val="center"/>
          </w:tcPr>
          <w:p w14:paraId="694A38A2">
            <w:pPr>
              <w:widowControl/>
              <w:jc w:val="center"/>
              <w:rPr>
                <w:rFonts w:ascii="仿宋" w:hAnsi="仿宋" w:eastAsia="仿宋" w:cs="宋体"/>
                <w:kern w:val="0"/>
                <w:sz w:val="22"/>
              </w:rPr>
            </w:pPr>
            <w:r>
              <w:rPr>
                <w:rFonts w:ascii="仿宋" w:hAnsi="仿宋" w:eastAsia="仿宋" w:cs="宋体"/>
                <w:kern w:val="0"/>
                <w:sz w:val="22"/>
              </w:rPr>
              <w:t>24</w:t>
            </w:r>
            <w:r>
              <w:rPr>
                <w:rFonts w:hint="eastAsia" w:ascii="仿宋" w:hAnsi="仿宋" w:eastAsia="仿宋" w:cs="宋体"/>
                <w:kern w:val="0"/>
                <w:sz w:val="22"/>
              </w:rPr>
              <w:t>．</w:t>
            </w:r>
            <w:r>
              <w:rPr>
                <w:rFonts w:ascii="仿宋" w:hAnsi="仿宋" w:eastAsia="仿宋" w:cs="宋体"/>
                <w:kern w:val="0"/>
                <w:sz w:val="22"/>
              </w:rPr>
              <w:t>51</w:t>
            </w:r>
          </w:p>
        </w:tc>
      </w:tr>
      <w:tr w14:paraId="43AA128B">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2324B72D">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2E8AE9C9">
            <w:pPr>
              <w:widowControl/>
              <w:jc w:val="center"/>
              <w:rPr>
                <w:rFonts w:ascii="仿宋" w:hAnsi="仿宋" w:eastAsia="仿宋" w:cs="宋体"/>
                <w:kern w:val="0"/>
                <w:sz w:val="22"/>
              </w:rPr>
            </w:pPr>
            <w:r>
              <w:rPr>
                <w:rFonts w:ascii="仿宋" w:hAnsi="仿宋" w:eastAsia="仿宋" w:cs="宋体"/>
                <w:kern w:val="0"/>
                <w:sz w:val="22"/>
              </w:rPr>
              <w:t>0</w:t>
            </w:r>
          </w:p>
        </w:tc>
        <w:tc>
          <w:tcPr>
            <w:tcW w:w="5103" w:type="dxa"/>
            <w:tcBorders>
              <w:top w:val="nil"/>
              <w:left w:val="nil"/>
              <w:bottom w:val="single" w:color="auto" w:sz="4" w:space="0"/>
              <w:right w:val="single" w:color="auto" w:sz="4" w:space="0"/>
            </w:tcBorders>
            <w:shd w:val="clear" w:color="auto" w:fill="auto"/>
            <w:noWrap/>
            <w:vAlign w:val="center"/>
          </w:tcPr>
          <w:p w14:paraId="7689E175">
            <w:pPr>
              <w:widowControl/>
              <w:jc w:val="center"/>
              <w:rPr>
                <w:rFonts w:ascii="仿宋" w:hAnsi="仿宋" w:eastAsia="仿宋" w:cs="宋体"/>
                <w:kern w:val="0"/>
                <w:sz w:val="22"/>
              </w:rPr>
            </w:pPr>
            <w:r>
              <w:rPr>
                <w:rFonts w:ascii="仿宋" w:hAnsi="仿宋" w:eastAsia="仿宋" w:cs="宋体"/>
                <w:kern w:val="0"/>
                <w:sz w:val="22"/>
              </w:rPr>
              <w:t>0</w:t>
            </w:r>
          </w:p>
        </w:tc>
      </w:tr>
      <w:tr w14:paraId="7462AAC3">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08C02D71">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249E1DE5">
            <w:pPr>
              <w:widowControl/>
              <w:jc w:val="center"/>
              <w:rPr>
                <w:rFonts w:ascii="仿宋" w:hAnsi="仿宋" w:eastAsia="仿宋" w:cs="宋体"/>
                <w:kern w:val="0"/>
                <w:sz w:val="22"/>
              </w:rPr>
            </w:pPr>
            <w:r>
              <w:rPr>
                <w:rFonts w:ascii="仿宋" w:hAnsi="仿宋" w:eastAsia="仿宋" w:cs="宋体"/>
                <w:kern w:val="0"/>
                <w:sz w:val="22"/>
              </w:rPr>
              <w:t>23</w:t>
            </w:r>
          </w:p>
        </w:tc>
        <w:tc>
          <w:tcPr>
            <w:tcW w:w="5103" w:type="dxa"/>
            <w:tcBorders>
              <w:top w:val="nil"/>
              <w:left w:val="nil"/>
              <w:bottom w:val="single" w:color="auto" w:sz="4" w:space="0"/>
              <w:right w:val="single" w:color="auto" w:sz="4" w:space="0"/>
            </w:tcBorders>
            <w:shd w:val="clear" w:color="auto" w:fill="auto"/>
            <w:noWrap/>
            <w:vAlign w:val="center"/>
          </w:tcPr>
          <w:p w14:paraId="71351E67">
            <w:pPr>
              <w:widowControl/>
              <w:jc w:val="center"/>
              <w:rPr>
                <w:rFonts w:ascii="仿宋" w:hAnsi="仿宋" w:eastAsia="仿宋" w:cs="宋体"/>
                <w:kern w:val="0"/>
                <w:sz w:val="22"/>
              </w:rPr>
            </w:pPr>
            <w:r>
              <w:rPr>
                <w:rFonts w:hint="eastAsia" w:ascii="仿宋" w:hAnsi="仿宋" w:eastAsia="仿宋" w:cs="宋体"/>
                <w:kern w:val="0"/>
                <w:sz w:val="22"/>
              </w:rPr>
              <w:t>30．48</w:t>
            </w:r>
          </w:p>
        </w:tc>
      </w:tr>
    </w:tbl>
    <w:p w14:paraId="0A739812">
      <w:pPr>
        <w:autoSpaceDE w:val="0"/>
        <w:autoSpaceDN w:val="0"/>
        <w:adjustRightInd w:val="0"/>
        <w:spacing w:line="584" w:lineRule="exact"/>
        <w:ind w:firstLine="640" w:firstLineChars="200"/>
        <w:jc w:val="left"/>
        <w:rPr>
          <w:rFonts w:ascii="Times New Roman" w:hAnsi="黑体" w:eastAsia="黑体" w:cs="Times New Roman"/>
          <w:sz w:val="32"/>
          <w:szCs w:val="32"/>
        </w:rPr>
      </w:pPr>
    </w:p>
    <w:p w14:paraId="0A5B7436">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八、名词解释</w:t>
      </w:r>
    </w:p>
    <w:p w14:paraId="5AC16376">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指市级财政当年拨付的资金。</w:t>
      </w:r>
    </w:p>
    <w:p w14:paraId="604460E1">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41B9DA00">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10ACA653">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7125E054">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4C105F47">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5AE6E227">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市级财政预算管理的“三公”经费，是指市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0BB3F042">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1830DB1">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215E71C2">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7A215F0F">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九、其他需要说明的事项</w:t>
      </w:r>
    </w:p>
    <w:p w14:paraId="40FA0555">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我部门无其他需要说明的事项。</w:t>
      </w:r>
      <w:r>
        <w:rPr>
          <w:rFonts w:hint="eastAsia" w:ascii="Times New Roman" w:hAnsi="Times New Roman" w:eastAsia="仿宋_GB2312" w:cs="Times New Roman"/>
          <w:sz w:val="32"/>
          <w:szCs w:val="32"/>
        </w:rPr>
        <w:t xml:space="preserve"> </w:t>
      </w:r>
    </w:p>
    <w:p w14:paraId="52F63CC8">
      <w:pPr>
        <w:spacing w:line="584" w:lineRule="exact"/>
        <w:ind w:firstLine="640" w:firstLineChars="200"/>
        <w:rPr>
          <w:rFonts w:ascii="Times New Roman" w:hAnsi="Times New Roman" w:eastAsia="仿宋_GB2312" w:cs="Times New Roman"/>
          <w:sz w:val="32"/>
          <w:szCs w:val="32"/>
        </w:rPr>
      </w:pPr>
    </w:p>
    <w:p w14:paraId="6DAAD912">
      <w:pPr>
        <w:spacing w:line="584" w:lineRule="exact"/>
        <w:rPr>
          <w:rFonts w:ascii="Times New Roman" w:hAnsi="Times New Roman" w:eastAsia="仿宋_GB2312" w:cs="Times New Roman"/>
          <w:sz w:val="32"/>
          <w:szCs w:val="32"/>
        </w:rPr>
      </w:pPr>
    </w:p>
    <w:p w14:paraId="3D89414A">
      <w:pPr>
        <w:spacing w:line="584" w:lineRule="exact"/>
        <w:ind w:firstLine="643" w:firstLineChars="200"/>
        <w:rPr>
          <w:rFonts w:ascii="Times New Roman" w:hAnsi="Times New Roman" w:eastAsia="仿宋_GB2312" w:cs="Times New Roman"/>
          <w:b/>
          <w:color w:val="FF0000"/>
          <w:sz w:val="32"/>
          <w:szCs w:val="32"/>
        </w:rPr>
      </w:pPr>
    </w:p>
    <w:sectPr>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Arial Unicode MS"/>
    <w:panose1 w:val="03000509000000000000"/>
    <w:charset w:val="86"/>
    <w:family w:val="script"/>
    <w:pitch w:val="default"/>
    <w:sig w:usb0="00000000" w:usb1="00000000" w:usb2="00000010" w:usb3="00000000" w:csb0="00040000" w:csb1="00000000"/>
  </w:font>
  <w:font w:name="方正书宋_GBK">
    <w:altName w:val="宋体"/>
    <w:panose1 w:val="00000000000000000000"/>
    <w:charset w:val="86"/>
    <w:family w:val="roman"/>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KSOF51D5AD36">
    <w:panose1 w:val="020B0604020202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4349198"/>
      <w:docPartObj>
        <w:docPartGallery w:val="AutoText"/>
      </w:docPartObj>
    </w:sdtPr>
    <w:sdtContent>
      <w:p w14:paraId="3C5AC9B1">
        <w:pPr>
          <w:pStyle w:val="3"/>
          <w:jc w:val="center"/>
        </w:pPr>
        <w:r>
          <w:rPr>
            <w:rFonts w:hint="eastAsia"/>
          </w:rPr>
          <w:t>-</w:t>
        </w:r>
        <w:r>
          <w:fldChar w:fldCharType="begin"/>
        </w:r>
        <w:r>
          <w:instrText xml:space="preserve">PAGE   \* MERGEFORMAT</w:instrText>
        </w:r>
        <w:r>
          <w:fldChar w:fldCharType="separate"/>
        </w:r>
        <w:r>
          <w:rPr>
            <w:lang w:val="zh-CN"/>
          </w:rPr>
          <w:t>18</w:t>
        </w:r>
        <w:r>
          <w:rPr>
            <w:lang w:val="zh-CN"/>
          </w:rPr>
          <w:fldChar w:fldCharType="end"/>
        </w:r>
        <w:r>
          <w:rPr>
            <w:rFonts w:hint="eastAsia"/>
          </w:rPr>
          <w:t>-</w:t>
        </w:r>
      </w:p>
    </w:sdtContent>
  </w:sdt>
  <w:p w14:paraId="19545604">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66032"/>
    <w:rsid w:val="000053CC"/>
    <w:rsid w:val="00010564"/>
    <w:rsid w:val="00037AF6"/>
    <w:rsid w:val="000410F2"/>
    <w:rsid w:val="0004565F"/>
    <w:rsid w:val="000542CF"/>
    <w:rsid w:val="00072187"/>
    <w:rsid w:val="00075D5F"/>
    <w:rsid w:val="0008180F"/>
    <w:rsid w:val="00083014"/>
    <w:rsid w:val="00093DA3"/>
    <w:rsid w:val="000A125B"/>
    <w:rsid w:val="000B529B"/>
    <w:rsid w:val="000C24E6"/>
    <w:rsid w:val="000C345A"/>
    <w:rsid w:val="000C3A19"/>
    <w:rsid w:val="000E4305"/>
    <w:rsid w:val="000F0D09"/>
    <w:rsid w:val="001245BB"/>
    <w:rsid w:val="001251A3"/>
    <w:rsid w:val="0015229A"/>
    <w:rsid w:val="00160266"/>
    <w:rsid w:val="0016289D"/>
    <w:rsid w:val="001643E8"/>
    <w:rsid w:val="00176C13"/>
    <w:rsid w:val="001919C4"/>
    <w:rsid w:val="0019723B"/>
    <w:rsid w:val="001A0943"/>
    <w:rsid w:val="001A5828"/>
    <w:rsid w:val="001B5C1D"/>
    <w:rsid w:val="001E0757"/>
    <w:rsid w:val="001E6DDC"/>
    <w:rsid w:val="001E70E9"/>
    <w:rsid w:val="001F5C92"/>
    <w:rsid w:val="001F7873"/>
    <w:rsid w:val="00230E48"/>
    <w:rsid w:val="00241FD4"/>
    <w:rsid w:val="00246317"/>
    <w:rsid w:val="00251B12"/>
    <w:rsid w:val="00265318"/>
    <w:rsid w:val="00266BE3"/>
    <w:rsid w:val="002740C2"/>
    <w:rsid w:val="002835D7"/>
    <w:rsid w:val="00290FD6"/>
    <w:rsid w:val="00293364"/>
    <w:rsid w:val="00296113"/>
    <w:rsid w:val="002A673A"/>
    <w:rsid w:val="002C5E13"/>
    <w:rsid w:val="002C62BC"/>
    <w:rsid w:val="002E0449"/>
    <w:rsid w:val="002E0EB8"/>
    <w:rsid w:val="002F3E58"/>
    <w:rsid w:val="0030542C"/>
    <w:rsid w:val="00311B7A"/>
    <w:rsid w:val="003126B6"/>
    <w:rsid w:val="00313D9C"/>
    <w:rsid w:val="00325215"/>
    <w:rsid w:val="0033339C"/>
    <w:rsid w:val="00340B53"/>
    <w:rsid w:val="0035775D"/>
    <w:rsid w:val="0036086E"/>
    <w:rsid w:val="003874EF"/>
    <w:rsid w:val="003B6D37"/>
    <w:rsid w:val="003C01FC"/>
    <w:rsid w:val="003C7F80"/>
    <w:rsid w:val="00414BD3"/>
    <w:rsid w:val="00424943"/>
    <w:rsid w:val="0042727E"/>
    <w:rsid w:val="0043175C"/>
    <w:rsid w:val="00437296"/>
    <w:rsid w:val="00451590"/>
    <w:rsid w:val="00451871"/>
    <w:rsid w:val="004706DE"/>
    <w:rsid w:val="00472923"/>
    <w:rsid w:val="00486DCD"/>
    <w:rsid w:val="0049120C"/>
    <w:rsid w:val="004B0C3A"/>
    <w:rsid w:val="004C49A8"/>
    <w:rsid w:val="004D5788"/>
    <w:rsid w:val="004E3066"/>
    <w:rsid w:val="004E419C"/>
    <w:rsid w:val="004E74CD"/>
    <w:rsid w:val="004F05E7"/>
    <w:rsid w:val="00524EFD"/>
    <w:rsid w:val="00525CB1"/>
    <w:rsid w:val="00572067"/>
    <w:rsid w:val="00573562"/>
    <w:rsid w:val="00590ECE"/>
    <w:rsid w:val="005B3F56"/>
    <w:rsid w:val="005C0E90"/>
    <w:rsid w:val="005D0C27"/>
    <w:rsid w:val="005D37CA"/>
    <w:rsid w:val="005F5714"/>
    <w:rsid w:val="005F7AE1"/>
    <w:rsid w:val="00600299"/>
    <w:rsid w:val="00611D03"/>
    <w:rsid w:val="00614A29"/>
    <w:rsid w:val="00636109"/>
    <w:rsid w:val="00651BA2"/>
    <w:rsid w:val="00673D76"/>
    <w:rsid w:val="006854F0"/>
    <w:rsid w:val="006B1C4A"/>
    <w:rsid w:val="006B610D"/>
    <w:rsid w:val="006C206A"/>
    <w:rsid w:val="006E49F5"/>
    <w:rsid w:val="007013C8"/>
    <w:rsid w:val="00727C84"/>
    <w:rsid w:val="0074338E"/>
    <w:rsid w:val="00753836"/>
    <w:rsid w:val="0075393C"/>
    <w:rsid w:val="00754592"/>
    <w:rsid w:val="00776C08"/>
    <w:rsid w:val="007928BD"/>
    <w:rsid w:val="007B49AA"/>
    <w:rsid w:val="007C219A"/>
    <w:rsid w:val="007E1DA8"/>
    <w:rsid w:val="007E75AE"/>
    <w:rsid w:val="007F0BFC"/>
    <w:rsid w:val="007F1335"/>
    <w:rsid w:val="007F6C26"/>
    <w:rsid w:val="00800B4F"/>
    <w:rsid w:val="00800F72"/>
    <w:rsid w:val="00805850"/>
    <w:rsid w:val="00811795"/>
    <w:rsid w:val="00813208"/>
    <w:rsid w:val="00815157"/>
    <w:rsid w:val="0083348E"/>
    <w:rsid w:val="008334AE"/>
    <w:rsid w:val="00836FED"/>
    <w:rsid w:val="0083724E"/>
    <w:rsid w:val="00841D53"/>
    <w:rsid w:val="00845CD2"/>
    <w:rsid w:val="00852B0D"/>
    <w:rsid w:val="00853B85"/>
    <w:rsid w:val="0085425A"/>
    <w:rsid w:val="00861BAC"/>
    <w:rsid w:val="00862CE4"/>
    <w:rsid w:val="00864B7F"/>
    <w:rsid w:val="00871CAC"/>
    <w:rsid w:val="00881692"/>
    <w:rsid w:val="00882539"/>
    <w:rsid w:val="008839D6"/>
    <w:rsid w:val="008858FF"/>
    <w:rsid w:val="008A6576"/>
    <w:rsid w:val="008B3CC5"/>
    <w:rsid w:val="008B52CD"/>
    <w:rsid w:val="008C7C4D"/>
    <w:rsid w:val="008E4261"/>
    <w:rsid w:val="008E70D4"/>
    <w:rsid w:val="008F4662"/>
    <w:rsid w:val="0090563F"/>
    <w:rsid w:val="00905D08"/>
    <w:rsid w:val="00906672"/>
    <w:rsid w:val="00925753"/>
    <w:rsid w:val="00937F8B"/>
    <w:rsid w:val="009425F4"/>
    <w:rsid w:val="00943BD8"/>
    <w:rsid w:val="00954B2C"/>
    <w:rsid w:val="00966C5C"/>
    <w:rsid w:val="00973104"/>
    <w:rsid w:val="009842F6"/>
    <w:rsid w:val="00995BF0"/>
    <w:rsid w:val="009A16D5"/>
    <w:rsid w:val="009A353D"/>
    <w:rsid w:val="009B0B77"/>
    <w:rsid w:val="009B511E"/>
    <w:rsid w:val="009B5215"/>
    <w:rsid w:val="009C6C86"/>
    <w:rsid w:val="009D37D3"/>
    <w:rsid w:val="00A16E6C"/>
    <w:rsid w:val="00A36F96"/>
    <w:rsid w:val="00A40F60"/>
    <w:rsid w:val="00A41A25"/>
    <w:rsid w:val="00A44E3D"/>
    <w:rsid w:val="00A72D2E"/>
    <w:rsid w:val="00A74447"/>
    <w:rsid w:val="00A74CE5"/>
    <w:rsid w:val="00A77500"/>
    <w:rsid w:val="00A8536F"/>
    <w:rsid w:val="00A911E7"/>
    <w:rsid w:val="00A939D9"/>
    <w:rsid w:val="00AB77AA"/>
    <w:rsid w:val="00AC4748"/>
    <w:rsid w:val="00AD5259"/>
    <w:rsid w:val="00AD7DDA"/>
    <w:rsid w:val="00B01D36"/>
    <w:rsid w:val="00B078CD"/>
    <w:rsid w:val="00B20712"/>
    <w:rsid w:val="00B43238"/>
    <w:rsid w:val="00B45DD3"/>
    <w:rsid w:val="00B54B90"/>
    <w:rsid w:val="00B64D40"/>
    <w:rsid w:val="00B64FA8"/>
    <w:rsid w:val="00B73582"/>
    <w:rsid w:val="00B75216"/>
    <w:rsid w:val="00B755A2"/>
    <w:rsid w:val="00B9104C"/>
    <w:rsid w:val="00B91D52"/>
    <w:rsid w:val="00B9490F"/>
    <w:rsid w:val="00BA1ACD"/>
    <w:rsid w:val="00BD09F8"/>
    <w:rsid w:val="00C005B2"/>
    <w:rsid w:val="00C1565C"/>
    <w:rsid w:val="00C21E0F"/>
    <w:rsid w:val="00C362CA"/>
    <w:rsid w:val="00C6129C"/>
    <w:rsid w:val="00C732BF"/>
    <w:rsid w:val="00C772C1"/>
    <w:rsid w:val="00CA7176"/>
    <w:rsid w:val="00CB51D7"/>
    <w:rsid w:val="00CC75B0"/>
    <w:rsid w:val="00CC7B84"/>
    <w:rsid w:val="00CD2773"/>
    <w:rsid w:val="00CE01BA"/>
    <w:rsid w:val="00CE143B"/>
    <w:rsid w:val="00CE3A91"/>
    <w:rsid w:val="00D07DBA"/>
    <w:rsid w:val="00D23C16"/>
    <w:rsid w:val="00D27003"/>
    <w:rsid w:val="00D324AD"/>
    <w:rsid w:val="00D425C8"/>
    <w:rsid w:val="00D80ABB"/>
    <w:rsid w:val="00D9307A"/>
    <w:rsid w:val="00DA76CB"/>
    <w:rsid w:val="00DB4322"/>
    <w:rsid w:val="00DD1D0C"/>
    <w:rsid w:val="00DE186D"/>
    <w:rsid w:val="00E167C7"/>
    <w:rsid w:val="00E32E4D"/>
    <w:rsid w:val="00E55B78"/>
    <w:rsid w:val="00E76361"/>
    <w:rsid w:val="00E84020"/>
    <w:rsid w:val="00E906B2"/>
    <w:rsid w:val="00EB7A80"/>
    <w:rsid w:val="00EC47F6"/>
    <w:rsid w:val="00EE6D6D"/>
    <w:rsid w:val="00EF08C9"/>
    <w:rsid w:val="00EF535E"/>
    <w:rsid w:val="00F27293"/>
    <w:rsid w:val="00F471F7"/>
    <w:rsid w:val="00F66032"/>
    <w:rsid w:val="00F83B96"/>
    <w:rsid w:val="00F8441D"/>
    <w:rsid w:val="00F87C1E"/>
    <w:rsid w:val="00F958C2"/>
    <w:rsid w:val="00FA740E"/>
    <w:rsid w:val="00FC06C7"/>
    <w:rsid w:val="00FD5DB4"/>
    <w:rsid w:val="00FD676E"/>
    <w:rsid w:val="00FE1724"/>
    <w:rsid w:val="00FE5FBF"/>
    <w:rsid w:val="00FE753C"/>
    <w:rsid w:val="00FF2346"/>
    <w:rsid w:val="4F693A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uiPriority w:val="99"/>
    <w:rPr>
      <w:sz w:val="18"/>
      <w:szCs w:val="18"/>
    </w:rPr>
  </w:style>
  <w:style w:type="paragraph" w:styleId="3">
    <w:name w:val="footer"/>
    <w:basedOn w:val="1"/>
    <w:link w:val="12"/>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5">
    <w:name w:val="toc 1"/>
    <w:basedOn w:val="1"/>
    <w:next w:val="1"/>
    <w:autoRedefine/>
    <w:uiPriority w:val="39"/>
    <w:rPr>
      <w:rFonts w:ascii="Times New Roman" w:hAnsi="Times New Roman" w:eastAsia="宋体" w:cs="Times New Roman"/>
      <w:szCs w:val="24"/>
    </w:rPr>
  </w:style>
  <w:style w:type="paragraph" w:styleId="6">
    <w:name w:val="footnote text"/>
    <w:basedOn w:val="1"/>
    <w:link w:val="15"/>
    <w:semiHidden/>
    <w:unhideWhenUsed/>
    <w:uiPriority w:val="99"/>
    <w:pPr>
      <w:snapToGrid w:val="0"/>
      <w:jc w:val="left"/>
    </w:pPr>
    <w:rPr>
      <w:rFonts w:ascii="Calibri" w:hAnsi="Calibri" w:eastAsia="宋体" w:cs="Times New Roman"/>
      <w:sz w:val="18"/>
      <w:szCs w:val="18"/>
    </w:rPr>
  </w:style>
  <w:style w:type="paragraph" w:styleId="7">
    <w:name w:val="toc 2"/>
    <w:basedOn w:val="1"/>
    <w:next w:val="1"/>
    <w:autoRedefine/>
    <w:uiPriority w:val="39"/>
    <w:pPr>
      <w:ind w:left="420" w:leftChars="200"/>
    </w:pPr>
    <w:rPr>
      <w:rFonts w:ascii="Times New Roman" w:hAnsi="Times New Roman" w:eastAsia="宋体" w:cs="Times New Roman"/>
      <w:szCs w:val="24"/>
    </w:rPr>
  </w:style>
  <w:style w:type="character" w:styleId="10">
    <w:name w:val="footnote reference"/>
    <w:semiHidden/>
    <w:unhideWhenUsed/>
    <w:uiPriority w:val="99"/>
    <w:rPr>
      <w:vertAlign w:val="superscript"/>
    </w:rPr>
  </w:style>
  <w:style w:type="character" w:customStyle="1" w:styleId="11">
    <w:name w:val="页眉 Char"/>
    <w:basedOn w:val="9"/>
    <w:link w:val="4"/>
    <w:qFormat/>
    <w:uiPriority w:val="99"/>
    <w:rPr>
      <w:rFonts w:ascii="Times New Roman" w:hAnsi="Times New Roman" w:eastAsia="宋体" w:cs="Times New Roman"/>
      <w:sz w:val="18"/>
      <w:szCs w:val="18"/>
    </w:rPr>
  </w:style>
  <w:style w:type="character" w:customStyle="1" w:styleId="12">
    <w:name w:val="页脚 Char"/>
    <w:basedOn w:val="9"/>
    <w:link w:val="3"/>
    <w:uiPriority w:val="99"/>
    <w:rPr>
      <w:rFonts w:ascii="Times New Roman" w:hAnsi="Times New Roman" w:eastAsia="宋体" w:cs="Times New Roman"/>
      <w:sz w:val="18"/>
      <w:szCs w:val="18"/>
    </w:rPr>
  </w:style>
  <w:style w:type="character" w:customStyle="1" w:styleId="13">
    <w:name w:val="批注框文本 Char"/>
    <w:basedOn w:val="9"/>
    <w:link w:val="2"/>
    <w:semiHidden/>
    <w:uiPriority w:val="99"/>
    <w:rPr>
      <w:sz w:val="18"/>
      <w:szCs w:val="18"/>
    </w:rPr>
  </w:style>
  <w:style w:type="paragraph" w:customStyle="1" w:styleId="14">
    <w:name w:val="Default"/>
    <w:uiPriority w:val="0"/>
    <w:pPr>
      <w:widowControl w:val="0"/>
      <w:autoSpaceDE w:val="0"/>
      <w:autoSpaceDN w:val="0"/>
      <w:adjustRightInd w:val="0"/>
    </w:pPr>
    <w:rPr>
      <w:rFonts w:ascii="Times New Roman" w:hAnsi="Times New Roman" w:cs="Times New Roman" w:eastAsiaTheme="minorEastAsia"/>
      <w:color w:val="000000"/>
      <w:kern w:val="0"/>
      <w:sz w:val="24"/>
      <w:szCs w:val="24"/>
      <w:lang w:val="en-US" w:eastAsia="zh-CN" w:bidi="ar-SA"/>
    </w:rPr>
  </w:style>
  <w:style w:type="character" w:customStyle="1" w:styleId="15">
    <w:name w:val="脚注文本 Char"/>
    <w:basedOn w:val="9"/>
    <w:link w:val="6"/>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BD154-D7EF-4D14-8485-56AB66ABBD7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7022</Words>
  <Characters>7247</Characters>
  <Lines>61</Lines>
  <Paragraphs>17</Paragraphs>
  <TotalTime>4294966140</TotalTime>
  <ScaleCrop>false</ScaleCrop>
  <LinksUpToDate>false</LinksUpToDate>
  <CharactersWithSpaces>7298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2019-01-16T09:51:00Z</dcterms:created>
  <dc:creator>guest</dc:creator>
  <cp:lastModifiedBy>BianL</cp:lastModifiedBy>
  <cp:lastPrinted>2018-01-30T06:12:00Z</cp:lastPrinted>
  <dcterms:modified xsi:type="dcterms:W3CDTF">2019-02-11T10:18:22Z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eyJoZGlkIjoiZmY5NWQxY2YwYjNiOWFiZTFhMWQ1YWJmNzAxNWU0MmEifQ==</vt:lpwstr>
  </property>
  <property fmtid="{D5CDD505-2E9C-101B-9397-08002B2CF9AE}" pid="3" name="KSOProductBuildVer">
    <vt:lpwstr>2052-12.1.0.26895</vt:lpwstr>
  </property>
  <property fmtid="{D5CDD505-2E9C-101B-9397-08002B2CF9AE}" pid="4" name="ICV">
    <vt:lpwstr>24D78280A38F4337ACBEDEDB8BEE09B3_12</vt:lpwstr>
  </property>
</Properties>
</file>