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92A68">
      <w:pPr>
        <w:spacing w:line="584" w:lineRule="exact"/>
        <w:ind w:firstLine="880" w:firstLineChars="200"/>
        <w:jc w:val="center"/>
        <w:rPr>
          <w:rFonts w:ascii="Times New Roman" w:hAnsi="Times New Roman" w:eastAsia="仿宋_GB2312" w:cs="Times New Roman"/>
          <w:sz w:val="44"/>
          <w:szCs w:val="44"/>
        </w:rPr>
      </w:pPr>
      <w:r>
        <w:rPr>
          <w:rFonts w:hint="eastAsia" w:ascii="Times New Roman" w:hAnsi="Times New Roman" w:eastAsia="仿宋_GB2312" w:cs="Times New Roman"/>
          <w:sz w:val="44"/>
          <w:szCs w:val="44"/>
        </w:rPr>
        <w:t xml:space="preserve">      </w:t>
      </w:r>
    </w:p>
    <w:p w14:paraId="5E5404F1">
      <w:pPr>
        <w:spacing w:line="584" w:lineRule="exact"/>
        <w:ind w:firstLine="880" w:firstLineChars="200"/>
        <w:jc w:val="center"/>
        <w:rPr>
          <w:rFonts w:ascii="Times New Roman" w:hAnsi="Times New Roman" w:eastAsia="仿宋_GB2312" w:cs="Times New Roman"/>
          <w:sz w:val="44"/>
          <w:szCs w:val="44"/>
        </w:rPr>
      </w:pPr>
    </w:p>
    <w:p w14:paraId="272A3830">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中国共产党廊坊市纪律检查委员会</w:t>
      </w:r>
    </w:p>
    <w:p w14:paraId="07210DAB">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725D6CDA">
      <w:pPr>
        <w:spacing w:line="584" w:lineRule="exact"/>
        <w:ind w:firstLine="880" w:firstLineChars="200"/>
        <w:jc w:val="center"/>
        <w:rPr>
          <w:rFonts w:ascii="Times New Roman" w:hAnsi="Times New Roman" w:eastAsia="仿宋_GB2312" w:cs="Times New Roman"/>
          <w:sz w:val="44"/>
          <w:szCs w:val="44"/>
        </w:rPr>
      </w:pPr>
      <w:r>
        <w:rPr>
          <w:rFonts w:hint="eastAsia" w:ascii="Times New Roman" w:hAnsi="Times New Roman" w:eastAsia="仿宋_GB2312" w:cs="Times New Roman"/>
          <w:sz w:val="44"/>
          <w:szCs w:val="44"/>
        </w:rPr>
        <w:t xml:space="preserve">  </w:t>
      </w:r>
    </w:p>
    <w:p w14:paraId="41EEE80A">
      <w:pPr>
        <w:spacing w:line="584"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按照《中华人民共和国预算法》、《中华人民共和国预算法实施条例》、《地方预决算公开操作规程》和《河北省省级预算公开办法》规定，现将中国共产党廊坊市纪律检查委员会2021年部门预算公开如下：</w:t>
      </w:r>
    </w:p>
    <w:p w14:paraId="400BBA80">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7C41ECCA">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18F624E0">
      <w:pPr>
        <w:spacing w:line="584" w:lineRule="exact"/>
        <w:ind w:firstLine="560"/>
        <w:jc w:val="left"/>
        <w:rPr>
          <w:rFonts w:ascii="仿宋_GB2312" w:eastAsia="仿宋_GB2312"/>
          <w:sz w:val="32"/>
          <w:szCs w:val="32"/>
        </w:rPr>
      </w:pPr>
      <w:r>
        <w:rPr>
          <w:rFonts w:hint="eastAsia" w:ascii="仿宋_GB2312" w:eastAsia="仿宋_GB2312"/>
          <w:sz w:val="32"/>
          <w:szCs w:val="32"/>
        </w:rPr>
        <w:t>（一）负责全市党的纪律检查工作。贯彻落实党中央和省委、市委关于纪律检查工作的决策部署，维护党的章程和其他党内法规，检查党的路线方针政策和决议的执行情况，协助市委推进全面从严治党、加强党风建设和组织协调反腐败工作。</w:t>
      </w:r>
    </w:p>
    <w:p w14:paraId="27FB1739">
      <w:pPr>
        <w:spacing w:line="584" w:lineRule="exact"/>
        <w:ind w:firstLine="560"/>
        <w:jc w:val="left"/>
        <w:rPr>
          <w:rFonts w:ascii="仿宋_GB2312" w:eastAsia="仿宋_GB2312"/>
          <w:sz w:val="32"/>
          <w:szCs w:val="32"/>
        </w:rPr>
      </w:pPr>
      <w:r>
        <w:rPr>
          <w:rFonts w:hint="eastAsia" w:ascii="仿宋_GB2312" w:eastAsia="仿宋_GB2312"/>
          <w:sz w:val="32"/>
          <w:szCs w:val="32"/>
        </w:rPr>
        <w:t>（二）依照党的章程和其他党内法规履行监督、执纪、问责职责。负责经常对党员进行遵守纪律的教育，作出关于维护党纪的决定；对市委工作机关、市委批准设立的党组（党委），各县（市、区）党委、纪委等党的组织和市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p>
    <w:p w14:paraId="682AD95C">
      <w:pPr>
        <w:spacing w:line="584" w:lineRule="exact"/>
        <w:ind w:firstLine="560"/>
        <w:jc w:val="left"/>
        <w:rPr>
          <w:rFonts w:ascii="仿宋_GB2312" w:eastAsia="仿宋_GB2312"/>
          <w:sz w:val="32"/>
          <w:szCs w:val="32"/>
        </w:rPr>
      </w:pPr>
      <w:r>
        <w:rPr>
          <w:rFonts w:hint="eastAsia" w:ascii="仿宋_GB2312" w:eastAsia="仿宋_GB2312"/>
          <w:sz w:val="32"/>
          <w:szCs w:val="32"/>
        </w:rPr>
        <w:t>（三）支持配合巡视巡察工作。承担巡察整改日常监督责任，做好巡察整改督查督办工作，依规依纪依法处置巡视巡察移交的反映领导干部问题线索。</w:t>
      </w:r>
    </w:p>
    <w:p w14:paraId="6394DF93">
      <w:pPr>
        <w:spacing w:line="584" w:lineRule="exact"/>
        <w:ind w:firstLine="560"/>
        <w:jc w:val="left"/>
        <w:rPr>
          <w:rFonts w:ascii="仿宋_GB2312" w:eastAsia="仿宋_GB2312"/>
          <w:sz w:val="32"/>
          <w:szCs w:val="32"/>
        </w:rPr>
      </w:pPr>
      <w:r>
        <w:rPr>
          <w:rFonts w:hint="eastAsia" w:ascii="仿宋_GB2312" w:eastAsia="仿宋_GB2312"/>
          <w:sz w:val="32"/>
          <w:szCs w:val="32"/>
        </w:rPr>
        <w:t>（四）负责全市监察工作。贯彻落实党中央、省委和市委关于监察工作的决策部署，维护宪法法律，依法对市委管理的行使公权力的公职人员进行监察，调查职务违法和职务犯罪，开展廉政建设和反腐败工作。</w:t>
      </w:r>
    </w:p>
    <w:p w14:paraId="1067EF48">
      <w:pPr>
        <w:spacing w:line="584" w:lineRule="exact"/>
        <w:ind w:firstLine="560"/>
        <w:jc w:val="left"/>
        <w:rPr>
          <w:rFonts w:ascii="仿宋_GB2312" w:eastAsia="仿宋_GB2312"/>
          <w:sz w:val="32"/>
          <w:szCs w:val="32"/>
        </w:rPr>
      </w:pPr>
      <w:r>
        <w:rPr>
          <w:rFonts w:hint="eastAsia" w:ascii="仿宋_GB2312" w:eastAsia="仿宋_GB2312"/>
          <w:sz w:val="32"/>
          <w:szCs w:val="32"/>
        </w:rPr>
        <w:t>（五）依照法律规定履行监督、调查、处置职责。推动开展廉政教育，对市委管理的行使公权力的公职人员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将调查结果移送人民检察院依法审查、提起公诉；向监察对象所在单位提出监察建议。</w:t>
      </w:r>
    </w:p>
    <w:p w14:paraId="7BC7A80E">
      <w:pPr>
        <w:spacing w:line="584" w:lineRule="exact"/>
        <w:ind w:firstLine="560"/>
        <w:jc w:val="left"/>
        <w:rPr>
          <w:rFonts w:ascii="仿宋_GB2312" w:eastAsia="仿宋_GB2312"/>
          <w:sz w:val="32"/>
          <w:szCs w:val="32"/>
        </w:rPr>
      </w:pPr>
      <w:r>
        <w:rPr>
          <w:rFonts w:hint="eastAsia" w:ascii="仿宋_GB2312" w:eastAsia="仿宋_GB2312"/>
          <w:sz w:val="32"/>
          <w:szCs w:val="32"/>
        </w:rPr>
        <w:t>（六）负责组织协调全面从严治党、党风廉政建设和反腐败宣传教育工作。</w:t>
      </w:r>
    </w:p>
    <w:p w14:paraId="28D92EAE">
      <w:pPr>
        <w:spacing w:line="584" w:lineRule="exact"/>
        <w:ind w:firstLine="560"/>
        <w:jc w:val="left"/>
        <w:rPr>
          <w:rFonts w:ascii="仿宋_GB2312" w:eastAsia="仿宋_GB2312"/>
          <w:sz w:val="32"/>
          <w:szCs w:val="32"/>
        </w:rPr>
      </w:pPr>
      <w:r>
        <w:rPr>
          <w:rFonts w:hint="eastAsia" w:ascii="仿宋_GB2312" w:eastAsia="仿宋_GB2312"/>
          <w:sz w:val="32"/>
          <w:szCs w:val="32"/>
        </w:rPr>
        <w:t>（七）负责综合分析全面从严治党、党风廉政建设和反腐败工作情况，对纪检监察工作重要理论及实践问题进行调查研究；制定或者修改全市纪检监察有关制度，参与起草有关规范性文件。</w:t>
      </w:r>
    </w:p>
    <w:p w14:paraId="4BA697C0">
      <w:pPr>
        <w:spacing w:line="584" w:lineRule="exact"/>
        <w:ind w:firstLine="560"/>
        <w:jc w:val="left"/>
        <w:rPr>
          <w:rFonts w:ascii="仿宋_GB2312" w:eastAsia="仿宋_GB2312"/>
          <w:sz w:val="32"/>
          <w:szCs w:val="32"/>
        </w:rPr>
      </w:pPr>
      <w:r>
        <w:rPr>
          <w:rFonts w:hint="eastAsia" w:ascii="仿宋_GB2312" w:eastAsia="仿宋_GB2312"/>
          <w:sz w:val="32"/>
          <w:szCs w:val="32"/>
        </w:rPr>
        <w:t>（八）负责组织协调全市反腐败追逃追赃和防逃工作，督促有关单位做好相关工作。</w:t>
      </w:r>
    </w:p>
    <w:p w14:paraId="4864608A">
      <w:pPr>
        <w:spacing w:line="584" w:lineRule="exact"/>
        <w:ind w:firstLine="560"/>
        <w:jc w:val="left"/>
        <w:rPr>
          <w:rFonts w:ascii="仿宋_GB2312" w:eastAsia="仿宋_GB2312"/>
          <w:sz w:val="32"/>
          <w:szCs w:val="32"/>
        </w:rPr>
      </w:pPr>
      <w:r>
        <w:rPr>
          <w:rFonts w:hint="eastAsia" w:ascii="仿宋_GB2312" w:eastAsia="仿宋_GB2312"/>
          <w:sz w:val="32"/>
          <w:szCs w:val="32"/>
        </w:rPr>
        <w:t>（九）根据干部管理权限，负责全市纪检监察系统领导班子建设、干部队伍建设和组织建设的综合规划、政策研究、制度建设和业务指导；会同市委组织部负责市委巡察办的处级干部提名、考察，报市委任免；根据干部管理权限负责市委巡察办科级及以下干部人事工作。会同有关方面做好市纪委监委派驻（派出）机构、县（市、区）纪检监察机关、市管企业和市属学校、医院纪检监察机构领导班子建设有关工作；组织和指导全市纪检监察系统干部教育培训工作等。</w:t>
      </w:r>
    </w:p>
    <w:p w14:paraId="6BB61216">
      <w:pPr>
        <w:spacing w:line="584" w:lineRule="exact"/>
        <w:ind w:firstLine="560"/>
        <w:jc w:val="left"/>
        <w:rPr>
          <w:rFonts w:ascii="仿宋_GB2312" w:eastAsia="仿宋_GB2312"/>
          <w:sz w:val="32"/>
          <w:szCs w:val="32"/>
        </w:rPr>
      </w:pPr>
      <w:r>
        <w:rPr>
          <w:rFonts w:hint="eastAsia" w:ascii="仿宋_GB2312" w:eastAsia="仿宋_GB2312"/>
          <w:sz w:val="32"/>
          <w:szCs w:val="32"/>
        </w:rPr>
        <w:t>（十）完成省纪委、省监委、市委交办的其他任务。</w:t>
      </w:r>
    </w:p>
    <w:p w14:paraId="496322C0">
      <w:pPr>
        <w:spacing w:line="584" w:lineRule="exact"/>
        <w:ind w:firstLine="560"/>
        <w:jc w:val="left"/>
        <w:rPr>
          <w:rFonts w:ascii="Times New Roman" w:eastAsia="方正仿宋_GBK"/>
          <w:sz w:val="28"/>
        </w:rPr>
      </w:pPr>
    </w:p>
    <w:p w14:paraId="0FB918D1">
      <w:pPr>
        <w:spacing w:line="584" w:lineRule="exact"/>
        <w:ind w:firstLine="560"/>
        <w:jc w:val="left"/>
        <w:rPr>
          <w:rFonts w:ascii="Times New Roman" w:eastAsia="方正仿宋_GBK"/>
          <w:sz w:val="28"/>
        </w:rPr>
        <w:sectPr>
          <w:footerReference r:id="rId3" w:type="default"/>
          <w:pgSz w:w="16839" w:h="11907" w:orient="landscape"/>
          <w:pgMar w:top="1134" w:right="1531" w:bottom="1134" w:left="1474" w:header="851" w:footer="992" w:gutter="0"/>
          <w:pgNumType w:start="1"/>
          <w:cols w:space="425" w:num="1"/>
          <w:docGrid w:type="lines" w:linePitch="312" w:charSpace="0"/>
        </w:sectPr>
      </w:pPr>
    </w:p>
    <w:p w14:paraId="56AEB97C">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73131ADC">
      <w:pPr>
        <w:spacing w:line="584" w:lineRule="exact"/>
        <w:jc w:val="center"/>
        <w:outlineLvl w:val="0"/>
        <w:rPr>
          <w:rFonts w:ascii="方正小标宋简体" w:hAnsi="Times New Roman" w:eastAsia="方正小标宋简体" w:cs="Times New Roman"/>
          <w:sz w:val="32"/>
          <w:szCs w:val="24"/>
        </w:rPr>
      </w:pPr>
      <w:r>
        <w:rPr>
          <w:rFonts w:hint="eastAsia" w:ascii="方正小标宋简体" w:hAnsi="Times New Roman" w:eastAsia="方正小标宋简体" w:cs="Times New Roman"/>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5F21C0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004296DA">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单位名称</w:t>
            </w:r>
          </w:p>
        </w:tc>
        <w:tc>
          <w:tcPr>
            <w:tcW w:w="1134" w:type="dxa"/>
            <w:vMerge w:val="restart"/>
            <w:shd w:val="clear" w:color="auto" w:fill="auto"/>
            <w:vAlign w:val="center"/>
          </w:tcPr>
          <w:p w14:paraId="21BA019D">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单位性质</w:t>
            </w:r>
          </w:p>
        </w:tc>
        <w:tc>
          <w:tcPr>
            <w:tcW w:w="1276" w:type="dxa"/>
            <w:vMerge w:val="restart"/>
            <w:shd w:val="clear" w:color="auto" w:fill="auto"/>
            <w:vAlign w:val="center"/>
          </w:tcPr>
          <w:p w14:paraId="64753769">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单位规格</w:t>
            </w:r>
          </w:p>
        </w:tc>
        <w:tc>
          <w:tcPr>
            <w:tcW w:w="2902" w:type="dxa"/>
            <w:vMerge w:val="restart"/>
            <w:shd w:val="clear" w:color="auto" w:fill="auto"/>
            <w:vAlign w:val="center"/>
          </w:tcPr>
          <w:p w14:paraId="181C75F5">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经费保障形式</w:t>
            </w:r>
          </w:p>
        </w:tc>
      </w:tr>
      <w:tr w14:paraId="32CE0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69BE9435">
            <w:pPr>
              <w:spacing w:line="584" w:lineRule="exact"/>
            </w:pPr>
          </w:p>
        </w:tc>
        <w:tc>
          <w:tcPr>
            <w:tcW w:w="1134" w:type="dxa"/>
            <w:vMerge w:val="continue"/>
            <w:shd w:val="clear" w:color="auto" w:fill="auto"/>
            <w:vAlign w:val="center"/>
          </w:tcPr>
          <w:p w14:paraId="5EB58F87">
            <w:pPr>
              <w:spacing w:line="584" w:lineRule="exact"/>
            </w:pPr>
          </w:p>
        </w:tc>
        <w:tc>
          <w:tcPr>
            <w:tcW w:w="1276" w:type="dxa"/>
            <w:vMerge w:val="continue"/>
            <w:shd w:val="clear" w:color="auto" w:fill="auto"/>
            <w:vAlign w:val="center"/>
          </w:tcPr>
          <w:p w14:paraId="104BA86B">
            <w:pPr>
              <w:spacing w:line="584" w:lineRule="exact"/>
            </w:pPr>
          </w:p>
        </w:tc>
        <w:tc>
          <w:tcPr>
            <w:tcW w:w="2902" w:type="dxa"/>
            <w:vMerge w:val="continue"/>
            <w:shd w:val="clear" w:color="auto" w:fill="auto"/>
            <w:vAlign w:val="center"/>
          </w:tcPr>
          <w:p w14:paraId="55301E8F">
            <w:pPr>
              <w:spacing w:line="584" w:lineRule="exact"/>
            </w:pPr>
          </w:p>
        </w:tc>
      </w:tr>
      <w:tr w14:paraId="60DF01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501E9B2C">
            <w:pPr>
              <w:spacing w:line="584" w:lineRule="exact"/>
              <w:jc w:val="center"/>
              <w:outlineLvl w:val="0"/>
              <w:rPr>
                <w:rFonts w:ascii="仿宋_GB2312" w:hAnsi="仿宋" w:eastAsia="仿宋_GB2312" w:cs="仿宋_GB2312"/>
                <w:sz w:val="28"/>
                <w:szCs w:val="28"/>
              </w:rPr>
            </w:pPr>
            <w:r>
              <w:rPr>
                <w:rFonts w:hint="eastAsia" w:ascii="仿宋_GB2312" w:hAnsi="仿宋" w:eastAsia="仿宋_GB2312" w:cs="仿宋_GB2312"/>
                <w:sz w:val="28"/>
                <w:szCs w:val="28"/>
              </w:rPr>
              <w:t>中国共产党廊坊市纪律检查委员会</w:t>
            </w:r>
          </w:p>
        </w:tc>
        <w:tc>
          <w:tcPr>
            <w:tcW w:w="1134" w:type="dxa"/>
            <w:shd w:val="clear" w:color="auto" w:fill="auto"/>
            <w:vAlign w:val="center"/>
          </w:tcPr>
          <w:p w14:paraId="3CA3F731">
            <w:pPr>
              <w:spacing w:line="584" w:lineRule="exact"/>
              <w:jc w:val="center"/>
              <w:outlineLvl w:val="0"/>
              <w:rPr>
                <w:rFonts w:ascii="仿宋_GB2312" w:hAnsi="仿宋" w:eastAsia="仿宋_GB2312" w:cs="仿宋_GB2312"/>
                <w:sz w:val="28"/>
                <w:szCs w:val="28"/>
              </w:rPr>
            </w:pPr>
            <w:r>
              <w:rPr>
                <w:rFonts w:hint="eastAsia" w:ascii="仿宋_GB2312" w:hAnsi="仿宋" w:eastAsia="仿宋_GB2312" w:cs="仿宋_GB2312"/>
                <w:sz w:val="28"/>
                <w:szCs w:val="28"/>
              </w:rPr>
              <w:t>行政</w:t>
            </w:r>
          </w:p>
        </w:tc>
        <w:tc>
          <w:tcPr>
            <w:tcW w:w="1276" w:type="dxa"/>
            <w:shd w:val="clear" w:color="auto" w:fill="auto"/>
            <w:vAlign w:val="center"/>
          </w:tcPr>
          <w:p w14:paraId="1A69B725">
            <w:pPr>
              <w:spacing w:line="584" w:lineRule="exact"/>
              <w:jc w:val="center"/>
              <w:outlineLvl w:val="0"/>
              <w:rPr>
                <w:rFonts w:ascii="仿宋_GB2312" w:hAnsi="仿宋" w:eastAsia="仿宋_GB2312" w:cs="仿宋_GB2312"/>
                <w:sz w:val="28"/>
                <w:szCs w:val="28"/>
              </w:rPr>
            </w:pPr>
            <w:r>
              <w:rPr>
                <w:rFonts w:hint="eastAsia" w:ascii="仿宋_GB2312" w:hAnsi="仿宋" w:eastAsia="仿宋_GB2312" w:cs="仿宋_GB2312"/>
                <w:sz w:val="28"/>
                <w:szCs w:val="28"/>
              </w:rPr>
              <w:t>正处级</w:t>
            </w:r>
          </w:p>
        </w:tc>
        <w:tc>
          <w:tcPr>
            <w:tcW w:w="2902" w:type="dxa"/>
            <w:shd w:val="clear" w:color="auto" w:fill="auto"/>
            <w:vAlign w:val="center"/>
          </w:tcPr>
          <w:p w14:paraId="1EEEB4D2">
            <w:pPr>
              <w:spacing w:line="584" w:lineRule="exact"/>
              <w:jc w:val="center"/>
              <w:outlineLvl w:val="0"/>
              <w:rPr>
                <w:rFonts w:ascii="仿宋_GB2312" w:hAnsi="仿宋" w:eastAsia="仿宋_GB2312" w:cs="仿宋_GB2312"/>
                <w:sz w:val="28"/>
                <w:szCs w:val="28"/>
              </w:rPr>
            </w:pPr>
            <w:r>
              <w:rPr>
                <w:rFonts w:hint="eastAsia" w:ascii="仿宋_GB2312" w:hAnsi="仿宋" w:eastAsia="仿宋_GB2312" w:cs="仿宋_GB2312"/>
                <w:sz w:val="28"/>
                <w:szCs w:val="28"/>
              </w:rPr>
              <w:t>财政拨款</w:t>
            </w:r>
          </w:p>
        </w:tc>
      </w:tr>
      <w:tr w14:paraId="734F30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065EC1D2">
            <w:pPr>
              <w:spacing w:line="584" w:lineRule="exact"/>
              <w:jc w:val="center"/>
              <w:outlineLvl w:val="0"/>
              <w:rPr>
                <w:rFonts w:ascii="仿宋_GB2312" w:hAnsi="仿宋" w:eastAsia="仿宋_GB2312" w:cs="仿宋_GB2312"/>
                <w:sz w:val="28"/>
                <w:szCs w:val="28"/>
              </w:rPr>
            </w:pPr>
            <w:r>
              <w:rPr>
                <w:rFonts w:hint="eastAsia" w:ascii="仿宋_GB2312" w:hAnsi="仿宋" w:eastAsia="仿宋_GB2312" w:cs="仿宋_GB2312"/>
                <w:sz w:val="28"/>
                <w:szCs w:val="28"/>
              </w:rPr>
              <w:t>廊坊市纪委旧州管理中心</w:t>
            </w:r>
          </w:p>
        </w:tc>
        <w:tc>
          <w:tcPr>
            <w:tcW w:w="1134" w:type="dxa"/>
            <w:shd w:val="clear" w:color="auto" w:fill="auto"/>
            <w:vAlign w:val="center"/>
          </w:tcPr>
          <w:p w14:paraId="693F6716">
            <w:pPr>
              <w:spacing w:line="584" w:lineRule="exact"/>
              <w:jc w:val="center"/>
              <w:outlineLvl w:val="0"/>
              <w:rPr>
                <w:rFonts w:ascii="仿宋_GB2312" w:hAnsi="仿宋" w:eastAsia="仿宋_GB2312" w:cs="仿宋_GB2312"/>
                <w:sz w:val="28"/>
                <w:szCs w:val="28"/>
              </w:rPr>
            </w:pPr>
            <w:r>
              <w:rPr>
                <w:rFonts w:hint="eastAsia" w:ascii="仿宋_GB2312" w:hAnsi="仿宋" w:eastAsia="仿宋_GB2312" w:cs="仿宋_GB2312"/>
                <w:sz w:val="28"/>
                <w:szCs w:val="28"/>
              </w:rPr>
              <w:t>事业</w:t>
            </w:r>
          </w:p>
        </w:tc>
        <w:tc>
          <w:tcPr>
            <w:tcW w:w="1276" w:type="dxa"/>
            <w:shd w:val="clear" w:color="auto" w:fill="auto"/>
            <w:vAlign w:val="center"/>
          </w:tcPr>
          <w:p w14:paraId="5F4FB0BF">
            <w:pPr>
              <w:spacing w:line="584" w:lineRule="exact"/>
              <w:jc w:val="center"/>
              <w:outlineLvl w:val="0"/>
              <w:rPr>
                <w:rFonts w:ascii="仿宋_GB2312" w:hAnsi="仿宋" w:eastAsia="仿宋_GB2312" w:cs="仿宋_GB2312"/>
                <w:sz w:val="28"/>
                <w:szCs w:val="28"/>
              </w:rPr>
            </w:pPr>
            <w:r>
              <w:rPr>
                <w:rFonts w:hint="eastAsia" w:ascii="仿宋_GB2312" w:hAnsi="仿宋" w:eastAsia="仿宋_GB2312" w:cs="仿宋_GB2312"/>
                <w:sz w:val="28"/>
                <w:szCs w:val="28"/>
              </w:rPr>
              <w:t>正科级</w:t>
            </w:r>
          </w:p>
        </w:tc>
        <w:tc>
          <w:tcPr>
            <w:tcW w:w="2902" w:type="dxa"/>
            <w:shd w:val="clear" w:color="auto" w:fill="auto"/>
            <w:vAlign w:val="center"/>
          </w:tcPr>
          <w:p w14:paraId="2F82482C">
            <w:pPr>
              <w:spacing w:line="584" w:lineRule="exact"/>
              <w:jc w:val="center"/>
              <w:outlineLvl w:val="0"/>
              <w:rPr>
                <w:rFonts w:ascii="仿宋_GB2312" w:hAnsi="仿宋" w:eastAsia="仿宋_GB2312" w:cs="仿宋_GB2312"/>
                <w:sz w:val="28"/>
                <w:szCs w:val="28"/>
              </w:rPr>
            </w:pPr>
            <w:r>
              <w:rPr>
                <w:rFonts w:hint="eastAsia" w:ascii="仿宋_GB2312" w:hAnsi="仿宋" w:eastAsia="仿宋_GB2312" w:cs="仿宋_GB2312"/>
                <w:sz w:val="28"/>
                <w:szCs w:val="28"/>
              </w:rPr>
              <w:t>财政性资金基本保证</w:t>
            </w:r>
          </w:p>
        </w:tc>
      </w:tr>
    </w:tbl>
    <w:p w14:paraId="5A07B4BF">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535A2C0B">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及所属事业单位的收支包含在部门预算中。</w:t>
      </w:r>
    </w:p>
    <w:p w14:paraId="4C60F715">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7C19EC47">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10701.89</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10701.89</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3105.437186万元</w:t>
      </w:r>
      <w:r>
        <w:rPr>
          <w:rFonts w:ascii="Times New Roman" w:hAnsi="Times New Roman" w:eastAsia="仿宋_GB2312" w:cs="Times New Roman"/>
          <w:sz w:val="32"/>
          <w:szCs w:val="32"/>
        </w:rPr>
        <w:t>。</w:t>
      </w:r>
    </w:p>
    <w:p w14:paraId="17486EA4">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4D9A732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10701.89</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5361.18</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4628.08</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733.10</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5340.71</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rPr>
        <w:t>5340.71万元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监督检查和审查调查工作经费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巡视巡察工作专项经费、办案综合保障经费</w:t>
      </w:r>
      <w:r>
        <w:rPr>
          <w:rFonts w:ascii="Times New Roman" w:hAnsi="Times New Roman" w:eastAsia="仿宋_GB2312" w:cs="Times New Roman"/>
          <w:sz w:val="32"/>
          <w:szCs w:val="32"/>
        </w:rPr>
        <w:t>等支出。</w:t>
      </w:r>
    </w:p>
    <w:p w14:paraId="114A0316">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6B02892B">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10701.89</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w:t>
      </w:r>
      <w:r>
        <w:rPr>
          <w:rFonts w:hint="eastAsia" w:ascii="Times New Roman" w:hAnsi="Times New Roman" w:eastAsia="仿宋_GB2312" w:cs="Times New Roman"/>
          <w:sz w:val="32"/>
          <w:szCs w:val="32"/>
        </w:rPr>
        <w:t>减少5630.48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增加212.43</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工资福利支出和日常运转经费</w:t>
      </w:r>
      <w:r>
        <w:rPr>
          <w:rFonts w:ascii="Times New Roman" w:hAnsi="Times New Roman" w:eastAsia="仿宋_GB2312" w:cs="Times New Roman"/>
          <w:sz w:val="32"/>
          <w:szCs w:val="32"/>
        </w:rPr>
        <w:t>支出；项目支出</w:t>
      </w:r>
      <w:r>
        <w:rPr>
          <w:rFonts w:hint="eastAsia" w:ascii="Times New Roman" w:hAnsi="Times New Roman" w:eastAsia="仿宋_GB2312" w:cs="Times New Roman"/>
          <w:sz w:val="32"/>
          <w:szCs w:val="32"/>
        </w:rPr>
        <w:t>减少5842.91</w:t>
      </w:r>
      <w:r>
        <w:rPr>
          <w:rFonts w:ascii="Times New Roman" w:hAnsi="Times New Roman" w:eastAsia="仿宋_GB2312" w:cs="Times New Roman"/>
          <w:sz w:val="32"/>
          <w:szCs w:val="32"/>
        </w:rPr>
        <w:t>万元，主要为</w:t>
      </w:r>
      <w:r>
        <w:rPr>
          <w:rFonts w:hint="eastAsia" w:ascii="仿宋_GB2312" w:eastAsia="仿宋_GB2312"/>
          <w:sz w:val="32"/>
          <w:szCs w:val="32"/>
        </w:rPr>
        <w:t>廉政综合办案楼建设资金、信息化建设相关经费、留置经费以及巡视巡察</w:t>
      </w:r>
      <w:r>
        <w:rPr>
          <w:rFonts w:hint="eastAsia" w:ascii="Times New Roman" w:hAnsi="Times New Roman" w:eastAsia="仿宋_GB2312" w:cs="Times New Roman"/>
          <w:sz w:val="32"/>
          <w:szCs w:val="32"/>
        </w:rPr>
        <w:t>和武警餐厅改造、武警智慧磐石项目、院区道路维修改造。</w:t>
      </w:r>
    </w:p>
    <w:p w14:paraId="3A2158B8">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484D483E">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委</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733.10</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市纪委</w:t>
      </w:r>
      <w:r>
        <w:rPr>
          <w:rFonts w:ascii="Times New Roman" w:hAnsi="Times New Roman" w:eastAsia="仿宋_GB2312" w:cs="Times New Roman"/>
          <w:sz w:val="32"/>
          <w:szCs w:val="32"/>
        </w:rPr>
        <w:t>办公区的日常维修</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办公用房物业管理费等日常运行支出。</w:t>
      </w:r>
    </w:p>
    <w:p w14:paraId="34B8F72D">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四、财政拨款“三公”经费预算情况及增减变化原因</w:t>
      </w:r>
    </w:p>
    <w:p w14:paraId="1D11EF8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委</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116.50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114.13</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114.13</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2.37</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相比持平，</w:t>
      </w:r>
      <w:r>
        <w:rPr>
          <w:rFonts w:ascii="Times New Roman" w:hAnsi="Times New Roman" w:eastAsia="仿宋_GB2312" w:cs="Times New Roman"/>
          <w:sz w:val="32"/>
          <w:szCs w:val="32"/>
        </w:rPr>
        <w:t>无增减变化。</w:t>
      </w:r>
    </w:p>
    <w:p w14:paraId="0D93A85D">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14:paraId="5D0BB8A0">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6AEEB16D">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021BDEAA">
      <w:pPr>
        <w:spacing w:line="580" w:lineRule="exact"/>
        <w:ind w:firstLine="640" w:firstLineChars="200"/>
        <w:rPr>
          <w:rFonts w:ascii="仿宋_GB2312" w:eastAsia="仿宋_GB2312"/>
          <w:sz w:val="32"/>
          <w:szCs w:val="32"/>
        </w:rPr>
      </w:pPr>
      <w:r>
        <w:rPr>
          <w:rFonts w:hint="eastAsia" w:ascii="仿宋_GB2312" w:eastAsia="仿宋_GB2312"/>
          <w:sz w:val="32"/>
          <w:szCs w:val="32"/>
        </w:rPr>
        <w:t>在市委和省纪委监委的坚强领导下，认真贯彻落实十九届中央纪委四次全会和九届省纪委五次全会精神，</w:t>
      </w:r>
      <w:r>
        <w:rPr>
          <w:rFonts w:hint="eastAsia" w:eastAsia="仿宋_GB2312"/>
          <w:sz w:val="32"/>
          <w:szCs w:val="32"/>
        </w:rPr>
        <w:t>坚持</w:t>
      </w:r>
      <w:r>
        <w:rPr>
          <w:rFonts w:eastAsia="仿宋_GB2312"/>
          <w:sz w:val="32"/>
        </w:rPr>
        <w:t>稳中求进总基调，</w:t>
      </w:r>
      <w:r>
        <w:rPr>
          <w:rFonts w:eastAsia="仿宋_GB2312"/>
          <w:color w:val="000000"/>
          <w:kern w:val="0"/>
          <w:sz w:val="32"/>
          <w:szCs w:val="32"/>
        </w:rPr>
        <w:t>坚定不移正风肃纪，坚定不移惩腐治贪，坚定不移落实党风廉政建设责任制，</w:t>
      </w:r>
      <w:r>
        <w:rPr>
          <w:rFonts w:eastAsia="仿宋_GB2312"/>
          <w:color w:val="000000"/>
          <w:sz w:val="32"/>
          <w:szCs w:val="32"/>
        </w:rPr>
        <w:t>坚定不移推进全面从严治党向纵深发展、向基层延伸</w:t>
      </w:r>
      <w:r>
        <w:rPr>
          <w:rFonts w:eastAsia="仿宋_GB2312"/>
          <w:color w:val="000000"/>
          <w:kern w:val="0"/>
          <w:sz w:val="32"/>
          <w:szCs w:val="32"/>
        </w:rPr>
        <w:t>。</w:t>
      </w:r>
      <w:r>
        <w:rPr>
          <w:rFonts w:hint="eastAsia" w:ascii="仿宋_GB2312" w:hAnsi="仿宋" w:eastAsia="仿宋_GB2312"/>
          <w:sz w:val="32"/>
          <w:szCs w:val="32"/>
        </w:rPr>
        <w:t>根据省纪委和市委、市政府要求部署，结合廊坊实际，2021年廊坊市纪委监委总体发展规划目标是：通过重点推进监督检查和审查调查工作、4轮巡视巡察工作、3个廊坊市纪委监委信息化平台运行维护工作以及全市纪检监察人员培训工作，提升反腐败法治化、规范化建设效能，实现我市纪检监察工作高质量发展。</w:t>
      </w:r>
    </w:p>
    <w:p w14:paraId="5D12FCE2">
      <w:pPr>
        <w:spacing w:line="580" w:lineRule="exact"/>
        <w:ind w:firstLine="643" w:firstLineChars="200"/>
        <w:rPr>
          <w:rFonts w:ascii="仿宋_GB2312" w:eastAsia="仿宋_GB2312"/>
          <w:sz w:val="32"/>
          <w:szCs w:val="32"/>
        </w:rPr>
      </w:pPr>
      <w:r>
        <w:rPr>
          <w:rFonts w:hint="eastAsia" w:ascii="楷体_GB2312" w:eastAsia="楷体_GB2312" w:cs="Times New Roman"/>
          <w:b/>
          <w:sz w:val="32"/>
          <w:szCs w:val="32"/>
        </w:rPr>
        <w:t>（二）分项绩效目标</w:t>
      </w:r>
    </w:p>
    <w:p w14:paraId="5C54EB57">
      <w:pPr>
        <w:spacing w:line="580" w:lineRule="exact"/>
        <w:ind w:firstLine="643" w:firstLineChars="200"/>
        <w:rPr>
          <w:rFonts w:ascii="仿宋_GB2312" w:eastAsia="仿宋_GB2312"/>
          <w:sz w:val="32"/>
          <w:szCs w:val="32"/>
        </w:rPr>
      </w:pPr>
      <w:r>
        <w:rPr>
          <w:rFonts w:hint="eastAsia" w:ascii="仿宋_GB2312" w:eastAsia="仿宋_GB2312"/>
          <w:b/>
          <w:bCs/>
          <w:sz w:val="32"/>
          <w:szCs w:val="32"/>
        </w:rPr>
        <w:t>市纪委（本级）</w:t>
      </w:r>
    </w:p>
    <w:p w14:paraId="1D4068EE">
      <w:pPr>
        <w:spacing w:line="580" w:lineRule="exact"/>
        <w:ind w:firstLine="630"/>
        <w:rPr>
          <w:rFonts w:ascii="仿宋_GB2312" w:eastAsia="仿宋_GB2312"/>
          <w:b/>
          <w:bCs/>
          <w:sz w:val="32"/>
          <w:szCs w:val="32"/>
        </w:rPr>
      </w:pPr>
      <w:r>
        <w:rPr>
          <w:rFonts w:hint="eastAsia" w:ascii="仿宋_GB2312" w:eastAsia="仿宋_GB2312"/>
          <w:b/>
          <w:bCs/>
          <w:sz w:val="32"/>
          <w:szCs w:val="32"/>
        </w:rPr>
        <w:t>1.廊坊市纪委监委网站维护专项经费</w:t>
      </w:r>
    </w:p>
    <w:p w14:paraId="2A841D94">
      <w:pPr>
        <w:spacing w:line="580" w:lineRule="exact"/>
        <w:ind w:firstLine="630"/>
        <w:rPr>
          <w:rFonts w:ascii="仿宋_GB2312" w:eastAsia="仿宋_GB2312"/>
          <w:sz w:val="32"/>
          <w:szCs w:val="32"/>
        </w:rPr>
      </w:pPr>
      <w:r>
        <w:rPr>
          <w:rFonts w:eastAsia="仿宋_GB2312"/>
          <w:b/>
          <w:bCs/>
          <w:sz w:val="32"/>
          <w:szCs w:val="32"/>
        </w:rPr>
        <w:t>绩效目标：</w:t>
      </w:r>
      <w:r>
        <w:rPr>
          <w:rFonts w:hint="eastAsia" w:ascii="仿宋_GB2312" w:eastAsia="仿宋_GB2312"/>
          <w:sz w:val="32"/>
          <w:szCs w:val="32"/>
        </w:rPr>
        <w:t>进一步弘扬主旋律、传播正能量，把廊坊市纪委监委网站建设成干部群众喜欢的政务网站、建设成权威高效安全的全市纪检监察门户网站，提高廊坊市纪委监委网站在全省的影响力和知名度，为全市纪检监察工作提供坚实的宣传保障。</w:t>
      </w:r>
    </w:p>
    <w:p w14:paraId="4EFC3531">
      <w:pPr>
        <w:spacing w:line="580" w:lineRule="exact"/>
        <w:ind w:firstLine="643" w:firstLineChars="200"/>
        <w:rPr>
          <w:rFonts w:ascii="仿宋_GB2312" w:eastAsia="仿宋_GB2312"/>
          <w:sz w:val="32"/>
          <w:szCs w:val="32"/>
        </w:rPr>
      </w:pPr>
      <w:r>
        <w:rPr>
          <w:rFonts w:eastAsia="仿宋_GB2312"/>
          <w:b/>
          <w:bCs/>
          <w:sz w:val="32"/>
          <w:szCs w:val="32"/>
        </w:rPr>
        <w:t>绩效指标：</w:t>
      </w:r>
      <w:r>
        <w:rPr>
          <w:rFonts w:hint="eastAsia" w:ascii="仿宋_GB2312" w:eastAsia="仿宋_GB2312"/>
          <w:sz w:val="32"/>
          <w:szCs w:val="32"/>
        </w:rPr>
        <w:t>2021年，聘用4名专业人员对网站进行日常信息整理、修改、发布；网站点击率达到150万。</w:t>
      </w:r>
    </w:p>
    <w:p w14:paraId="4C03E72E">
      <w:pPr>
        <w:spacing w:line="580" w:lineRule="exact"/>
        <w:ind w:firstLine="630"/>
        <w:rPr>
          <w:rFonts w:ascii="仿宋_GB2312" w:eastAsia="仿宋_GB2312"/>
          <w:b/>
          <w:bCs/>
          <w:sz w:val="32"/>
          <w:szCs w:val="32"/>
        </w:rPr>
      </w:pPr>
      <w:r>
        <w:rPr>
          <w:rFonts w:hint="eastAsia" w:ascii="仿宋_GB2312" w:eastAsia="仿宋_GB2312"/>
          <w:b/>
          <w:bCs/>
          <w:sz w:val="32"/>
          <w:szCs w:val="32"/>
        </w:rPr>
        <w:t>2.新闻媒体宣传及《廊坊纪检监察》杂志编印专项经费</w:t>
      </w:r>
    </w:p>
    <w:p w14:paraId="45DBC0EE">
      <w:pPr>
        <w:spacing w:line="580" w:lineRule="exact"/>
        <w:ind w:firstLine="639" w:firstLineChars="199"/>
        <w:rPr>
          <w:rFonts w:ascii="仿宋_GB2312" w:eastAsia="仿宋_GB2312"/>
          <w:sz w:val="32"/>
          <w:szCs w:val="32"/>
        </w:rPr>
      </w:pPr>
      <w:r>
        <w:rPr>
          <w:rFonts w:hint="eastAsia" w:ascii="仿宋_GB2312" w:hAnsi="仿宋" w:eastAsia="仿宋_GB2312"/>
          <w:b/>
          <w:sz w:val="32"/>
          <w:szCs w:val="32"/>
        </w:rPr>
        <w:t>绩效目标：</w:t>
      </w:r>
      <w:r>
        <w:rPr>
          <w:rFonts w:hint="eastAsia" w:ascii="仿宋_GB2312" w:eastAsia="仿宋_GB2312"/>
          <w:sz w:val="32"/>
          <w:szCs w:val="32"/>
        </w:rPr>
        <w:t>立足本年度查处的重大、典型案件，结合党员干部廉政教育实际，拍摄一批有温度、有力度的警示教育专题片，实现全市党员干部教育全覆盖。广泛发动纪检监察干部自发撰写一批优秀稿件，把杂志打造成全市纪检监察干部学习交流和展示工作经验的平台，不断扩大杂志影响力和知名度。</w:t>
      </w:r>
    </w:p>
    <w:p w14:paraId="2CA81CDC">
      <w:pPr>
        <w:spacing w:line="580" w:lineRule="exact"/>
        <w:ind w:firstLine="643" w:firstLineChars="200"/>
        <w:rPr>
          <w:rFonts w:ascii="仿宋_GB2312" w:eastAsia="仿宋_GB2312"/>
          <w:sz w:val="32"/>
          <w:szCs w:val="32"/>
        </w:rPr>
      </w:pPr>
      <w:r>
        <w:rPr>
          <w:rFonts w:hint="eastAsia" w:ascii="仿宋_GB2312" w:hAnsi="仿宋" w:eastAsia="仿宋_GB2312"/>
          <w:b/>
          <w:sz w:val="32"/>
          <w:szCs w:val="32"/>
        </w:rPr>
        <w:t>绩效指标</w:t>
      </w:r>
      <w:r>
        <w:rPr>
          <w:rFonts w:hint="eastAsia" w:ascii="仿宋_GB2312" w:eastAsia="仿宋_GB2312"/>
          <w:b/>
          <w:sz w:val="32"/>
          <w:szCs w:val="32"/>
        </w:rPr>
        <w:t>：</w:t>
      </w:r>
      <w:r>
        <w:rPr>
          <w:rFonts w:hint="eastAsia" w:ascii="仿宋_GB2312" w:eastAsia="仿宋_GB2312"/>
          <w:sz w:val="32"/>
          <w:szCs w:val="32"/>
        </w:rPr>
        <w:t>全年发行6次《廊坊纪检监察》杂志，面向各级机关单位、市委市政府、各县(市、区)及其辖乡镇以及省纪委监委、省直派驻机构和全国设区市纪委监委；制作时间不超过90分钟的警示教育记录片，用于对全市党员干部的警示教育工作。</w:t>
      </w:r>
    </w:p>
    <w:p w14:paraId="163E1275">
      <w:pPr>
        <w:spacing w:line="580" w:lineRule="exact"/>
        <w:ind w:firstLine="630"/>
        <w:rPr>
          <w:rFonts w:ascii="仿宋_GB2312" w:eastAsia="仿宋_GB2312"/>
          <w:b/>
          <w:bCs/>
          <w:sz w:val="32"/>
          <w:szCs w:val="32"/>
        </w:rPr>
      </w:pPr>
      <w:r>
        <w:rPr>
          <w:rFonts w:hint="eastAsia" w:ascii="仿宋_GB2312" w:eastAsia="仿宋_GB2312"/>
          <w:b/>
          <w:bCs/>
          <w:sz w:val="32"/>
          <w:szCs w:val="32"/>
        </w:rPr>
        <w:t>3.纪检监察信息化运行维护专项经费</w:t>
      </w:r>
    </w:p>
    <w:p w14:paraId="272CFE4C">
      <w:pPr>
        <w:spacing w:line="580"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绩效目标：</w:t>
      </w:r>
      <w:r>
        <w:rPr>
          <w:rFonts w:hint="eastAsia" w:ascii="仿宋_GB2312" w:hAnsi="仿宋" w:eastAsia="仿宋_GB2312"/>
          <w:sz w:val="32"/>
          <w:szCs w:val="32"/>
        </w:rPr>
        <w:t>对已经建成的信息化项目进行维护；根据省纪委监委建立领导干部廉政档案相关要求，按照市纪委监委主要领导意见，在全市建立市管干部廉政档案管理系统；加强档案管理，对各门类档案整理、扫描及维护，便于档案的标准化、规范化、安全化管理。</w:t>
      </w:r>
    </w:p>
    <w:p w14:paraId="1A2F4808">
      <w:pPr>
        <w:spacing w:line="580"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绩效指标：</w:t>
      </w:r>
      <w:r>
        <w:rPr>
          <w:rFonts w:hint="eastAsia" w:ascii="仿宋_GB2312" w:hAnsi="仿宋" w:eastAsia="仿宋_GB2312"/>
          <w:sz w:val="32"/>
          <w:szCs w:val="32"/>
        </w:rPr>
        <w:t>对3个信息化平台及设备进行维护，保证检举举报平台、档案管理等设备能够正常运转使用。</w:t>
      </w:r>
    </w:p>
    <w:p w14:paraId="36180519">
      <w:pPr>
        <w:spacing w:line="580" w:lineRule="exact"/>
        <w:ind w:firstLine="630"/>
        <w:rPr>
          <w:rFonts w:ascii="仿宋_GB2312" w:eastAsia="仿宋_GB2312"/>
          <w:b/>
          <w:bCs/>
          <w:sz w:val="32"/>
          <w:szCs w:val="32"/>
        </w:rPr>
      </w:pPr>
      <w:r>
        <w:rPr>
          <w:rFonts w:hint="eastAsia" w:ascii="仿宋_GB2312" w:eastAsia="仿宋_GB2312"/>
          <w:b/>
          <w:bCs/>
          <w:sz w:val="32"/>
          <w:szCs w:val="32"/>
        </w:rPr>
        <w:t>4.机关综合事务管理工作</w:t>
      </w:r>
    </w:p>
    <w:p w14:paraId="0E5944E1">
      <w:pPr>
        <w:spacing w:line="580"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绩效目标：</w:t>
      </w:r>
      <w:r>
        <w:rPr>
          <w:rFonts w:hint="eastAsia" w:ascii="仿宋_GB2312" w:hAnsi="仿宋" w:eastAsia="仿宋_GB2312"/>
          <w:sz w:val="32"/>
          <w:szCs w:val="32"/>
        </w:rPr>
        <w:t>保证市纪委监委能够正常运转，能够正常开展各项工作。</w:t>
      </w:r>
    </w:p>
    <w:p w14:paraId="3074B97D">
      <w:pPr>
        <w:spacing w:line="580" w:lineRule="exact"/>
        <w:ind w:firstLine="643" w:firstLineChars="200"/>
        <w:rPr>
          <w:rFonts w:ascii="仿宋_GB2312" w:hAnsi="仿宋" w:eastAsia="仿宋_GB2312"/>
          <w:sz w:val="32"/>
          <w:szCs w:val="32"/>
        </w:rPr>
      </w:pPr>
      <w:r>
        <w:rPr>
          <w:rFonts w:hint="eastAsia" w:ascii="仿宋_GB2312" w:hAnsi="仿宋" w:eastAsia="仿宋_GB2312"/>
          <w:b/>
          <w:sz w:val="32"/>
          <w:szCs w:val="32"/>
        </w:rPr>
        <w:t>绩效指标：</w:t>
      </w:r>
      <w:r>
        <w:rPr>
          <w:rFonts w:hint="eastAsia" w:ascii="仿宋_GB2312" w:hAnsi="仿宋" w:eastAsia="仿宋_GB2312"/>
          <w:sz w:val="32"/>
          <w:szCs w:val="32"/>
        </w:rPr>
        <w:t>全年组织并召开至少5次会议，主要包括市委反腐败领导协调小组工作例会，中、省纪委视频会、研讨会等会议；根据上级培训安排，全年至少参加4次培训；对全系统350名纪检工作人员进行体检，保障机关干部职工身体健康，确保机关纪检监察、巡视巡察等工作的正常运转；通过劳务派遣招聘至少25名派遣人员，专门服务于需要用车外出进行检查工作的纪检工作人员。</w:t>
      </w:r>
    </w:p>
    <w:p w14:paraId="7A60E497">
      <w:pPr>
        <w:spacing w:line="580" w:lineRule="exact"/>
        <w:ind w:firstLine="643" w:firstLineChars="200"/>
        <w:rPr>
          <w:rFonts w:ascii="仿宋_GB2312" w:eastAsia="仿宋_GB2312"/>
          <w:b/>
          <w:bCs/>
          <w:sz w:val="32"/>
          <w:szCs w:val="32"/>
        </w:rPr>
      </w:pPr>
    </w:p>
    <w:p w14:paraId="133E78B3">
      <w:pPr>
        <w:spacing w:line="580" w:lineRule="exact"/>
        <w:ind w:firstLine="643" w:firstLineChars="200"/>
        <w:rPr>
          <w:rFonts w:ascii="仿宋_GB2312" w:eastAsia="仿宋_GB2312"/>
          <w:b/>
          <w:bCs/>
          <w:sz w:val="32"/>
          <w:szCs w:val="32"/>
        </w:rPr>
      </w:pPr>
      <w:r>
        <w:rPr>
          <w:rFonts w:hint="eastAsia" w:ascii="仿宋_GB2312" w:eastAsia="仿宋_GB2312"/>
          <w:b/>
          <w:bCs/>
          <w:sz w:val="32"/>
          <w:szCs w:val="32"/>
        </w:rPr>
        <w:t>旧州管理中心</w:t>
      </w:r>
    </w:p>
    <w:p w14:paraId="62195B7B">
      <w:pPr>
        <w:spacing w:line="580" w:lineRule="exact"/>
        <w:ind w:firstLine="630"/>
        <w:rPr>
          <w:rFonts w:ascii="仿宋_GB2312" w:eastAsia="仿宋_GB2312"/>
          <w:b/>
          <w:bCs/>
          <w:sz w:val="32"/>
          <w:szCs w:val="32"/>
        </w:rPr>
      </w:pPr>
      <w:r>
        <w:rPr>
          <w:rFonts w:hint="eastAsia" w:ascii="仿宋_GB2312" w:eastAsia="仿宋_GB2312"/>
          <w:b/>
          <w:bCs/>
          <w:sz w:val="32"/>
          <w:szCs w:val="32"/>
        </w:rPr>
        <w:t>1．基地运行经费</w:t>
      </w:r>
    </w:p>
    <w:p w14:paraId="3DA0EF71">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：通过项目的开展实现充分保障中心设备设施正常运转，保障中央、省、市县纪委留置办案工作顺利完成。</w:t>
      </w:r>
    </w:p>
    <w:p w14:paraId="674D484F">
      <w:pPr>
        <w:spacing w:line="520" w:lineRule="exact"/>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 xml:space="preserve">    绩效指标：</w:t>
      </w:r>
      <w:r>
        <w:rPr>
          <w:rFonts w:hint="eastAsia" w:ascii="Times New Roman" w:hAnsi="Times New Roman" w:eastAsia="仿宋_GB2312" w:cs="Times New Roman"/>
          <w:sz w:val="32"/>
          <w:szCs w:val="32"/>
        </w:rPr>
        <w:t>日常运转保障2.4万平米建筑面积，维修保养达到合格标准，能够充分满足进驻专案工作要求。</w:t>
      </w:r>
    </w:p>
    <w:p w14:paraId="2B9D819D">
      <w:pPr>
        <w:spacing w:line="580" w:lineRule="exact"/>
        <w:ind w:firstLine="630"/>
        <w:rPr>
          <w:rFonts w:ascii="仿宋_GB2312" w:eastAsia="仿宋_GB2312"/>
          <w:b/>
          <w:bCs/>
          <w:sz w:val="32"/>
          <w:szCs w:val="32"/>
        </w:rPr>
      </w:pPr>
      <w:r>
        <w:rPr>
          <w:rFonts w:hint="eastAsia" w:ascii="仿宋_GB2312" w:eastAsia="仿宋_GB2312"/>
          <w:b/>
          <w:bCs/>
          <w:sz w:val="32"/>
          <w:szCs w:val="32"/>
        </w:rPr>
        <w:t>2．基地业务经费</w:t>
      </w:r>
    </w:p>
    <w:p w14:paraId="290E94D2">
      <w:pPr>
        <w:spacing w:line="520" w:lineRule="exact"/>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：通过项目的开展实现充分保障中心设备设施正常运转，保障中央、省、市纪委留置办案工作顺利完成。</w:t>
      </w:r>
    </w:p>
    <w:p w14:paraId="04D65C71">
      <w:pPr>
        <w:spacing w:line="520" w:lineRule="exact"/>
        <w:ind w:firstLine="63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绩效指标：</w:t>
      </w:r>
      <w:r>
        <w:rPr>
          <w:rFonts w:hint="eastAsia" w:ascii="Times New Roman" w:hAnsi="Times New Roman" w:eastAsia="仿宋_GB2312" w:cs="Times New Roman"/>
          <w:sz w:val="32"/>
          <w:szCs w:val="32"/>
        </w:rPr>
        <w:t>日常运转保障2.4万平米建筑面积，维修保养达到合格标准，能够充分满足进驻专案工作要求。</w:t>
      </w:r>
    </w:p>
    <w:p w14:paraId="3C38332E">
      <w:pPr>
        <w:spacing w:line="520" w:lineRule="exact"/>
        <w:ind w:firstLine="630"/>
        <w:rPr>
          <w:rFonts w:ascii="Times New Roman" w:hAnsi="Times New Roman" w:eastAsia="仿宋_GB2312" w:cs="Times New Roman"/>
          <w:b/>
          <w:bCs/>
          <w:sz w:val="32"/>
          <w:szCs w:val="32"/>
        </w:rPr>
      </w:pPr>
      <w:r>
        <w:rPr>
          <w:rFonts w:hint="eastAsia" w:ascii="仿宋_GB2312" w:eastAsia="仿宋_GB2312"/>
          <w:b/>
          <w:bCs/>
          <w:sz w:val="32"/>
          <w:szCs w:val="32"/>
        </w:rPr>
        <w:t>3．办案综合保障经费</w:t>
      </w:r>
    </w:p>
    <w:p w14:paraId="361BDB9F">
      <w:pPr>
        <w:spacing w:line="584" w:lineRule="exact"/>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 绩效目标：</w:t>
      </w:r>
      <w:r>
        <w:rPr>
          <w:rFonts w:hint="eastAsia" w:ascii="Times New Roman" w:hAnsi="Times New Roman" w:eastAsia="仿宋_GB2312" w:cs="Times New Roman"/>
          <w:sz w:val="32"/>
          <w:szCs w:val="32"/>
        </w:rPr>
        <w:t>通过项目的开展实现餐厅产品口味优良、卫生可靠、营养丰富，人员政治可靠、技能过硬，保障中央、省、市纪委留置办案工作顺利完成。</w:t>
      </w:r>
    </w:p>
    <w:p w14:paraId="56956286">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绩效指标</w:t>
      </w:r>
      <w:r>
        <w:rPr>
          <w:rFonts w:hint="eastAsia" w:ascii="Times New Roman" w:hAnsi="Times New Roman" w:eastAsia="仿宋_GB2312" w:cs="Times New Roman"/>
          <w:sz w:val="32"/>
          <w:szCs w:val="32"/>
        </w:rPr>
        <w:t>：聘用工作人员数量超过120人，保证队伍整体稳定、人员流失率低于30%，执行任务履职尽责，驻中心人员对服务保障工作基本满意。</w:t>
      </w:r>
    </w:p>
    <w:p w14:paraId="6255E78F">
      <w:pPr>
        <w:spacing w:line="520" w:lineRule="exact"/>
        <w:ind w:firstLine="643" w:firstLineChars="200"/>
        <w:rPr>
          <w:rFonts w:ascii="Times New Roman" w:hAnsi="Times New Roman" w:eastAsia="仿宋_GB2312" w:cs="Times New Roman"/>
          <w:sz w:val="32"/>
          <w:szCs w:val="32"/>
        </w:rPr>
      </w:pPr>
      <w:r>
        <w:rPr>
          <w:rFonts w:hint="eastAsia" w:ascii="仿宋_GB2312" w:eastAsia="仿宋_GB2312"/>
          <w:b/>
          <w:bCs/>
          <w:sz w:val="32"/>
          <w:szCs w:val="32"/>
        </w:rPr>
        <w:t>4．设备购置经费</w:t>
      </w:r>
    </w:p>
    <w:p w14:paraId="4EE6068A">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通过本项目实施满足院区监控设备正常运行，亮化灯设施安全，满足需求。</w:t>
      </w:r>
    </w:p>
    <w:p w14:paraId="6C5BF076">
      <w:pPr>
        <w:spacing w:line="584" w:lineRule="exact"/>
        <w:ind w:firstLine="63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绩效指标：</w:t>
      </w:r>
      <w:r>
        <w:rPr>
          <w:rFonts w:hint="eastAsia" w:ascii="Times New Roman" w:hAnsi="Times New Roman" w:eastAsia="仿宋_GB2312" w:cs="Times New Roman"/>
          <w:sz w:val="32"/>
          <w:szCs w:val="32"/>
        </w:rPr>
        <w:t>预计2021年拟采购设备数量689台，设备验收100%合格，通过项目实施为留置工作提供保障。</w:t>
      </w:r>
    </w:p>
    <w:p w14:paraId="1A22FB5B">
      <w:pPr>
        <w:spacing w:line="584" w:lineRule="exact"/>
        <w:ind w:firstLine="630"/>
        <w:rPr>
          <w:rFonts w:ascii="Times New Roman" w:hAnsi="Times New Roman" w:eastAsia="仿宋_GB2312" w:cs="Times New Roman"/>
          <w:b/>
          <w:bCs/>
          <w:sz w:val="32"/>
          <w:szCs w:val="32"/>
        </w:rPr>
      </w:pPr>
      <w:r>
        <w:rPr>
          <w:rFonts w:hint="eastAsia" w:ascii="仿宋_GB2312" w:eastAsia="仿宋_GB2312"/>
          <w:b/>
          <w:bCs/>
          <w:sz w:val="32"/>
          <w:szCs w:val="32"/>
        </w:rPr>
        <w:t>5．特殊通道土地租赁经费</w:t>
      </w:r>
    </w:p>
    <w:p w14:paraId="5FEED36A">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：通过本项目实施保障特殊通道顺畅，满足办案安全需求。</w:t>
      </w:r>
    </w:p>
    <w:p w14:paraId="037E7FCB">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绩效指标</w:t>
      </w:r>
      <w:r>
        <w:rPr>
          <w:rFonts w:hint="eastAsia" w:ascii="Times New Roman" w:hAnsi="Times New Roman" w:eastAsia="仿宋_GB2312" w:cs="Times New Roman"/>
          <w:sz w:val="32"/>
          <w:szCs w:val="32"/>
        </w:rPr>
        <w:t>：有效保障特殊通道使用，占地数不低于1.25亩，避免因占地事项产生信访维稳事件，通过项目实施为留置工作特殊通道安全提供保障。</w:t>
      </w:r>
    </w:p>
    <w:p w14:paraId="7A527004">
      <w:pPr>
        <w:spacing w:line="584" w:lineRule="exact"/>
        <w:ind w:firstLine="630"/>
        <w:rPr>
          <w:rFonts w:ascii="楷体_GB2312" w:eastAsia="楷体_GB2312" w:cs="Times New Roman"/>
          <w:b/>
          <w:sz w:val="32"/>
          <w:szCs w:val="32"/>
        </w:rPr>
      </w:pPr>
      <w:r>
        <w:rPr>
          <w:rFonts w:hint="eastAsia" w:ascii="仿宋_GB2312" w:eastAsia="仿宋_GB2312"/>
          <w:b/>
          <w:bCs/>
          <w:sz w:val="32"/>
          <w:szCs w:val="32"/>
        </w:rPr>
        <w:t>6．中心维修改造经费</w:t>
      </w:r>
    </w:p>
    <w:p w14:paraId="4C321B76">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绩效目标</w:t>
      </w:r>
      <w:r>
        <w:rPr>
          <w:rFonts w:hint="eastAsia" w:ascii="Times New Roman" w:hAnsi="Times New Roman" w:eastAsia="仿宋_GB2312" w:cs="Times New Roman"/>
          <w:sz w:val="32"/>
          <w:szCs w:val="32"/>
        </w:rPr>
        <w:t>：通过项目的开展实现充分保障中心设备设施正常运转，保障中央、省、市纪委留置办案工作顺利完成。</w:t>
      </w:r>
    </w:p>
    <w:p w14:paraId="18078152">
      <w:pPr>
        <w:spacing w:line="52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绩效指标：</w:t>
      </w:r>
      <w:r>
        <w:rPr>
          <w:rFonts w:hint="eastAsia" w:ascii="Times New Roman" w:hAnsi="Times New Roman" w:eastAsia="仿宋_GB2312" w:cs="Times New Roman"/>
          <w:sz w:val="32"/>
          <w:szCs w:val="32"/>
        </w:rPr>
        <w:t>建筑面积不少于860平米，工程验收100%合格，确保工程质量且按期完成，满足办案安全及办案人员生活环境需求。</w:t>
      </w:r>
    </w:p>
    <w:p w14:paraId="592EED7C">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6CB53F47">
      <w:pPr>
        <w:spacing w:line="580" w:lineRule="exact"/>
        <w:ind w:firstLine="643" w:firstLineChars="200"/>
        <w:rPr>
          <w:rFonts w:ascii="仿宋_GB2312" w:hAnsi="仿宋" w:eastAsia="仿宋_GB2312"/>
          <w:bCs/>
          <w:sz w:val="32"/>
          <w:szCs w:val="32"/>
        </w:rPr>
      </w:pPr>
      <w:r>
        <w:rPr>
          <w:rFonts w:hint="eastAsia" w:ascii="仿宋_GB2312" w:eastAsia="仿宋_GB2312"/>
          <w:b/>
          <w:bCs/>
          <w:sz w:val="32"/>
          <w:szCs w:val="32"/>
        </w:rPr>
        <w:t>1.完善制度建设。</w:t>
      </w:r>
      <w:r>
        <w:rPr>
          <w:rFonts w:hint="eastAsia" w:ascii="仿宋_GB2312" w:hAnsi="仿宋" w:eastAsia="仿宋_GB2312"/>
          <w:bCs/>
          <w:sz w:val="32"/>
          <w:szCs w:val="32"/>
        </w:rPr>
        <w:t>制定廊坊市纪委监委预算绩效管理办法，成立由主要负责同志任组长、相关分管领导任副组长、各科室负责同志为成员的预算绩效管理工作领导小组。</w:t>
      </w:r>
    </w:p>
    <w:p w14:paraId="4A3291C1">
      <w:pPr>
        <w:spacing w:line="580" w:lineRule="exact"/>
        <w:ind w:firstLine="643" w:firstLineChars="200"/>
        <w:rPr>
          <w:rFonts w:ascii="仿宋_GB2312" w:hAnsi="仿宋" w:eastAsia="仿宋_GB2312"/>
          <w:bCs/>
          <w:sz w:val="32"/>
          <w:szCs w:val="32"/>
        </w:rPr>
      </w:pPr>
      <w:r>
        <w:rPr>
          <w:rFonts w:hint="eastAsia" w:ascii="仿宋_GB2312" w:eastAsia="仿宋_GB2312"/>
          <w:b/>
          <w:bCs/>
          <w:sz w:val="32"/>
          <w:szCs w:val="32"/>
        </w:rPr>
        <w:t>2.加强支出管理。</w:t>
      </w:r>
      <w:r>
        <w:rPr>
          <w:rFonts w:hint="eastAsia" w:ascii="仿宋_GB2312" w:hAnsi="仿宋" w:eastAsia="仿宋_GB2312"/>
          <w:bCs/>
          <w:sz w:val="32"/>
          <w:szCs w:val="32"/>
        </w:rPr>
        <w:t>不断调整优化支出结构；财务科根据单位实际需要编细编实预算，提高预算编制的科学性。严格按照《预算法》的要求，强化预算执行的严肃性，杜绝预算管理的随意性，没有列入预算的项目不得列支，超预算范围、超预算额度的，一律不得开支。强化预算执行的合法合规意识和绩效意识，提高财政资金使用效益。</w:t>
      </w:r>
    </w:p>
    <w:p w14:paraId="0A2A728B">
      <w:pPr>
        <w:spacing w:line="580" w:lineRule="exact"/>
        <w:ind w:firstLine="643" w:firstLineChars="200"/>
        <w:rPr>
          <w:rFonts w:ascii="仿宋_GB2312" w:hAnsi="仿宋" w:eastAsia="仿宋_GB2312"/>
          <w:sz w:val="32"/>
          <w:szCs w:val="32"/>
        </w:rPr>
      </w:pPr>
      <w:r>
        <w:rPr>
          <w:rFonts w:hint="eastAsia" w:ascii="仿宋_GB2312" w:eastAsia="仿宋_GB2312"/>
          <w:b/>
          <w:bCs/>
          <w:sz w:val="32"/>
          <w:szCs w:val="32"/>
        </w:rPr>
        <w:t>3.加强绩效运行监控。</w:t>
      </w:r>
      <w:r>
        <w:rPr>
          <w:rFonts w:hint="eastAsia" w:ascii="仿宋_GB2312" w:hAnsi="仿宋" w:eastAsia="仿宋_GB2312"/>
          <w:bCs/>
          <w:sz w:val="32"/>
          <w:szCs w:val="32"/>
        </w:rPr>
        <w:t>财务科在预算执行全阶段，要严格执行支出承诺制度，根据年初资金支出计划，对本单位政策和项目执行进度开展月度监控，指导、督促本单位开展预算执行进度监控，确保财政资金按计划支出，提高资金使用效益。</w:t>
      </w:r>
    </w:p>
    <w:p w14:paraId="5938EA30">
      <w:pPr>
        <w:spacing w:line="580" w:lineRule="exact"/>
        <w:ind w:firstLine="643" w:firstLineChars="200"/>
        <w:rPr>
          <w:rFonts w:ascii="仿宋_GB2312" w:hAnsi="仿宋" w:eastAsia="仿宋_GB2312"/>
          <w:sz w:val="32"/>
          <w:szCs w:val="32"/>
        </w:rPr>
      </w:pPr>
      <w:r>
        <w:rPr>
          <w:rFonts w:hint="eastAsia" w:ascii="仿宋_GB2312" w:eastAsia="仿宋_GB2312"/>
          <w:b/>
          <w:bCs/>
          <w:sz w:val="32"/>
          <w:szCs w:val="32"/>
        </w:rPr>
        <w:t>4.做好绩效自评。</w:t>
      </w:r>
      <w:r>
        <w:rPr>
          <w:rFonts w:hint="eastAsia" w:ascii="仿宋_GB2312" w:hAnsi="仿宋" w:eastAsia="仿宋_GB2312"/>
          <w:bCs/>
          <w:sz w:val="32"/>
          <w:szCs w:val="32"/>
        </w:rPr>
        <w:t>办公室会同各科室</w:t>
      </w:r>
      <w:r>
        <w:rPr>
          <w:rFonts w:hint="eastAsia" w:ascii="仿宋_GB2312" w:hAnsi="仿宋" w:eastAsia="仿宋_GB2312"/>
          <w:sz w:val="32"/>
          <w:szCs w:val="32"/>
        </w:rPr>
        <w:t>根据年初确定的整体绩效目标，对本单位使用财政资金所实现的整体产出和效果开展年度自评，指导所属单位开展本单位整体绩效自评工作，对评价中发现的问题及时整改，不断优化支出结构，提高财政资金的使用效益。</w:t>
      </w:r>
    </w:p>
    <w:p w14:paraId="220620E0">
      <w:pPr>
        <w:spacing w:line="580" w:lineRule="exact"/>
        <w:ind w:firstLine="643" w:firstLineChars="200"/>
        <w:rPr>
          <w:rFonts w:ascii="仿宋_GB2312" w:hAnsi="仿宋" w:eastAsia="仿宋_GB2312"/>
          <w:sz w:val="32"/>
          <w:szCs w:val="32"/>
        </w:rPr>
      </w:pPr>
      <w:r>
        <w:rPr>
          <w:rFonts w:hint="eastAsia" w:ascii="仿宋_GB2312" w:eastAsia="仿宋_GB2312"/>
          <w:b/>
          <w:bCs/>
          <w:sz w:val="32"/>
          <w:szCs w:val="32"/>
        </w:rPr>
        <w:t>5.规范财务资产管理。</w:t>
      </w:r>
      <w:r>
        <w:rPr>
          <w:rFonts w:hint="eastAsia" w:ascii="仿宋_GB2312" w:hAnsi="仿宋" w:eastAsia="仿宋_GB2312"/>
          <w:sz w:val="32"/>
          <w:szCs w:val="32"/>
        </w:rPr>
        <w:t>完善市纪委监委财务管理制度，严格审批程序，切实加强对项目经费开支的审核和控制，加强固定资产登记、使用和报废处置管理，做到支出合理，物尽其用。</w:t>
      </w:r>
    </w:p>
    <w:p w14:paraId="606C31CC">
      <w:pPr>
        <w:spacing w:line="580" w:lineRule="exact"/>
        <w:ind w:firstLine="643" w:firstLineChars="200"/>
        <w:rPr>
          <w:rFonts w:ascii="仿宋_GB2312" w:hAnsi="仿宋" w:eastAsia="仿宋_GB2312"/>
          <w:b/>
          <w:bCs/>
          <w:sz w:val="32"/>
          <w:szCs w:val="32"/>
        </w:rPr>
      </w:pPr>
      <w:r>
        <w:rPr>
          <w:rFonts w:hint="eastAsia" w:ascii="仿宋_GB2312" w:eastAsia="仿宋_GB2312"/>
          <w:b/>
          <w:bCs/>
          <w:sz w:val="32"/>
          <w:szCs w:val="32"/>
        </w:rPr>
        <w:t>6.加强内部监督。</w:t>
      </w:r>
      <w:r>
        <w:rPr>
          <w:rFonts w:hint="eastAsia" w:ascii="仿宋_GB2312" w:hAnsi="仿宋" w:eastAsia="仿宋_GB2312"/>
          <w:sz w:val="32"/>
          <w:szCs w:val="32"/>
        </w:rPr>
        <w:t>加强内部监督制度建设，对绩效运行情况、重大支出决策、资产处置及其他重要经济业务事项的决策和执行进行督导，对会计资料进行内部审计，并配合做好审计、财政监督等外部监督工作，确保财政资金安全有效。</w:t>
      </w:r>
    </w:p>
    <w:p w14:paraId="7CB211BE">
      <w:pPr>
        <w:spacing w:line="580" w:lineRule="exact"/>
        <w:ind w:firstLine="643" w:firstLineChars="200"/>
        <w:rPr>
          <w:rFonts w:ascii="仿宋_GB2312" w:hAnsi="仿宋" w:eastAsia="仿宋_GB2312"/>
          <w:sz w:val="32"/>
          <w:szCs w:val="32"/>
        </w:rPr>
      </w:pPr>
      <w:r>
        <w:rPr>
          <w:rFonts w:hint="eastAsia" w:ascii="仿宋_GB2312" w:eastAsia="仿宋_GB2312"/>
          <w:b/>
          <w:bCs/>
          <w:sz w:val="32"/>
          <w:szCs w:val="32"/>
        </w:rPr>
        <w:t>7.加强宣传培训调研等。</w:t>
      </w:r>
      <w:r>
        <w:rPr>
          <w:rFonts w:hint="eastAsia" w:ascii="仿宋_GB2312" w:hAnsi="仿宋" w:eastAsia="仿宋_GB2312"/>
          <w:sz w:val="32"/>
          <w:szCs w:val="32"/>
        </w:rPr>
        <w:t>加强人员培训，提高本单位职工业务素质；加强调研，提出优化财政资金配置、提高资金使用效益的意见和建议；加大宣传力度，强化预算绩效管理意识，促进预算绩效管理水平进一步提升。</w:t>
      </w:r>
    </w:p>
    <w:p w14:paraId="124D613E">
      <w:pPr>
        <w:overflowPunct w:val="0"/>
        <w:adjustRightInd w:val="0"/>
        <w:snapToGrid w:val="0"/>
        <w:spacing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W w:w="9640" w:type="dxa"/>
        <w:tblInd w:w="25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850"/>
        <w:gridCol w:w="992"/>
        <w:gridCol w:w="1543"/>
        <w:gridCol w:w="1426"/>
        <w:gridCol w:w="842"/>
        <w:gridCol w:w="850"/>
        <w:gridCol w:w="851"/>
        <w:gridCol w:w="1418"/>
      </w:tblGrid>
      <w:tr w14:paraId="38134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blHeader/>
        </w:trPr>
        <w:tc>
          <w:tcPr>
            <w:tcW w:w="868" w:type="dxa"/>
            <w:vMerge w:val="restart"/>
            <w:shd w:val="clear" w:color="auto" w:fill="auto"/>
            <w:vAlign w:val="center"/>
          </w:tcPr>
          <w:p w14:paraId="4939D8D9">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一级指标</w:t>
            </w:r>
          </w:p>
        </w:tc>
        <w:tc>
          <w:tcPr>
            <w:tcW w:w="850" w:type="dxa"/>
            <w:vMerge w:val="restart"/>
            <w:shd w:val="clear" w:color="auto" w:fill="auto"/>
            <w:vAlign w:val="center"/>
          </w:tcPr>
          <w:p w14:paraId="221512EE">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二级指标</w:t>
            </w:r>
          </w:p>
        </w:tc>
        <w:tc>
          <w:tcPr>
            <w:tcW w:w="992" w:type="dxa"/>
            <w:vMerge w:val="restart"/>
            <w:shd w:val="clear" w:color="auto" w:fill="auto"/>
            <w:vAlign w:val="center"/>
          </w:tcPr>
          <w:p w14:paraId="4C7EFB7B">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三级指标</w:t>
            </w:r>
          </w:p>
        </w:tc>
        <w:tc>
          <w:tcPr>
            <w:tcW w:w="1543" w:type="dxa"/>
            <w:vMerge w:val="restart"/>
            <w:shd w:val="clear" w:color="auto" w:fill="auto"/>
            <w:vAlign w:val="center"/>
          </w:tcPr>
          <w:p w14:paraId="62282C1F">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评（扣）分标准</w:t>
            </w:r>
          </w:p>
        </w:tc>
        <w:tc>
          <w:tcPr>
            <w:tcW w:w="1426" w:type="dxa"/>
            <w:vMerge w:val="restart"/>
            <w:shd w:val="clear" w:color="auto" w:fill="auto"/>
            <w:vAlign w:val="center"/>
          </w:tcPr>
          <w:p w14:paraId="2E1BA7C9">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绩效指标描述</w:t>
            </w:r>
          </w:p>
        </w:tc>
        <w:tc>
          <w:tcPr>
            <w:tcW w:w="2543" w:type="dxa"/>
            <w:gridSpan w:val="3"/>
            <w:shd w:val="clear" w:color="auto" w:fill="auto"/>
            <w:vAlign w:val="center"/>
          </w:tcPr>
          <w:p w14:paraId="10C481DB">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指标值</w:t>
            </w:r>
          </w:p>
        </w:tc>
        <w:tc>
          <w:tcPr>
            <w:tcW w:w="1418" w:type="dxa"/>
            <w:vMerge w:val="restart"/>
            <w:shd w:val="clear" w:color="auto" w:fill="auto"/>
            <w:vAlign w:val="center"/>
          </w:tcPr>
          <w:p w14:paraId="1D06632E">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指标值确定依据</w:t>
            </w:r>
          </w:p>
        </w:tc>
      </w:tr>
      <w:tr w14:paraId="7A27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blHeader/>
        </w:trPr>
        <w:tc>
          <w:tcPr>
            <w:tcW w:w="868" w:type="dxa"/>
            <w:vMerge w:val="continue"/>
            <w:vAlign w:val="center"/>
          </w:tcPr>
          <w:p w14:paraId="16D74CF6">
            <w:pPr>
              <w:widowControl/>
              <w:adjustRightInd w:val="0"/>
              <w:snapToGrid w:val="0"/>
              <w:jc w:val="center"/>
              <w:rPr>
                <w:rFonts w:ascii="方正书宋_GBK" w:eastAsia="方正书宋_GBK"/>
                <w:b/>
                <w:sz w:val="28"/>
                <w:szCs w:val="28"/>
              </w:rPr>
            </w:pPr>
          </w:p>
        </w:tc>
        <w:tc>
          <w:tcPr>
            <w:tcW w:w="850" w:type="dxa"/>
            <w:vMerge w:val="continue"/>
            <w:vAlign w:val="center"/>
          </w:tcPr>
          <w:p w14:paraId="059CF138">
            <w:pPr>
              <w:widowControl/>
              <w:adjustRightInd w:val="0"/>
              <w:snapToGrid w:val="0"/>
              <w:jc w:val="center"/>
              <w:rPr>
                <w:rFonts w:ascii="方正书宋_GBK" w:eastAsia="方正书宋_GBK"/>
                <w:b/>
                <w:sz w:val="28"/>
                <w:szCs w:val="28"/>
              </w:rPr>
            </w:pPr>
          </w:p>
        </w:tc>
        <w:tc>
          <w:tcPr>
            <w:tcW w:w="992" w:type="dxa"/>
            <w:vMerge w:val="continue"/>
            <w:vAlign w:val="center"/>
          </w:tcPr>
          <w:p w14:paraId="03495CD3">
            <w:pPr>
              <w:widowControl/>
              <w:adjustRightInd w:val="0"/>
              <w:snapToGrid w:val="0"/>
              <w:jc w:val="center"/>
              <w:rPr>
                <w:rFonts w:ascii="方正书宋_GBK" w:eastAsia="方正书宋_GBK"/>
                <w:b/>
                <w:sz w:val="28"/>
                <w:szCs w:val="28"/>
              </w:rPr>
            </w:pPr>
          </w:p>
        </w:tc>
        <w:tc>
          <w:tcPr>
            <w:tcW w:w="1543" w:type="dxa"/>
            <w:vMerge w:val="continue"/>
            <w:vAlign w:val="center"/>
          </w:tcPr>
          <w:p w14:paraId="16EA317B">
            <w:pPr>
              <w:widowControl/>
              <w:adjustRightInd w:val="0"/>
              <w:snapToGrid w:val="0"/>
              <w:jc w:val="center"/>
              <w:rPr>
                <w:rFonts w:ascii="方正书宋_GBK" w:eastAsia="方正书宋_GBK"/>
                <w:b/>
                <w:sz w:val="28"/>
                <w:szCs w:val="28"/>
              </w:rPr>
            </w:pPr>
          </w:p>
        </w:tc>
        <w:tc>
          <w:tcPr>
            <w:tcW w:w="1426" w:type="dxa"/>
            <w:vMerge w:val="continue"/>
            <w:vAlign w:val="center"/>
          </w:tcPr>
          <w:p w14:paraId="212FC3A4">
            <w:pPr>
              <w:widowControl/>
              <w:adjustRightInd w:val="0"/>
              <w:snapToGrid w:val="0"/>
              <w:jc w:val="center"/>
              <w:rPr>
                <w:rFonts w:ascii="方正书宋_GBK" w:eastAsia="方正书宋_GBK"/>
                <w:b/>
                <w:sz w:val="28"/>
                <w:szCs w:val="28"/>
              </w:rPr>
            </w:pPr>
          </w:p>
        </w:tc>
        <w:tc>
          <w:tcPr>
            <w:tcW w:w="842" w:type="dxa"/>
            <w:shd w:val="clear" w:color="auto" w:fill="auto"/>
            <w:vAlign w:val="center"/>
          </w:tcPr>
          <w:p w14:paraId="1C863189">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符号</w:t>
            </w:r>
          </w:p>
        </w:tc>
        <w:tc>
          <w:tcPr>
            <w:tcW w:w="850" w:type="dxa"/>
            <w:shd w:val="clear" w:color="auto" w:fill="auto"/>
            <w:vAlign w:val="center"/>
          </w:tcPr>
          <w:p w14:paraId="655DAA58">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值</w:t>
            </w:r>
          </w:p>
        </w:tc>
        <w:tc>
          <w:tcPr>
            <w:tcW w:w="851" w:type="dxa"/>
            <w:shd w:val="clear" w:color="auto" w:fill="auto"/>
            <w:vAlign w:val="center"/>
          </w:tcPr>
          <w:p w14:paraId="3EB9244F">
            <w:pPr>
              <w:widowControl/>
              <w:adjustRightInd w:val="0"/>
              <w:snapToGrid w:val="0"/>
              <w:jc w:val="center"/>
              <w:rPr>
                <w:rFonts w:ascii="方正书宋_GBK" w:eastAsia="方正书宋_GBK"/>
                <w:b/>
                <w:sz w:val="28"/>
                <w:szCs w:val="28"/>
              </w:rPr>
            </w:pPr>
            <w:r>
              <w:rPr>
                <w:rFonts w:hint="eastAsia" w:ascii="方正书宋_GBK" w:eastAsia="方正书宋_GBK"/>
                <w:b/>
                <w:sz w:val="28"/>
                <w:szCs w:val="28"/>
              </w:rPr>
              <w:t>单位</w:t>
            </w:r>
          </w:p>
        </w:tc>
        <w:tc>
          <w:tcPr>
            <w:tcW w:w="1418" w:type="dxa"/>
            <w:vMerge w:val="continue"/>
            <w:vAlign w:val="center"/>
          </w:tcPr>
          <w:p w14:paraId="17F3578A">
            <w:pPr>
              <w:widowControl/>
              <w:adjustRightInd w:val="0"/>
              <w:snapToGrid w:val="0"/>
              <w:jc w:val="center"/>
              <w:rPr>
                <w:rFonts w:ascii="方正书宋_GBK" w:eastAsia="方正书宋_GBK"/>
                <w:b/>
                <w:sz w:val="28"/>
                <w:szCs w:val="28"/>
              </w:rPr>
            </w:pPr>
          </w:p>
        </w:tc>
      </w:tr>
      <w:tr w14:paraId="3BBBA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4" w:hRule="atLeast"/>
        </w:trPr>
        <w:tc>
          <w:tcPr>
            <w:tcW w:w="868" w:type="dxa"/>
            <w:vMerge w:val="restart"/>
            <w:shd w:val="clear" w:color="auto" w:fill="auto"/>
            <w:vAlign w:val="center"/>
          </w:tcPr>
          <w:p w14:paraId="745B18A0">
            <w:pPr>
              <w:widowControl/>
              <w:adjustRightInd w:val="0"/>
              <w:snapToGrid w:val="0"/>
              <w:jc w:val="center"/>
              <w:rPr>
                <w:rFonts w:ascii="仿宋_GB2312" w:eastAsia="仿宋_GB2312"/>
                <w:sz w:val="28"/>
                <w:szCs w:val="28"/>
              </w:rPr>
            </w:pPr>
            <w:r>
              <w:rPr>
                <w:rFonts w:hint="eastAsia" w:ascii="仿宋_GB2312" w:eastAsia="仿宋_GB2312"/>
                <w:sz w:val="28"/>
                <w:szCs w:val="28"/>
              </w:rPr>
              <w:t>单位产出</w:t>
            </w:r>
          </w:p>
        </w:tc>
        <w:tc>
          <w:tcPr>
            <w:tcW w:w="850" w:type="dxa"/>
            <w:vMerge w:val="restart"/>
            <w:shd w:val="clear" w:color="auto" w:fill="auto"/>
            <w:vAlign w:val="center"/>
          </w:tcPr>
          <w:p w14:paraId="2784D025">
            <w:pPr>
              <w:widowControl/>
              <w:adjustRightInd w:val="0"/>
              <w:snapToGrid w:val="0"/>
              <w:jc w:val="center"/>
              <w:rPr>
                <w:rFonts w:ascii="仿宋_GB2312" w:eastAsia="仿宋_GB2312"/>
                <w:sz w:val="28"/>
                <w:szCs w:val="28"/>
              </w:rPr>
            </w:pPr>
            <w:r>
              <w:rPr>
                <w:rFonts w:hint="eastAsia" w:ascii="仿宋_GB2312" w:eastAsia="仿宋_GB2312"/>
                <w:sz w:val="28"/>
                <w:szCs w:val="28"/>
              </w:rPr>
              <w:t>数量</w:t>
            </w:r>
          </w:p>
        </w:tc>
        <w:tc>
          <w:tcPr>
            <w:tcW w:w="992" w:type="dxa"/>
            <w:shd w:val="clear" w:color="auto" w:fill="auto"/>
            <w:noWrap/>
            <w:vAlign w:val="center"/>
          </w:tcPr>
          <w:p w14:paraId="7E2DD9F3">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教育片时长</w:t>
            </w:r>
          </w:p>
        </w:tc>
        <w:tc>
          <w:tcPr>
            <w:tcW w:w="1543" w:type="dxa"/>
            <w:shd w:val="clear" w:color="auto" w:fill="auto"/>
            <w:vAlign w:val="center"/>
          </w:tcPr>
          <w:p w14:paraId="77664BB1">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实际值与目标值一致得权重分的100%，每增加时长10%扣权重分值的10%，超过总时长的50%不得分</w:t>
            </w:r>
          </w:p>
        </w:tc>
        <w:tc>
          <w:tcPr>
            <w:tcW w:w="1426" w:type="dxa"/>
            <w:shd w:val="clear" w:color="auto" w:fill="auto"/>
            <w:vAlign w:val="center"/>
          </w:tcPr>
          <w:p w14:paraId="1333ECBC">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考察警示教育片时间长度的情况</w:t>
            </w:r>
          </w:p>
        </w:tc>
        <w:tc>
          <w:tcPr>
            <w:tcW w:w="842" w:type="dxa"/>
            <w:shd w:val="clear" w:color="auto" w:fill="auto"/>
            <w:vAlign w:val="center"/>
          </w:tcPr>
          <w:p w14:paraId="7D77EBE3">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6FFEDE1E">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90</w:t>
            </w:r>
          </w:p>
        </w:tc>
        <w:tc>
          <w:tcPr>
            <w:tcW w:w="851" w:type="dxa"/>
            <w:shd w:val="clear" w:color="auto" w:fill="auto"/>
            <w:vAlign w:val="center"/>
          </w:tcPr>
          <w:p w14:paraId="0CF6A2CB">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分钟</w:t>
            </w:r>
          </w:p>
        </w:tc>
        <w:tc>
          <w:tcPr>
            <w:tcW w:w="1418" w:type="dxa"/>
            <w:shd w:val="clear" w:color="auto" w:fill="auto"/>
            <w:vAlign w:val="center"/>
          </w:tcPr>
          <w:p w14:paraId="1B6BF245">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工作计划</w:t>
            </w:r>
          </w:p>
        </w:tc>
      </w:tr>
      <w:tr w14:paraId="5A51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868" w:type="dxa"/>
            <w:vMerge w:val="continue"/>
            <w:vAlign w:val="center"/>
          </w:tcPr>
          <w:p w14:paraId="1A9604A6">
            <w:pPr>
              <w:widowControl/>
              <w:adjustRightInd w:val="0"/>
              <w:snapToGrid w:val="0"/>
              <w:jc w:val="center"/>
              <w:rPr>
                <w:rFonts w:ascii="仿宋_GB2312" w:eastAsia="仿宋_GB2312"/>
                <w:sz w:val="28"/>
                <w:szCs w:val="28"/>
              </w:rPr>
            </w:pPr>
          </w:p>
        </w:tc>
        <w:tc>
          <w:tcPr>
            <w:tcW w:w="850" w:type="dxa"/>
            <w:vMerge w:val="continue"/>
            <w:vAlign w:val="center"/>
          </w:tcPr>
          <w:p w14:paraId="590CCC23">
            <w:pPr>
              <w:widowControl/>
              <w:adjustRightInd w:val="0"/>
              <w:snapToGrid w:val="0"/>
              <w:jc w:val="center"/>
              <w:rPr>
                <w:rFonts w:ascii="仿宋_GB2312" w:eastAsia="仿宋_GB2312"/>
                <w:sz w:val="28"/>
                <w:szCs w:val="28"/>
              </w:rPr>
            </w:pPr>
          </w:p>
        </w:tc>
        <w:tc>
          <w:tcPr>
            <w:tcW w:w="992" w:type="dxa"/>
            <w:shd w:val="clear" w:color="auto" w:fill="auto"/>
            <w:noWrap/>
            <w:vAlign w:val="center"/>
          </w:tcPr>
          <w:p w14:paraId="437669C8">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杂志发放次数</w:t>
            </w:r>
          </w:p>
        </w:tc>
        <w:tc>
          <w:tcPr>
            <w:tcW w:w="1543" w:type="dxa"/>
            <w:shd w:val="clear" w:color="auto" w:fill="auto"/>
            <w:vAlign w:val="center"/>
          </w:tcPr>
          <w:p w14:paraId="3EB65964">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实际值与目标值一致的权重分的100%，不一致不得分</w:t>
            </w:r>
          </w:p>
        </w:tc>
        <w:tc>
          <w:tcPr>
            <w:tcW w:w="1426" w:type="dxa"/>
            <w:shd w:val="clear" w:color="auto" w:fill="auto"/>
            <w:vAlign w:val="center"/>
          </w:tcPr>
          <w:p w14:paraId="0CBAF1E4">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考察每年省内、外杂志发放次数</w:t>
            </w:r>
          </w:p>
        </w:tc>
        <w:tc>
          <w:tcPr>
            <w:tcW w:w="842" w:type="dxa"/>
            <w:shd w:val="clear" w:color="auto" w:fill="auto"/>
            <w:vAlign w:val="center"/>
          </w:tcPr>
          <w:p w14:paraId="4F991B4C">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49922A48">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6</w:t>
            </w:r>
          </w:p>
        </w:tc>
        <w:tc>
          <w:tcPr>
            <w:tcW w:w="851" w:type="dxa"/>
            <w:shd w:val="clear" w:color="auto" w:fill="auto"/>
            <w:vAlign w:val="center"/>
          </w:tcPr>
          <w:p w14:paraId="7D0B62B9">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次</w:t>
            </w:r>
          </w:p>
        </w:tc>
        <w:tc>
          <w:tcPr>
            <w:tcW w:w="1418" w:type="dxa"/>
            <w:shd w:val="clear" w:color="auto" w:fill="auto"/>
            <w:vAlign w:val="center"/>
          </w:tcPr>
          <w:p w14:paraId="1C7F7B61">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工作计划</w:t>
            </w:r>
          </w:p>
        </w:tc>
      </w:tr>
      <w:tr w14:paraId="48E5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868" w:type="dxa"/>
            <w:vMerge w:val="continue"/>
            <w:vAlign w:val="center"/>
          </w:tcPr>
          <w:p w14:paraId="1E93E603">
            <w:pPr>
              <w:widowControl/>
              <w:adjustRightInd w:val="0"/>
              <w:snapToGrid w:val="0"/>
              <w:jc w:val="center"/>
              <w:rPr>
                <w:rFonts w:ascii="仿宋_GB2312" w:eastAsia="仿宋_GB2312"/>
                <w:sz w:val="28"/>
                <w:szCs w:val="28"/>
              </w:rPr>
            </w:pPr>
          </w:p>
        </w:tc>
        <w:tc>
          <w:tcPr>
            <w:tcW w:w="850" w:type="dxa"/>
            <w:vMerge w:val="restart"/>
            <w:shd w:val="clear" w:color="auto" w:fill="auto"/>
            <w:vAlign w:val="center"/>
          </w:tcPr>
          <w:p w14:paraId="352BC68D">
            <w:pPr>
              <w:widowControl/>
              <w:adjustRightInd w:val="0"/>
              <w:snapToGrid w:val="0"/>
              <w:jc w:val="center"/>
              <w:rPr>
                <w:rFonts w:ascii="仿宋_GB2312" w:eastAsia="仿宋_GB2312"/>
                <w:sz w:val="28"/>
                <w:szCs w:val="28"/>
              </w:rPr>
            </w:pPr>
            <w:r>
              <w:rPr>
                <w:rFonts w:hint="eastAsia" w:ascii="仿宋_GB2312" w:eastAsia="仿宋_GB2312"/>
                <w:sz w:val="28"/>
                <w:szCs w:val="28"/>
              </w:rPr>
              <w:t>质量</w:t>
            </w:r>
          </w:p>
        </w:tc>
        <w:tc>
          <w:tcPr>
            <w:tcW w:w="992" w:type="dxa"/>
            <w:shd w:val="clear" w:color="auto" w:fill="auto"/>
            <w:vAlign w:val="center"/>
          </w:tcPr>
          <w:p w14:paraId="49412252">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教育片出错次数</w:t>
            </w:r>
          </w:p>
        </w:tc>
        <w:tc>
          <w:tcPr>
            <w:tcW w:w="1543" w:type="dxa"/>
            <w:shd w:val="clear" w:color="auto" w:fill="auto"/>
            <w:vAlign w:val="center"/>
          </w:tcPr>
          <w:p w14:paraId="286434A5">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实际值与目标值一致得权重分的100%，不一致不得分</w:t>
            </w:r>
          </w:p>
        </w:tc>
        <w:tc>
          <w:tcPr>
            <w:tcW w:w="1426" w:type="dxa"/>
            <w:shd w:val="clear" w:color="auto" w:fill="auto"/>
            <w:vAlign w:val="center"/>
          </w:tcPr>
          <w:p w14:paraId="5F0743C1">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考察警示教育片采用素、版权等问题出错的次数</w:t>
            </w:r>
          </w:p>
        </w:tc>
        <w:tc>
          <w:tcPr>
            <w:tcW w:w="842" w:type="dxa"/>
            <w:shd w:val="clear" w:color="auto" w:fill="auto"/>
            <w:vAlign w:val="center"/>
          </w:tcPr>
          <w:p w14:paraId="38418232">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6519BAE9">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0</w:t>
            </w:r>
          </w:p>
        </w:tc>
        <w:tc>
          <w:tcPr>
            <w:tcW w:w="851" w:type="dxa"/>
            <w:shd w:val="clear" w:color="auto" w:fill="auto"/>
            <w:vAlign w:val="center"/>
          </w:tcPr>
          <w:p w14:paraId="4FC7F3CD">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次</w:t>
            </w:r>
          </w:p>
        </w:tc>
        <w:tc>
          <w:tcPr>
            <w:tcW w:w="1418" w:type="dxa"/>
            <w:shd w:val="clear" w:color="auto" w:fill="auto"/>
            <w:vAlign w:val="center"/>
          </w:tcPr>
          <w:p w14:paraId="27B57753">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工作计划</w:t>
            </w:r>
          </w:p>
        </w:tc>
      </w:tr>
      <w:tr w14:paraId="30A7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trPr>
        <w:tc>
          <w:tcPr>
            <w:tcW w:w="868" w:type="dxa"/>
            <w:vMerge w:val="continue"/>
            <w:vAlign w:val="center"/>
          </w:tcPr>
          <w:p w14:paraId="5B5DF7C3">
            <w:pPr>
              <w:widowControl/>
              <w:adjustRightInd w:val="0"/>
              <w:snapToGrid w:val="0"/>
              <w:jc w:val="center"/>
              <w:rPr>
                <w:rFonts w:ascii="仿宋_GB2312" w:eastAsia="仿宋_GB2312"/>
                <w:sz w:val="28"/>
                <w:szCs w:val="28"/>
              </w:rPr>
            </w:pPr>
          </w:p>
        </w:tc>
        <w:tc>
          <w:tcPr>
            <w:tcW w:w="850" w:type="dxa"/>
            <w:vMerge w:val="continue"/>
            <w:vAlign w:val="center"/>
          </w:tcPr>
          <w:p w14:paraId="58B3E512">
            <w:pPr>
              <w:widowControl/>
              <w:adjustRightInd w:val="0"/>
              <w:snapToGrid w:val="0"/>
              <w:jc w:val="center"/>
              <w:rPr>
                <w:rFonts w:ascii="仿宋_GB2312" w:eastAsia="仿宋_GB2312"/>
                <w:sz w:val="28"/>
                <w:szCs w:val="28"/>
              </w:rPr>
            </w:pPr>
          </w:p>
        </w:tc>
        <w:tc>
          <w:tcPr>
            <w:tcW w:w="992" w:type="dxa"/>
            <w:shd w:val="clear" w:color="auto" w:fill="auto"/>
            <w:vAlign w:val="center"/>
          </w:tcPr>
          <w:p w14:paraId="7CF87779">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杂志发放覆盖率</w:t>
            </w:r>
          </w:p>
        </w:tc>
        <w:tc>
          <w:tcPr>
            <w:tcW w:w="1543" w:type="dxa"/>
            <w:shd w:val="clear" w:color="auto" w:fill="auto"/>
            <w:vAlign w:val="center"/>
          </w:tcPr>
          <w:p w14:paraId="5C80F89E">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实际值与目标值一致得权重分的100%，不一致不得分</w:t>
            </w:r>
          </w:p>
        </w:tc>
        <w:tc>
          <w:tcPr>
            <w:tcW w:w="1426" w:type="dxa"/>
            <w:shd w:val="clear" w:color="auto" w:fill="auto"/>
            <w:vAlign w:val="center"/>
          </w:tcPr>
          <w:p w14:paraId="530EE00D">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考察实际发放杂志的范围/应发杂志范围的比率</w:t>
            </w:r>
          </w:p>
        </w:tc>
        <w:tc>
          <w:tcPr>
            <w:tcW w:w="842" w:type="dxa"/>
            <w:shd w:val="clear" w:color="auto" w:fill="auto"/>
            <w:vAlign w:val="center"/>
          </w:tcPr>
          <w:p w14:paraId="1B3B1446">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4F89B5C8">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100</w:t>
            </w:r>
          </w:p>
        </w:tc>
        <w:tc>
          <w:tcPr>
            <w:tcW w:w="851" w:type="dxa"/>
            <w:shd w:val="clear" w:color="auto" w:fill="auto"/>
            <w:vAlign w:val="center"/>
          </w:tcPr>
          <w:p w14:paraId="45D0EBA7">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1418" w:type="dxa"/>
            <w:shd w:val="clear" w:color="auto" w:fill="auto"/>
            <w:vAlign w:val="center"/>
          </w:tcPr>
          <w:p w14:paraId="710BED96">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工作计划</w:t>
            </w:r>
          </w:p>
        </w:tc>
      </w:tr>
      <w:tr w14:paraId="32199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868" w:type="dxa"/>
            <w:vMerge w:val="continue"/>
            <w:vAlign w:val="center"/>
          </w:tcPr>
          <w:p w14:paraId="3EE4C2FD">
            <w:pPr>
              <w:widowControl/>
              <w:adjustRightInd w:val="0"/>
              <w:snapToGrid w:val="0"/>
              <w:jc w:val="center"/>
              <w:rPr>
                <w:rFonts w:ascii="仿宋_GB2312" w:eastAsia="仿宋_GB2312"/>
                <w:sz w:val="28"/>
                <w:szCs w:val="28"/>
              </w:rPr>
            </w:pPr>
          </w:p>
        </w:tc>
        <w:tc>
          <w:tcPr>
            <w:tcW w:w="850" w:type="dxa"/>
            <w:vMerge w:val="continue"/>
            <w:vAlign w:val="center"/>
          </w:tcPr>
          <w:p w14:paraId="34984696">
            <w:pPr>
              <w:widowControl/>
              <w:adjustRightInd w:val="0"/>
              <w:snapToGrid w:val="0"/>
              <w:jc w:val="center"/>
              <w:rPr>
                <w:rFonts w:ascii="仿宋_GB2312" w:eastAsia="仿宋_GB2312"/>
                <w:sz w:val="28"/>
                <w:szCs w:val="28"/>
              </w:rPr>
            </w:pPr>
          </w:p>
        </w:tc>
        <w:tc>
          <w:tcPr>
            <w:tcW w:w="992" w:type="dxa"/>
            <w:shd w:val="clear" w:color="auto" w:fill="auto"/>
            <w:vAlign w:val="center"/>
          </w:tcPr>
          <w:p w14:paraId="2B9CC591">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网站安全问题次数</w:t>
            </w:r>
          </w:p>
        </w:tc>
        <w:tc>
          <w:tcPr>
            <w:tcW w:w="1543" w:type="dxa"/>
            <w:shd w:val="clear" w:color="auto" w:fill="auto"/>
            <w:vAlign w:val="center"/>
          </w:tcPr>
          <w:p w14:paraId="03954BA6">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实际值与目标值一致得权重分的100%，不一致不得分</w:t>
            </w:r>
          </w:p>
        </w:tc>
        <w:tc>
          <w:tcPr>
            <w:tcW w:w="1426" w:type="dxa"/>
            <w:shd w:val="clear" w:color="auto" w:fill="auto"/>
            <w:vAlign w:val="center"/>
          </w:tcPr>
          <w:p w14:paraId="21869B83">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考察网站出现人为故意、责任心不强造成病毒感染、被攻击、被篡改、被瘫痪等重大安全问题的次数</w:t>
            </w:r>
          </w:p>
        </w:tc>
        <w:tc>
          <w:tcPr>
            <w:tcW w:w="842" w:type="dxa"/>
            <w:shd w:val="clear" w:color="auto" w:fill="auto"/>
            <w:vAlign w:val="center"/>
          </w:tcPr>
          <w:p w14:paraId="00560E52">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noWrap/>
            <w:vAlign w:val="center"/>
          </w:tcPr>
          <w:p w14:paraId="19C9D85F">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0</w:t>
            </w:r>
          </w:p>
        </w:tc>
        <w:tc>
          <w:tcPr>
            <w:tcW w:w="851" w:type="dxa"/>
            <w:shd w:val="clear" w:color="auto" w:fill="auto"/>
            <w:noWrap/>
            <w:vAlign w:val="center"/>
          </w:tcPr>
          <w:p w14:paraId="09ADC04B">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次</w:t>
            </w:r>
          </w:p>
        </w:tc>
        <w:tc>
          <w:tcPr>
            <w:tcW w:w="1418" w:type="dxa"/>
            <w:shd w:val="clear" w:color="000000" w:fill="auto"/>
            <w:vAlign w:val="center"/>
          </w:tcPr>
          <w:p w14:paraId="04500911">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根据2020年网站实际工作情况</w:t>
            </w:r>
          </w:p>
        </w:tc>
      </w:tr>
      <w:tr w14:paraId="3CCB3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trPr>
        <w:tc>
          <w:tcPr>
            <w:tcW w:w="868" w:type="dxa"/>
            <w:vMerge w:val="continue"/>
            <w:vAlign w:val="center"/>
          </w:tcPr>
          <w:p w14:paraId="083940EB">
            <w:pPr>
              <w:widowControl/>
              <w:adjustRightInd w:val="0"/>
              <w:snapToGrid w:val="0"/>
              <w:jc w:val="center"/>
              <w:rPr>
                <w:rFonts w:ascii="仿宋_GB2312" w:eastAsia="仿宋_GB2312"/>
                <w:sz w:val="28"/>
                <w:szCs w:val="28"/>
              </w:rPr>
            </w:pPr>
          </w:p>
        </w:tc>
        <w:tc>
          <w:tcPr>
            <w:tcW w:w="850" w:type="dxa"/>
            <w:shd w:val="clear" w:color="auto" w:fill="auto"/>
            <w:vAlign w:val="center"/>
          </w:tcPr>
          <w:p w14:paraId="77F6900A">
            <w:pPr>
              <w:widowControl/>
              <w:adjustRightInd w:val="0"/>
              <w:snapToGrid w:val="0"/>
              <w:jc w:val="center"/>
              <w:rPr>
                <w:rFonts w:ascii="仿宋_GB2312" w:eastAsia="仿宋_GB2312"/>
                <w:sz w:val="28"/>
                <w:szCs w:val="28"/>
              </w:rPr>
            </w:pPr>
            <w:r>
              <w:rPr>
                <w:rFonts w:hint="eastAsia" w:ascii="仿宋_GB2312" w:eastAsia="仿宋_GB2312"/>
                <w:sz w:val="28"/>
                <w:szCs w:val="28"/>
              </w:rPr>
              <w:t>时效</w:t>
            </w:r>
          </w:p>
        </w:tc>
        <w:tc>
          <w:tcPr>
            <w:tcW w:w="992" w:type="dxa"/>
            <w:shd w:val="clear" w:color="auto" w:fill="auto"/>
            <w:vAlign w:val="center"/>
          </w:tcPr>
          <w:p w14:paraId="4C7F9AB5">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信息发布准时率</w:t>
            </w:r>
          </w:p>
        </w:tc>
        <w:tc>
          <w:tcPr>
            <w:tcW w:w="1543" w:type="dxa"/>
            <w:shd w:val="clear" w:color="auto" w:fill="auto"/>
            <w:vAlign w:val="center"/>
          </w:tcPr>
          <w:p w14:paraId="4FA92D4D">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实际值与目标值一致得权重分的100%，不一致不得分</w:t>
            </w:r>
          </w:p>
        </w:tc>
        <w:tc>
          <w:tcPr>
            <w:tcW w:w="1426" w:type="dxa"/>
            <w:shd w:val="clear" w:color="auto" w:fill="auto"/>
            <w:vAlign w:val="center"/>
          </w:tcPr>
          <w:p w14:paraId="0FF75336">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考察信息发布及时、准时的比率</w:t>
            </w:r>
          </w:p>
        </w:tc>
        <w:tc>
          <w:tcPr>
            <w:tcW w:w="842" w:type="dxa"/>
            <w:shd w:val="clear" w:color="auto" w:fill="auto"/>
            <w:vAlign w:val="center"/>
          </w:tcPr>
          <w:p w14:paraId="1133FF54">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22FD7387">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100</w:t>
            </w:r>
          </w:p>
        </w:tc>
        <w:tc>
          <w:tcPr>
            <w:tcW w:w="851" w:type="dxa"/>
            <w:shd w:val="clear" w:color="auto" w:fill="auto"/>
            <w:vAlign w:val="center"/>
          </w:tcPr>
          <w:p w14:paraId="317E4FF1">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1418" w:type="dxa"/>
            <w:shd w:val="clear" w:color="auto" w:fill="auto"/>
            <w:vAlign w:val="center"/>
          </w:tcPr>
          <w:p w14:paraId="09E8927E">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根据2020年网站实际工作情况</w:t>
            </w:r>
          </w:p>
        </w:tc>
      </w:tr>
      <w:tr w14:paraId="6D32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68" w:type="dxa"/>
            <w:vMerge w:val="continue"/>
            <w:vAlign w:val="center"/>
          </w:tcPr>
          <w:p w14:paraId="118EBFE1">
            <w:pPr>
              <w:widowControl/>
              <w:adjustRightInd w:val="0"/>
              <w:snapToGrid w:val="0"/>
              <w:jc w:val="center"/>
              <w:rPr>
                <w:rFonts w:ascii="仿宋_GB2312" w:eastAsia="仿宋_GB2312"/>
                <w:sz w:val="28"/>
                <w:szCs w:val="28"/>
              </w:rPr>
            </w:pPr>
          </w:p>
        </w:tc>
        <w:tc>
          <w:tcPr>
            <w:tcW w:w="850" w:type="dxa"/>
            <w:vMerge w:val="restart"/>
            <w:shd w:val="clear" w:color="auto" w:fill="auto"/>
            <w:vAlign w:val="center"/>
          </w:tcPr>
          <w:p w14:paraId="218852BD">
            <w:pPr>
              <w:widowControl/>
              <w:adjustRightInd w:val="0"/>
              <w:snapToGrid w:val="0"/>
              <w:jc w:val="center"/>
              <w:rPr>
                <w:rFonts w:ascii="仿宋_GB2312" w:eastAsia="仿宋_GB2312"/>
                <w:sz w:val="28"/>
                <w:szCs w:val="28"/>
              </w:rPr>
            </w:pPr>
            <w:r>
              <w:rPr>
                <w:rFonts w:hint="eastAsia" w:ascii="仿宋_GB2312" w:eastAsia="仿宋_GB2312"/>
                <w:sz w:val="28"/>
                <w:szCs w:val="28"/>
              </w:rPr>
              <w:t>成本</w:t>
            </w:r>
          </w:p>
        </w:tc>
        <w:tc>
          <w:tcPr>
            <w:tcW w:w="992" w:type="dxa"/>
            <w:shd w:val="clear" w:color="auto" w:fill="auto"/>
            <w:vAlign w:val="center"/>
          </w:tcPr>
          <w:p w14:paraId="555B7D87">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总成本控制率</w:t>
            </w:r>
          </w:p>
        </w:tc>
        <w:tc>
          <w:tcPr>
            <w:tcW w:w="1543" w:type="dxa"/>
            <w:shd w:val="clear" w:color="auto" w:fill="auto"/>
            <w:vAlign w:val="center"/>
          </w:tcPr>
          <w:p w14:paraId="52225EFC">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总成本实际支出数≤预算总成本，得权重分的100%，否则不得分</w:t>
            </w:r>
          </w:p>
        </w:tc>
        <w:tc>
          <w:tcPr>
            <w:tcW w:w="1426" w:type="dxa"/>
            <w:shd w:val="clear" w:color="auto" w:fill="auto"/>
            <w:vAlign w:val="center"/>
          </w:tcPr>
          <w:p w14:paraId="7B76E159">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实际发生成本/预算计划成本</w:t>
            </w:r>
          </w:p>
        </w:tc>
        <w:tc>
          <w:tcPr>
            <w:tcW w:w="842" w:type="dxa"/>
            <w:shd w:val="clear" w:color="auto" w:fill="auto"/>
            <w:vAlign w:val="center"/>
          </w:tcPr>
          <w:p w14:paraId="641B8816">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464F9847">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100</w:t>
            </w:r>
          </w:p>
        </w:tc>
        <w:tc>
          <w:tcPr>
            <w:tcW w:w="851" w:type="dxa"/>
            <w:shd w:val="clear" w:color="auto" w:fill="auto"/>
            <w:vAlign w:val="center"/>
          </w:tcPr>
          <w:p w14:paraId="0828283B">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1418" w:type="dxa"/>
            <w:shd w:val="clear" w:color="auto" w:fill="auto"/>
            <w:vAlign w:val="center"/>
          </w:tcPr>
          <w:p w14:paraId="15BB1532">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年度工作计划</w:t>
            </w:r>
          </w:p>
        </w:tc>
      </w:tr>
      <w:tr w14:paraId="6762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868" w:type="dxa"/>
            <w:vMerge w:val="continue"/>
            <w:vAlign w:val="center"/>
          </w:tcPr>
          <w:p w14:paraId="43B78003">
            <w:pPr>
              <w:widowControl/>
              <w:adjustRightInd w:val="0"/>
              <w:snapToGrid w:val="0"/>
              <w:jc w:val="center"/>
              <w:rPr>
                <w:rFonts w:ascii="仿宋_GB2312" w:eastAsia="仿宋_GB2312"/>
                <w:sz w:val="28"/>
                <w:szCs w:val="28"/>
              </w:rPr>
            </w:pPr>
          </w:p>
        </w:tc>
        <w:tc>
          <w:tcPr>
            <w:tcW w:w="850" w:type="dxa"/>
            <w:vMerge w:val="continue"/>
            <w:vAlign w:val="center"/>
          </w:tcPr>
          <w:p w14:paraId="05CEF483">
            <w:pPr>
              <w:widowControl/>
              <w:adjustRightInd w:val="0"/>
              <w:snapToGrid w:val="0"/>
              <w:jc w:val="center"/>
              <w:rPr>
                <w:rFonts w:ascii="仿宋_GB2312" w:eastAsia="仿宋_GB2312"/>
                <w:sz w:val="28"/>
                <w:szCs w:val="28"/>
              </w:rPr>
            </w:pPr>
          </w:p>
        </w:tc>
        <w:tc>
          <w:tcPr>
            <w:tcW w:w="992" w:type="dxa"/>
            <w:shd w:val="clear" w:color="auto" w:fill="auto"/>
            <w:vAlign w:val="center"/>
          </w:tcPr>
          <w:p w14:paraId="77F39018">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公用经费控制率</w:t>
            </w:r>
          </w:p>
        </w:tc>
        <w:tc>
          <w:tcPr>
            <w:tcW w:w="1543" w:type="dxa"/>
            <w:shd w:val="clear" w:color="auto" w:fill="auto"/>
            <w:vAlign w:val="center"/>
          </w:tcPr>
          <w:p w14:paraId="786453FB">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三公经费实际支出数≤预算安排的三公经费数，得权重分的50%，否则不得分；日常公用经费决算数≤日常公用经费调整预算数，得权重分的50%，否则不得分</w:t>
            </w:r>
          </w:p>
        </w:tc>
        <w:tc>
          <w:tcPr>
            <w:tcW w:w="1426" w:type="dxa"/>
            <w:shd w:val="clear" w:color="auto" w:fill="auto"/>
            <w:vAlign w:val="center"/>
          </w:tcPr>
          <w:p w14:paraId="365722CD">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单位本年度实际支出的公用经费总额与预算安排的公用经费总额的比率，反映和考核部门对机构运转成本的实际可控制程度。</w:t>
            </w:r>
          </w:p>
        </w:tc>
        <w:tc>
          <w:tcPr>
            <w:tcW w:w="842" w:type="dxa"/>
            <w:shd w:val="clear" w:color="auto" w:fill="auto"/>
            <w:vAlign w:val="center"/>
          </w:tcPr>
          <w:p w14:paraId="01BD2119">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0B0023D3">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100</w:t>
            </w:r>
          </w:p>
        </w:tc>
        <w:tc>
          <w:tcPr>
            <w:tcW w:w="851" w:type="dxa"/>
            <w:shd w:val="clear" w:color="auto" w:fill="auto"/>
            <w:vAlign w:val="center"/>
          </w:tcPr>
          <w:p w14:paraId="7D5A691A">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1418" w:type="dxa"/>
            <w:shd w:val="clear" w:color="auto" w:fill="auto"/>
            <w:vAlign w:val="center"/>
          </w:tcPr>
          <w:p w14:paraId="6E7250FD">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预算</w:t>
            </w:r>
          </w:p>
        </w:tc>
      </w:tr>
      <w:tr w14:paraId="1B3D0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868" w:type="dxa"/>
            <w:vMerge w:val="continue"/>
            <w:vAlign w:val="center"/>
          </w:tcPr>
          <w:p w14:paraId="35439860">
            <w:pPr>
              <w:widowControl/>
              <w:adjustRightInd w:val="0"/>
              <w:snapToGrid w:val="0"/>
              <w:jc w:val="center"/>
              <w:rPr>
                <w:rFonts w:ascii="仿宋_GB2312" w:eastAsia="仿宋_GB2312"/>
                <w:sz w:val="28"/>
                <w:szCs w:val="28"/>
              </w:rPr>
            </w:pPr>
          </w:p>
        </w:tc>
        <w:tc>
          <w:tcPr>
            <w:tcW w:w="850" w:type="dxa"/>
            <w:vMerge w:val="continue"/>
            <w:vAlign w:val="center"/>
          </w:tcPr>
          <w:p w14:paraId="7FB202F1">
            <w:pPr>
              <w:widowControl/>
              <w:adjustRightInd w:val="0"/>
              <w:snapToGrid w:val="0"/>
              <w:jc w:val="center"/>
              <w:rPr>
                <w:rFonts w:ascii="仿宋_GB2312" w:eastAsia="仿宋_GB2312"/>
                <w:sz w:val="28"/>
                <w:szCs w:val="28"/>
              </w:rPr>
            </w:pPr>
          </w:p>
        </w:tc>
        <w:tc>
          <w:tcPr>
            <w:tcW w:w="992" w:type="dxa"/>
            <w:shd w:val="clear" w:color="auto" w:fill="auto"/>
            <w:vAlign w:val="center"/>
          </w:tcPr>
          <w:p w14:paraId="1B608119">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网站点击率</w:t>
            </w:r>
          </w:p>
        </w:tc>
        <w:tc>
          <w:tcPr>
            <w:tcW w:w="1543" w:type="dxa"/>
            <w:shd w:val="clear" w:color="auto" w:fill="auto"/>
            <w:vAlign w:val="center"/>
          </w:tcPr>
          <w:p w14:paraId="75B6E3EB">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实际值与目标值一致得权重分的100%，不一致不得分</w:t>
            </w:r>
          </w:p>
        </w:tc>
        <w:tc>
          <w:tcPr>
            <w:tcW w:w="1426" w:type="dxa"/>
            <w:shd w:val="clear" w:color="auto" w:fill="auto"/>
            <w:vAlign w:val="center"/>
          </w:tcPr>
          <w:p w14:paraId="2657EA5F">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考察廊坊市纪委监委网站点访问、点击的频率</w:t>
            </w:r>
          </w:p>
        </w:tc>
        <w:tc>
          <w:tcPr>
            <w:tcW w:w="842" w:type="dxa"/>
            <w:shd w:val="clear" w:color="auto" w:fill="auto"/>
            <w:vAlign w:val="center"/>
          </w:tcPr>
          <w:p w14:paraId="281FDC84">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4F19C304">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150</w:t>
            </w:r>
          </w:p>
        </w:tc>
        <w:tc>
          <w:tcPr>
            <w:tcW w:w="851" w:type="dxa"/>
            <w:shd w:val="clear" w:color="auto" w:fill="auto"/>
            <w:vAlign w:val="center"/>
          </w:tcPr>
          <w:p w14:paraId="7444986F">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万</w:t>
            </w:r>
          </w:p>
        </w:tc>
        <w:tc>
          <w:tcPr>
            <w:tcW w:w="1418" w:type="dxa"/>
            <w:shd w:val="clear" w:color="auto" w:fill="auto"/>
            <w:vAlign w:val="center"/>
          </w:tcPr>
          <w:p w14:paraId="7DEAD5B2">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根据2020年网站实际工作情况</w:t>
            </w:r>
          </w:p>
        </w:tc>
      </w:tr>
      <w:tr w14:paraId="5DEE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68" w:type="dxa"/>
            <w:vMerge w:val="continue"/>
            <w:vAlign w:val="center"/>
          </w:tcPr>
          <w:p w14:paraId="39EDB8AB">
            <w:pPr>
              <w:widowControl/>
              <w:adjustRightInd w:val="0"/>
              <w:snapToGrid w:val="0"/>
              <w:jc w:val="center"/>
              <w:rPr>
                <w:rFonts w:ascii="仿宋_GB2312" w:eastAsia="仿宋_GB2312"/>
                <w:sz w:val="28"/>
                <w:szCs w:val="28"/>
              </w:rPr>
            </w:pPr>
          </w:p>
        </w:tc>
        <w:tc>
          <w:tcPr>
            <w:tcW w:w="850" w:type="dxa"/>
            <w:vMerge w:val="continue"/>
            <w:vAlign w:val="center"/>
          </w:tcPr>
          <w:p w14:paraId="09E97C4C">
            <w:pPr>
              <w:widowControl/>
              <w:adjustRightInd w:val="0"/>
              <w:snapToGrid w:val="0"/>
              <w:jc w:val="center"/>
              <w:rPr>
                <w:rFonts w:ascii="仿宋_GB2312" w:eastAsia="仿宋_GB2312"/>
                <w:sz w:val="28"/>
                <w:szCs w:val="28"/>
              </w:rPr>
            </w:pPr>
          </w:p>
        </w:tc>
        <w:tc>
          <w:tcPr>
            <w:tcW w:w="992" w:type="dxa"/>
            <w:shd w:val="clear" w:color="000000" w:fill="auto"/>
            <w:vAlign w:val="center"/>
          </w:tcPr>
          <w:p w14:paraId="433F76DA">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警示作用</w:t>
            </w:r>
          </w:p>
        </w:tc>
        <w:tc>
          <w:tcPr>
            <w:tcW w:w="1543" w:type="dxa"/>
            <w:shd w:val="clear" w:color="000000" w:fill="auto"/>
            <w:vAlign w:val="center"/>
          </w:tcPr>
          <w:p w14:paraId="1913910E">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效果显著得权重分值的100%，一般得权重分值的50%，不显著不得分</w:t>
            </w:r>
          </w:p>
        </w:tc>
        <w:tc>
          <w:tcPr>
            <w:tcW w:w="1426" w:type="dxa"/>
            <w:shd w:val="clear" w:color="000000" w:fill="auto"/>
            <w:vAlign w:val="center"/>
          </w:tcPr>
          <w:p w14:paraId="3907EC09">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考察对被巡视单位震慑、警示作用的程度</w:t>
            </w:r>
          </w:p>
        </w:tc>
        <w:tc>
          <w:tcPr>
            <w:tcW w:w="842" w:type="dxa"/>
            <w:shd w:val="clear" w:color="000000" w:fill="auto"/>
            <w:vAlign w:val="center"/>
          </w:tcPr>
          <w:p w14:paraId="1E5882EF">
            <w:pPr>
              <w:widowControl/>
              <w:spacing w:line="360" w:lineRule="exact"/>
              <w:jc w:val="left"/>
              <w:rPr>
                <w:rFonts w:ascii="仿宋_GB2312" w:hAnsi="宋体" w:eastAsia="仿宋_GB2312" w:cs="宋体"/>
                <w:color w:val="000000"/>
                <w:kern w:val="0"/>
                <w:sz w:val="32"/>
                <w:szCs w:val="32"/>
              </w:rPr>
            </w:pPr>
          </w:p>
        </w:tc>
        <w:tc>
          <w:tcPr>
            <w:tcW w:w="850" w:type="dxa"/>
            <w:shd w:val="clear" w:color="000000" w:fill="auto"/>
            <w:vAlign w:val="center"/>
          </w:tcPr>
          <w:p w14:paraId="5208B7C7">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提升</w:t>
            </w:r>
          </w:p>
        </w:tc>
        <w:tc>
          <w:tcPr>
            <w:tcW w:w="851" w:type="dxa"/>
            <w:shd w:val="clear" w:color="000000" w:fill="auto"/>
            <w:vAlign w:val="center"/>
          </w:tcPr>
          <w:p w14:paraId="48B015CF">
            <w:pPr>
              <w:widowControl/>
              <w:spacing w:line="360" w:lineRule="exact"/>
              <w:jc w:val="left"/>
              <w:rPr>
                <w:rFonts w:ascii="仿宋_GB2312" w:hAnsi="宋体" w:eastAsia="仿宋_GB2312" w:cs="宋体"/>
                <w:color w:val="000000"/>
                <w:kern w:val="0"/>
                <w:sz w:val="32"/>
                <w:szCs w:val="32"/>
              </w:rPr>
            </w:pPr>
          </w:p>
        </w:tc>
        <w:tc>
          <w:tcPr>
            <w:tcW w:w="1418" w:type="dxa"/>
            <w:shd w:val="clear" w:color="000000" w:fill="auto"/>
            <w:vAlign w:val="center"/>
          </w:tcPr>
          <w:p w14:paraId="0766EE75">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工作计划</w:t>
            </w:r>
          </w:p>
        </w:tc>
      </w:tr>
      <w:tr w14:paraId="6F65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868" w:type="dxa"/>
            <w:vMerge w:val="continue"/>
            <w:vAlign w:val="center"/>
          </w:tcPr>
          <w:p w14:paraId="50891136">
            <w:pPr>
              <w:widowControl/>
              <w:adjustRightInd w:val="0"/>
              <w:snapToGrid w:val="0"/>
              <w:jc w:val="center"/>
              <w:rPr>
                <w:rFonts w:ascii="仿宋_GB2312" w:eastAsia="仿宋_GB2312"/>
                <w:sz w:val="28"/>
                <w:szCs w:val="28"/>
              </w:rPr>
            </w:pPr>
          </w:p>
        </w:tc>
        <w:tc>
          <w:tcPr>
            <w:tcW w:w="850" w:type="dxa"/>
            <w:vMerge w:val="restart"/>
            <w:shd w:val="clear" w:color="auto" w:fill="auto"/>
            <w:vAlign w:val="center"/>
          </w:tcPr>
          <w:p w14:paraId="73D35B0C">
            <w:pPr>
              <w:widowControl/>
              <w:adjustRightInd w:val="0"/>
              <w:snapToGrid w:val="0"/>
              <w:jc w:val="center"/>
              <w:rPr>
                <w:rFonts w:ascii="仿宋_GB2312" w:eastAsia="仿宋_GB2312"/>
                <w:sz w:val="28"/>
                <w:szCs w:val="28"/>
              </w:rPr>
            </w:pPr>
            <w:r>
              <w:rPr>
                <w:rFonts w:hint="eastAsia" w:ascii="仿宋_GB2312" w:eastAsia="仿宋_GB2312"/>
                <w:sz w:val="28"/>
                <w:szCs w:val="28"/>
              </w:rPr>
              <w:t>满意度</w:t>
            </w:r>
          </w:p>
        </w:tc>
        <w:tc>
          <w:tcPr>
            <w:tcW w:w="992" w:type="dxa"/>
            <w:shd w:val="clear" w:color="auto" w:fill="auto"/>
            <w:vAlign w:val="center"/>
          </w:tcPr>
          <w:p w14:paraId="67E94BF6">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社会群众的满意度</w:t>
            </w:r>
          </w:p>
        </w:tc>
        <w:tc>
          <w:tcPr>
            <w:tcW w:w="1543" w:type="dxa"/>
            <w:shd w:val="clear" w:color="auto" w:fill="auto"/>
            <w:vAlign w:val="center"/>
          </w:tcPr>
          <w:p w14:paraId="02D8AA0C">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实际值与目标值一致的权重分的100%，每减少10%扣权重分值的12.5%</w:t>
            </w:r>
          </w:p>
        </w:tc>
        <w:tc>
          <w:tcPr>
            <w:tcW w:w="1426" w:type="dxa"/>
            <w:shd w:val="clear" w:color="auto" w:fill="auto"/>
            <w:vAlign w:val="center"/>
          </w:tcPr>
          <w:p w14:paraId="1B8231CB">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对纪检监察工作的满意度</w:t>
            </w:r>
          </w:p>
        </w:tc>
        <w:tc>
          <w:tcPr>
            <w:tcW w:w="842" w:type="dxa"/>
            <w:shd w:val="clear" w:color="auto" w:fill="auto"/>
            <w:vAlign w:val="center"/>
          </w:tcPr>
          <w:p w14:paraId="1ACF7AA3">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3498FBB8">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80</w:t>
            </w:r>
          </w:p>
        </w:tc>
        <w:tc>
          <w:tcPr>
            <w:tcW w:w="851" w:type="dxa"/>
            <w:shd w:val="clear" w:color="auto" w:fill="auto"/>
            <w:vAlign w:val="center"/>
          </w:tcPr>
          <w:p w14:paraId="34917948">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1418" w:type="dxa"/>
            <w:shd w:val="clear" w:color="auto" w:fill="auto"/>
            <w:vAlign w:val="center"/>
          </w:tcPr>
          <w:p w14:paraId="68268484">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调查问卷</w:t>
            </w:r>
          </w:p>
        </w:tc>
      </w:tr>
      <w:tr w14:paraId="4E4D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868" w:type="dxa"/>
            <w:vMerge w:val="continue"/>
            <w:vAlign w:val="center"/>
          </w:tcPr>
          <w:p w14:paraId="0014630E">
            <w:pPr>
              <w:widowControl/>
              <w:adjustRightInd w:val="0"/>
              <w:snapToGrid w:val="0"/>
              <w:jc w:val="center"/>
              <w:rPr>
                <w:rFonts w:ascii="仿宋_GB2312" w:eastAsia="仿宋_GB2312"/>
                <w:sz w:val="28"/>
                <w:szCs w:val="28"/>
              </w:rPr>
            </w:pPr>
          </w:p>
        </w:tc>
        <w:tc>
          <w:tcPr>
            <w:tcW w:w="850" w:type="dxa"/>
            <w:vMerge w:val="continue"/>
            <w:vAlign w:val="center"/>
          </w:tcPr>
          <w:p w14:paraId="6CDA930C">
            <w:pPr>
              <w:widowControl/>
              <w:adjustRightInd w:val="0"/>
              <w:snapToGrid w:val="0"/>
              <w:jc w:val="center"/>
              <w:rPr>
                <w:rFonts w:ascii="仿宋_GB2312" w:eastAsia="仿宋_GB2312"/>
                <w:sz w:val="28"/>
                <w:szCs w:val="28"/>
              </w:rPr>
            </w:pPr>
          </w:p>
        </w:tc>
        <w:tc>
          <w:tcPr>
            <w:tcW w:w="992" w:type="dxa"/>
            <w:shd w:val="clear" w:color="auto" w:fill="auto"/>
            <w:vAlign w:val="center"/>
          </w:tcPr>
          <w:p w14:paraId="3153B915">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党员干部的满意度</w:t>
            </w:r>
          </w:p>
        </w:tc>
        <w:tc>
          <w:tcPr>
            <w:tcW w:w="1543" w:type="dxa"/>
            <w:shd w:val="clear" w:color="auto" w:fill="auto"/>
            <w:vAlign w:val="center"/>
          </w:tcPr>
          <w:p w14:paraId="1AE1BB4F">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实际值与目标值一致的权重分的100%，每减少10%扣权重分值的12.5%</w:t>
            </w:r>
          </w:p>
        </w:tc>
        <w:tc>
          <w:tcPr>
            <w:tcW w:w="1426" w:type="dxa"/>
            <w:shd w:val="clear" w:color="auto" w:fill="auto"/>
            <w:vAlign w:val="center"/>
          </w:tcPr>
          <w:p w14:paraId="54A6DC97">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通过走访座谈及问卷调查，了解党员干部对警示教育片及杂志的满意度</w:t>
            </w:r>
          </w:p>
        </w:tc>
        <w:tc>
          <w:tcPr>
            <w:tcW w:w="842" w:type="dxa"/>
            <w:shd w:val="clear" w:color="auto" w:fill="auto"/>
            <w:vAlign w:val="center"/>
          </w:tcPr>
          <w:p w14:paraId="2F9D00DF">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850" w:type="dxa"/>
            <w:shd w:val="clear" w:color="auto" w:fill="auto"/>
            <w:vAlign w:val="center"/>
          </w:tcPr>
          <w:p w14:paraId="0F005E96">
            <w:pPr>
              <w:widowControl/>
              <w:spacing w:line="36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80</w:t>
            </w:r>
          </w:p>
        </w:tc>
        <w:tc>
          <w:tcPr>
            <w:tcW w:w="851" w:type="dxa"/>
            <w:shd w:val="clear" w:color="auto" w:fill="auto"/>
            <w:vAlign w:val="center"/>
          </w:tcPr>
          <w:p w14:paraId="7BC7B0FE">
            <w:pPr>
              <w:widowControl/>
              <w:spacing w:line="36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w:t>
            </w:r>
          </w:p>
        </w:tc>
        <w:tc>
          <w:tcPr>
            <w:tcW w:w="1418" w:type="dxa"/>
            <w:shd w:val="clear" w:color="auto" w:fill="auto"/>
            <w:vAlign w:val="center"/>
          </w:tcPr>
          <w:p w14:paraId="13ED70CA">
            <w:pPr>
              <w:widowControl/>
              <w:spacing w:line="360" w:lineRule="exact"/>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调查问卷</w:t>
            </w:r>
          </w:p>
        </w:tc>
      </w:tr>
    </w:tbl>
    <w:p w14:paraId="7A11C2FD">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0CE4F3B8">
      <w:pPr>
        <w:spacing w:line="584" w:lineRule="exact"/>
        <w:ind w:firstLine="643" w:firstLineChars="200"/>
        <w:rPr>
          <w:rFonts w:ascii="Times New Roman" w:hAnsi="Times New Roman" w:eastAsia="黑体" w:cs="Times New Roman"/>
          <w:sz w:val="32"/>
          <w:szCs w:val="32"/>
        </w:rPr>
      </w:pPr>
      <w:r>
        <w:rPr>
          <w:rFonts w:hint="eastAsia" w:ascii="仿宋_GB2312" w:hAnsi="Times New Roman" w:eastAsia="仿宋_GB2312" w:cs="Times New Roman"/>
          <w:b/>
          <w:sz w:val="32"/>
          <w:szCs w:val="32"/>
        </w:rPr>
        <w:t>市纪委（本级）</w:t>
      </w:r>
    </w:p>
    <w:p w14:paraId="306DFBFD">
      <w:pPr>
        <w:pStyle w:val="14"/>
        <w:numPr>
          <w:ilvl w:val="0"/>
          <w:numId w:val="1"/>
        </w:numPr>
        <w:spacing w:line="584" w:lineRule="exact"/>
        <w:ind w:firstLineChars="0"/>
        <w:jc w:val="left"/>
        <w:outlineLvl w:val="1"/>
        <w:rPr>
          <w:rFonts w:ascii="仿宋_GB2312" w:hAnsi="Times New Roman" w:eastAsia="仿宋_GB2312" w:cs="Times New Roman"/>
          <w:sz w:val="32"/>
          <w:szCs w:val="32"/>
        </w:rPr>
      </w:pPr>
      <w:r>
        <w:rPr>
          <w:rFonts w:hint="eastAsia" w:ascii="仿宋_GB2312" w:hAnsi="Times New Roman" w:eastAsia="仿宋_GB2312" w:cs="Times New Roman"/>
          <w:sz w:val="32"/>
          <w:szCs w:val="32"/>
        </w:rPr>
        <w:t>新闻媒体宣传及《廊坊纪检监察》杂志编印专项经费绩效目标表</w:t>
      </w:r>
      <w:r>
        <w:rPr>
          <w:rFonts w:hint="eastAsia" w:ascii="仿宋_GB2312" w:hAnsi="Times New Roman" w:eastAsia="仿宋_GB2312" w:cs="Times New Roman"/>
          <w:vanish/>
          <w:sz w:val="32"/>
          <w:szCs w:val="32"/>
        </w:rPr>
        <w:t>{ TC 2、办公自动化（OA）和督查督办系统升级及推广费绩效目标表 \f C \l 1 }</w:t>
      </w:r>
    </w:p>
    <w:tbl>
      <w:tblPr>
        <w:tblStyle w:val="8"/>
        <w:tblW w:w="1423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560"/>
        <w:gridCol w:w="2609"/>
      </w:tblGrid>
      <w:tr w14:paraId="7191C7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C3C6847">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824" w:type="dxa"/>
            <w:gridSpan w:val="5"/>
            <w:shd w:val="clear" w:color="auto" w:fill="auto"/>
            <w:vAlign w:val="center"/>
          </w:tcPr>
          <w:p w14:paraId="6113B1AA">
            <w:pPr>
              <w:spacing w:line="584"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1.拍摄警示教育片，开展重大典型案件警示教育，以身边案件的警示、警醒、震慑作用，引导广大党员干部牢固树立不能腐、不敢腐、不想腐的思想。</w:t>
            </w:r>
          </w:p>
          <w:p w14:paraId="374FF2D5">
            <w:pPr>
              <w:spacing w:line="584" w:lineRule="exact"/>
              <w:rPr>
                <w:rFonts w:ascii="Times New Roman" w:hAnsi="Times New Roman" w:eastAsia="仿宋_GB2312" w:cs="Times New Roman"/>
                <w:b/>
                <w:sz w:val="32"/>
                <w:szCs w:val="32"/>
              </w:rPr>
            </w:pPr>
            <w:r>
              <w:rPr>
                <w:rFonts w:hint="eastAsia" w:ascii="Times New Roman" w:hAnsi="Times New Roman" w:eastAsia="仿宋_GB2312" w:cs="Times New Roman"/>
                <w:sz w:val="32"/>
                <w:szCs w:val="32"/>
              </w:rPr>
              <w:t>2.通过发放杂志，宣传廊坊党风廉政建设和反腐败工作，扩大廉政宣传教育覆盖面，指导各级纪检监察机关开展工作。</w:t>
            </w:r>
          </w:p>
        </w:tc>
      </w:tr>
      <w:tr w14:paraId="7909FF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318" w:hRule="atLeast"/>
          <w:tblHeader/>
          <w:jc w:val="center"/>
        </w:trPr>
        <w:tc>
          <w:tcPr>
            <w:tcW w:w="2409" w:type="dxa"/>
            <w:shd w:val="clear" w:color="auto" w:fill="auto"/>
            <w:vAlign w:val="center"/>
          </w:tcPr>
          <w:p w14:paraId="761A4206">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shd w:val="clear" w:color="auto" w:fill="auto"/>
            <w:vAlign w:val="center"/>
          </w:tcPr>
          <w:p w14:paraId="446A674C">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shd w:val="clear" w:color="auto" w:fill="auto"/>
            <w:vAlign w:val="center"/>
          </w:tcPr>
          <w:p w14:paraId="2F9913D1">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shd w:val="clear" w:color="auto" w:fill="auto"/>
            <w:vAlign w:val="center"/>
          </w:tcPr>
          <w:p w14:paraId="30F21F9F">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560" w:type="dxa"/>
            <w:shd w:val="clear" w:color="auto" w:fill="auto"/>
            <w:vAlign w:val="center"/>
          </w:tcPr>
          <w:p w14:paraId="47FC7C3B">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609" w:type="dxa"/>
            <w:shd w:val="clear" w:color="auto" w:fill="auto"/>
            <w:vAlign w:val="center"/>
          </w:tcPr>
          <w:p w14:paraId="01696D27">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38C717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302B502">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产出指标</w:t>
            </w:r>
          </w:p>
        </w:tc>
        <w:tc>
          <w:tcPr>
            <w:tcW w:w="2268" w:type="dxa"/>
            <w:shd w:val="clear" w:color="auto" w:fill="auto"/>
            <w:vAlign w:val="center"/>
          </w:tcPr>
          <w:p w14:paraId="78CB39F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w:t>
            </w:r>
          </w:p>
        </w:tc>
        <w:tc>
          <w:tcPr>
            <w:tcW w:w="1985" w:type="dxa"/>
            <w:shd w:val="clear" w:color="auto" w:fill="auto"/>
            <w:vAlign w:val="center"/>
          </w:tcPr>
          <w:p w14:paraId="3E282C5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教育片时长</w:t>
            </w:r>
          </w:p>
        </w:tc>
        <w:tc>
          <w:tcPr>
            <w:tcW w:w="3402" w:type="dxa"/>
            <w:shd w:val="clear" w:color="auto" w:fill="auto"/>
            <w:vAlign w:val="center"/>
          </w:tcPr>
          <w:p w14:paraId="59A5ECA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考察警示教育片时间长度的情况</w:t>
            </w:r>
          </w:p>
        </w:tc>
        <w:tc>
          <w:tcPr>
            <w:tcW w:w="1560" w:type="dxa"/>
            <w:shd w:val="clear" w:color="auto" w:fill="auto"/>
            <w:vAlign w:val="center"/>
          </w:tcPr>
          <w:p w14:paraId="2E61C75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≤90分钟</w:t>
            </w:r>
          </w:p>
        </w:tc>
        <w:tc>
          <w:tcPr>
            <w:tcW w:w="2609" w:type="dxa"/>
            <w:shd w:val="clear" w:color="auto" w:fill="auto"/>
            <w:vAlign w:val="center"/>
          </w:tcPr>
          <w:p w14:paraId="41FAF32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22AC28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28A2732">
            <w:pPr>
              <w:spacing w:line="584" w:lineRule="exact"/>
              <w:rPr>
                <w:sz w:val="32"/>
                <w:szCs w:val="32"/>
              </w:rPr>
            </w:pPr>
          </w:p>
        </w:tc>
        <w:tc>
          <w:tcPr>
            <w:tcW w:w="2268" w:type="dxa"/>
            <w:shd w:val="clear" w:color="auto" w:fill="auto"/>
            <w:vAlign w:val="center"/>
          </w:tcPr>
          <w:p w14:paraId="1C2676F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w:t>
            </w:r>
          </w:p>
        </w:tc>
        <w:tc>
          <w:tcPr>
            <w:tcW w:w="1985" w:type="dxa"/>
            <w:shd w:val="clear" w:color="auto" w:fill="auto"/>
            <w:vAlign w:val="center"/>
          </w:tcPr>
          <w:p w14:paraId="0D39995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教育片出错率</w:t>
            </w:r>
          </w:p>
        </w:tc>
        <w:tc>
          <w:tcPr>
            <w:tcW w:w="3402" w:type="dxa"/>
            <w:shd w:val="clear" w:color="auto" w:fill="auto"/>
            <w:vAlign w:val="center"/>
          </w:tcPr>
          <w:p w14:paraId="17140C8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考察警示教育片采用素材、版权等问题出错的次数</w:t>
            </w:r>
          </w:p>
        </w:tc>
        <w:tc>
          <w:tcPr>
            <w:tcW w:w="1560" w:type="dxa"/>
            <w:shd w:val="clear" w:color="auto" w:fill="auto"/>
            <w:vAlign w:val="center"/>
          </w:tcPr>
          <w:p w14:paraId="1D0FA40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=0</w:t>
            </w:r>
          </w:p>
        </w:tc>
        <w:tc>
          <w:tcPr>
            <w:tcW w:w="2609" w:type="dxa"/>
            <w:shd w:val="clear" w:color="auto" w:fill="auto"/>
            <w:vAlign w:val="center"/>
          </w:tcPr>
          <w:p w14:paraId="61824D7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414497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7E45B88">
            <w:pPr>
              <w:spacing w:line="584" w:lineRule="exact"/>
              <w:rPr>
                <w:sz w:val="32"/>
                <w:szCs w:val="32"/>
              </w:rPr>
            </w:pPr>
          </w:p>
        </w:tc>
        <w:tc>
          <w:tcPr>
            <w:tcW w:w="2268" w:type="dxa"/>
            <w:shd w:val="clear" w:color="auto" w:fill="auto"/>
            <w:vAlign w:val="center"/>
          </w:tcPr>
          <w:p w14:paraId="788139E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w:t>
            </w:r>
          </w:p>
        </w:tc>
        <w:tc>
          <w:tcPr>
            <w:tcW w:w="1985" w:type="dxa"/>
            <w:shd w:val="clear" w:color="auto" w:fill="auto"/>
            <w:vAlign w:val="center"/>
          </w:tcPr>
          <w:p w14:paraId="1AC2C78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杂志印刷时限</w:t>
            </w:r>
          </w:p>
        </w:tc>
        <w:tc>
          <w:tcPr>
            <w:tcW w:w="3402" w:type="dxa"/>
            <w:shd w:val="clear" w:color="auto" w:fill="auto"/>
            <w:vAlign w:val="center"/>
          </w:tcPr>
          <w:p w14:paraId="16411B1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考察杂志印刷及时性</w:t>
            </w:r>
          </w:p>
        </w:tc>
        <w:tc>
          <w:tcPr>
            <w:tcW w:w="1560" w:type="dxa"/>
            <w:shd w:val="clear" w:color="auto" w:fill="auto"/>
            <w:vAlign w:val="center"/>
          </w:tcPr>
          <w:p w14:paraId="62F72A6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及时印刷出版</w:t>
            </w:r>
          </w:p>
        </w:tc>
        <w:tc>
          <w:tcPr>
            <w:tcW w:w="2609" w:type="dxa"/>
            <w:shd w:val="clear" w:color="auto" w:fill="auto"/>
            <w:vAlign w:val="center"/>
          </w:tcPr>
          <w:p w14:paraId="10D5105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241AAF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1FC7417">
            <w:pPr>
              <w:spacing w:line="584" w:lineRule="exact"/>
              <w:rPr>
                <w:sz w:val="32"/>
                <w:szCs w:val="32"/>
              </w:rPr>
            </w:pPr>
          </w:p>
        </w:tc>
        <w:tc>
          <w:tcPr>
            <w:tcW w:w="2268" w:type="dxa"/>
            <w:shd w:val="clear" w:color="auto" w:fill="auto"/>
            <w:vAlign w:val="center"/>
          </w:tcPr>
          <w:p w14:paraId="260B4A6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w:t>
            </w:r>
          </w:p>
        </w:tc>
        <w:tc>
          <w:tcPr>
            <w:tcW w:w="1985" w:type="dxa"/>
            <w:shd w:val="clear" w:color="auto" w:fill="auto"/>
            <w:vAlign w:val="center"/>
          </w:tcPr>
          <w:p w14:paraId="4E98F19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总成本控制</w:t>
            </w:r>
          </w:p>
        </w:tc>
        <w:tc>
          <w:tcPr>
            <w:tcW w:w="3402" w:type="dxa"/>
            <w:shd w:val="clear" w:color="auto" w:fill="auto"/>
            <w:vAlign w:val="center"/>
          </w:tcPr>
          <w:p w14:paraId="7DE1AE8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实际发生成本/预算计划成本</w:t>
            </w:r>
          </w:p>
        </w:tc>
        <w:tc>
          <w:tcPr>
            <w:tcW w:w="1560" w:type="dxa"/>
            <w:shd w:val="clear" w:color="auto" w:fill="auto"/>
            <w:vAlign w:val="center"/>
          </w:tcPr>
          <w:p w14:paraId="730AA81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609" w:type="dxa"/>
            <w:shd w:val="clear" w:color="auto" w:fill="auto"/>
            <w:vAlign w:val="center"/>
          </w:tcPr>
          <w:p w14:paraId="4D87F1D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合同</w:t>
            </w:r>
          </w:p>
        </w:tc>
      </w:tr>
      <w:tr w14:paraId="1070F4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BE5ECB3">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效果指标</w:t>
            </w:r>
          </w:p>
        </w:tc>
        <w:tc>
          <w:tcPr>
            <w:tcW w:w="2268" w:type="dxa"/>
            <w:shd w:val="clear" w:color="auto" w:fill="auto"/>
            <w:vAlign w:val="center"/>
          </w:tcPr>
          <w:p w14:paraId="49BDA7C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w:t>
            </w:r>
          </w:p>
        </w:tc>
        <w:tc>
          <w:tcPr>
            <w:tcW w:w="1985" w:type="dxa"/>
            <w:shd w:val="clear" w:color="auto" w:fill="auto"/>
            <w:vAlign w:val="center"/>
          </w:tcPr>
          <w:p w14:paraId="5FB0816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杂志发放范围</w:t>
            </w:r>
          </w:p>
        </w:tc>
        <w:tc>
          <w:tcPr>
            <w:tcW w:w="3402" w:type="dxa"/>
            <w:shd w:val="clear" w:color="auto" w:fill="auto"/>
            <w:vAlign w:val="center"/>
          </w:tcPr>
          <w:p w14:paraId="129EF45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考察杂志实际发放范围</w:t>
            </w:r>
          </w:p>
        </w:tc>
        <w:tc>
          <w:tcPr>
            <w:tcW w:w="1560" w:type="dxa"/>
            <w:shd w:val="clear" w:color="auto" w:fill="auto"/>
            <w:vAlign w:val="center"/>
          </w:tcPr>
          <w:p w14:paraId="49A4CBF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609" w:type="dxa"/>
            <w:shd w:val="clear" w:color="auto" w:fill="auto"/>
            <w:vAlign w:val="center"/>
          </w:tcPr>
          <w:p w14:paraId="27A845C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01BF1B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003FDF7">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满意度指标</w:t>
            </w:r>
          </w:p>
        </w:tc>
        <w:tc>
          <w:tcPr>
            <w:tcW w:w="2268" w:type="dxa"/>
            <w:shd w:val="clear" w:color="auto" w:fill="auto"/>
            <w:vAlign w:val="center"/>
          </w:tcPr>
          <w:p w14:paraId="1B57D8E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满意度</w:t>
            </w:r>
          </w:p>
        </w:tc>
        <w:tc>
          <w:tcPr>
            <w:tcW w:w="1985" w:type="dxa"/>
            <w:shd w:val="clear" w:color="auto" w:fill="auto"/>
            <w:vAlign w:val="center"/>
          </w:tcPr>
          <w:p w14:paraId="15A0DEA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党员干部的满意度</w:t>
            </w:r>
          </w:p>
        </w:tc>
        <w:tc>
          <w:tcPr>
            <w:tcW w:w="3402" w:type="dxa"/>
            <w:shd w:val="clear" w:color="auto" w:fill="auto"/>
            <w:vAlign w:val="center"/>
          </w:tcPr>
          <w:p w14:paraId="0EA3B5C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考察党员干部对纪检监察杂志的满意度</w:t>
            </w:r>
          </w:p>
        </w:tc>
        <w:tc>
          <w:tcPr>
            <w:tcW w:w="1560" w:type="dxa"/>
            <w:shd w:val="clear" w:color="auto" w:fill="auto"/>
            <w:vAlign w:val="center"/>
          </w:tcPr>
          <w:p w14:paraId="57BA2D1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≥85%</w:t>
            </w:r>
          </w:p>
        </w:tc>
        <w:tc>
          <w:tcPr>
            <w:tcW w:w="2609" w:type="dxa"/>
            <w:shd w:val="clear" w:color="auto" w:fill="auto"/>
            <w:vAlign w:val="center"/>
          </w:tcPr>
          <w:p w14:paraId="677B098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调查问卷</w:t>
            </w:r>
          </w:p>
        </w:tc>
      </w:tr>
    </w:tbl>
    <w:p w14:paraId="09D1AD7A">
      <w:pPr>
        <w:spacing w:line="584" w:lineRule="exact"/>
        <w:ind w:firstLine="640" w:firstLineChars="200"/>
        <w:jc w:val="left"/>
        <w:outlineLvl w:val="1"/>
        <w:rPr>
          <w:rFonts w:ascii="Times New Roman" w:hAnsi="Times New Roman" w:eastAsia="仿宋_GB2312" w:cs="Times New Roman"/>
          <w:sz w:val="32"/>
          <w:szCs w:val="32"/>
        </w:rPr>
      </w:pPr>
    </w:p>
    <w:p w14:paraId="57F7A7AD">
      <w:pPr>
        <w:spacing w:line="584" w:lineRule="exact"/>
        <w:ind w:firstLine="640" w:firstLineChars="200"/>
        <w:jc w:val="left"/>
        <w:outlineLvl w:val="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sz w:val="32"/>
          <w:szCs w:val="32"/>
        </w:rPr>
        <w:t xml:space="preserve"> </w:t>
      </w:r>
      <w:r>
        <w:rPr>
          <w:rFonts w:hint="eastAsia" w:ascii="Times New Roman" w:hAnsi="Times New Roman" w:eastAsia="仿宋_GB2312" w:cs="Times New Roman"/>
          <w:sz w:val="32"/>
          <w:szCs w:val="32"/>
        </w:rPr>
        <w:t>廊坊市纪委监委网站建设专项经费</w:t>
      </w:r>
      <w:r>
        <w:rPr>
          <w:rFonts w:ascii="Times New Roman" w:hAnsi="Times New Roman" w:eastAsia="仿宋_GB2312" w:cs="Times New Roman"/>
          <w:sz w:val="32"/>
          <w:szCs w:val="32"/>
        </w:rPr>
        <w:t>绩效目标表</w:t>
      </w:r>
      <w:r>
        <w:rPr>
          <w:rFonts w:ascii="Times New Roman" w:hAnsi="Times New Roman" w:eastAsia="仿宋_GB2312" w:cs="Times New Roman"/>
          <w:vanish/>
          <w:sz w:val="32"/>
          <w:szCs w:val="32"/>
        </w:rPr>
        <w:t>{ TC 2、办公自动化（OA）和督查督办系统升级及推广费绩效目标表 \f C \l 1 }</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735D6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2A283BA">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653" w:type="dxa"/>
            <w:gridSpan w:val="5"/>
            <w:shd w:val="clear" w:color="auto" w:fill="auto"/>
            <w:vAlign w:val="center"/>
          </w:tcPr>
          <w:p w14:paraId="350E27C3">
            <w:pPr>
              <w:spacing w:line="584"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进一步弘扬主旋律、传播正能量，把廊坊市纪委监委网站建设成干部群众喜欢的政务网站、建设成权威高效安全的全市纪检监察门户网站。</w:t>
            </w:r>
          </w:p>
        </w:tc>
      </w:tr>
      <w:tr w14:paraId="76ACAB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BBC4226">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shd w:val="clear" w:color="auto" w:fill="auto"/>
            <w:vAlign w:val="center"/>
          </w:tcPr>
          <w:p w14:paraId="666889DF">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shd w:val="clear" w:color="auto" w:fill="auto"/>
            <w:vAlign w:val="center"/>
          </w:tcPr>
          <w:p w14:paraId="4CA24926">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shd w:val="clear" w:color="auto" w:fill="auto"/>
            <w:vAlign w:val="center"/>
          </w:tcPr>
          <w:p w14:paraId="23DA63B7">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843" w:type="dxa"/>
            <w:shd w:val="clear" w:color="auto" w:fill="auto"/>
            <w:vAlign w:val="center"/>
          </w:tcPr>
          <w:p w14:paraId="6D025DBC">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155" w:type="dxa"/>
            <w:shd w:val="clear" w:color="auto" w:fill="auto"/>
            <w:vAlign w:val="center"/>
          </w:tcPr>
          <w:p w14:paraId="32A6E599">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2DB263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F3D23B3">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产出指标</w:t>
            </w:r>
          </w:p>
        </w:tc>
        <w:tc>
          <w:tcPr>
            <w:tcW w:w="2268" w:type="dxa"/>
            <w:shd w:val="clear" w:color="auto" w:fill="auto"/>
            <w:vAlign w:val="center"/>
          </w:tcPr>
          <w:p w14:paraId="30D89FC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w:t>
            </w:r>
          </w:p>
        </w:tc>
        <w:tc>
          <w:tcPr>
            <w:tcW w:w="1985" w:type="dxa"/>
            <w:shd w:val="clear" w:color="auto" w:fill="auto"/>
            <w:vAlign w:val="center"/>
          </w:tcPr>
          <w:p w14:paraId="4CF95DA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工作人员数量</w:t>
            </w:r>
          </w:p>
        </w:tc>
        <w:tc>
          <w:tcPr>
            <w:tcW w:w="3402" w:type="dxa"/>
            <w:shd w:val="clear" w:color="auto" w:fill="auto"/>
            <w:vAlign w:val="center"/>
          </w:tcPr>
          <w:p w14:paraId="2BDCC1B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考察网站工作人员数量</w:t>
            </w:r>
          </w:p>
        </w:tc>
        <w:tc>
          <w:tcPr>
            <w:tcW w:w="1843" w:type="dxa"/>
            <w:shd w:val="clear" w:color="auto" w:fill="auto"/>
            <w:vAlign w:val="center"/>
          </w:tcPr>
          <w:p w14:paraId="665F850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p>
        </w:tc>
        <w:tc>
          <w:tcPr>
            <w:tcW w:w="2155" w:type="dxa"/>
            <w:shd w:val="clear" w:color="auto" w:fill="auto"/>
            <w:vAlign w:val="center"/>
          </w:tcPr>
          <w:p w14:paraId="3EB4E23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2CAB63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E0D02AD">
            <w:pPr>
              <w:spacing w:line="584" w:lineRule="exact"/>
              <w:rPr>
                <w:sz w:val="32"/>
                <w:szCs w:val="32"/>
              </w:rPr>
            </w:pPr>
          </w:p>
        </w:tc>
        <w:tc>
          <w:tcPr>
            <w:tcW w:w="2268" w:type="dxa"/>
            <w:shd w:val="clear" w:color="auto" w:fill="auto"/>
            <w:vAlign w:val="center"/>
          </w:tcPr>
          <w:p w14:paraId="413B4AB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w:t>
            </w:r>
          </w:p>
        </w:tc>
        <w:tc>
          <w:tcPr>
            <w:tcW w:w="1985" w:type="dxa"/>
            <w:shd w:val="clear" w:color="auto" w:fill="auto"/>
            <w:vAlign w:val="center"/>
          </w:tcPr>
          <w:p w14:paraId="0D25D6E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网站安全率</w:t>
            </w:r>
          </w:p>
        </w:tc>
        <w:tc>
          <w:tcPr>
            <w:tcW w:w="3402" w:type="dxa"/>
            <w:shd w:val="clear" w:color="auto" w:fill="auto"/>
            <w:vAlign w:val="center"/>
          </w:tcPr>
          <w:p w14:paraId="48145C7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考察网站出现人为故意、责任心不强造成病毒感染、被攻击、被篡改、被瘫痪等重大安全问题的次数</w:t>
            </w:r>
          </w:p>
        </w:tc>
        <w:tc>
          <w:tcPr>
            <w:tcW w:w="1843" w:type="dxa"/>
            <w:shd w:val="clear" w:color="auto" w:fill="auto"/>
            <w:vAlign w:val="center"/>
          </w:tcPr>
          <w:p w14:paraId="7DDC252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=0</w:t>
            </w:r>
          </w:p>
        </w:tc>
        <w:tc>
          <w:tcPr>
            <w:tcW w:w="2155" w:type="dxa"/>
            <w:shd w:val="clear" w:color="auto" w:fill="auto"/>
            <w:vAlign w:val="center"/>
          </w:tcPr>
          <w:p w14:paraId="49D23BF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5695D3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689DD00">
            <w:pPr>
              <w:spacing w:line="584" w:lineRule="exact"/>
              <w:rPr>
                <w:sz w:val="32"/>
                <w:szCs w:val="32"/>
              </w:rPr>
            </w:pPr>
          </w:p>
        </w:tc>
        <w:tc>
          <w:tcPr>
            <w:tcW w:w="2268" w:type="dxa"/>
            <w:shd w:val="clear" w:color="auto" w:fill="auto"/>
            <w:vAlign w:val="center"/>
          </w:tcPr>
          <w:p w14:paraId="3B0368A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w:t>
            </w:r>
          </w:p>
        </w:tc>
        <w:tc>
          <w:tcPr>
            <w:tcW w:w="1985" w:type="dxa"/>
            <w:shd w:val="clear" w:color="auto" w:fill="auto"/>
            <w:vAlign w:val="center"/>
          </w:tcPr>
          <w:p w14:paraId="5EE4CCB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信息发布准时率</w:t>
            </w:r>
          </w:p>
        </w:tc>
        <w:tc>
          <w:tcPr>
            <w:tcW w:w="3402" w:type="dxa"/>
            <w:shd w:val="clear" w:color="auto" w:fill="auto"/>
            <w:vAlign w:val="center"/>
          </w:tcPr>
          <w:p w14:paraId="19FAC08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考察信息发布及时、准时的比率</w:t>
            </w:r>
          </w:p>
        </w:tc>
        <w:tc>
          <w:tcPr>
            <w:tcW w:w="1843" w:type="dxa"/>
            <w:shd w:val="clear" w:color="auto" w:fill="auto"/>
            <w:vAlign w:val="center"/>
          </w:tcPr>
          <w:p w14:paraId="28B71F7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shd w:val="clear" w:color="auto" w:fill="auto"/>
            <w:vAlign w:val="center"/>
          </w:tcPr>
          <w:p w14:paraId="02E2F2D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578E34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F99FE59">
            <w:pPr>
              <w:spacing w:line="584" w:lineRule="exact"/>
              <w:rPr>
                <w:sz w:val="32"/>
                <w:szCs w:val="32"/>
              </w:rPr>
            </w:pPr>
          </w:p>
        </w:tc>
        <w:tc>
          <w:tcPr>
            <w:tcW w:w="2268" w:type="dxa"/>
            <w:shd w:val="clear" w:color="auto" w:fill="auto"/>
            <w:vAlign w:val="center"/>
          </w:tcPr>
          <w:p w14:paraId="7B34B4D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w:t>
            </w:r>
          </w:p>
        </w:tc>
        <w:tc>
          <w:tcPr>
            <w:tcW w:w="1985" w:type="dxa"/>
            <w:shd w:val="clear" w:color="auto" w:fill="auto"/>
            <w:vAlign w:val="center"/>
          </w:tcPr>
          <w:p w14:paraId="3F7F20C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总成本控制</w:t>
            </w:r>
          </w:p>
        </w:tc>
        <w:tc>
          <w:tcPr>
            <w:tcW w:w="3402" w:type="dxa"/>
            <w:shd w:val="clear" w:color="auto" w:fill="auto"/>
            <w:vAlign w:val="center"/>
          </w:tcPr>
          <w:p w14:paraId="1E23525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实际发生成本/预算计划成本</w:t>
            </w:r>
          </w:p>
        </w:tc>
        <w:tc>
          <w:tcPr>
            <w:tcW w:w="1843" w:type="dxa"/>
            <w:shd w:val="clear" w:color="auto" w:fill="auto"/>
            <w:vAlign w:val="center"/>
          </w:tcPr>
          <w:p w14:paraId="14C8381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shd w:val="clear" w:color="auto" w:fill="auto"/>
            <w:vAlign w:val="center"/>
          </w:tcPr>
          <w:p w14:paraId="7A7F275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03C00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1B5F712">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效果指标</w:t>
            </w:r>
          </w:p>
        </w:tc>
        <w:tc>
          <w:tcPr>
            <w:tcW w:w="2268" w:type="dxa"/>
            <w:shd w:val="clear" w:color="auto" w:fill="auto"/>
            <w:vAlign w:val="center"/>
          </w:tcPr>
          <w:p w14:paraId="3C37A44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w:t>
            </w:r>
          </w:p>
        </w:tc>
        <w:tc>
          <w:tcPr>
            <w:tcW w:w="1985" w:type="dxa"/>
            <w:shd w:val="clear" w:color="auto" w:fill="auto"/>
            <w:vAlign w:val="center"/>
          </w:tcPr>
          <w:p w14:paraId="1AC6CD2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网站点击率</w:t>
            </w:r>
          </w:p>
        </w:tc>
        <w:tc>
          <w:tcPr>
            <w:tcW w:w="3402" w:type="dxa"/>
            <w:shd w:val="clear" w:color="auto" w:fill="auto"/>
            <w:vAlign w:val="center"/>
          </w:tcPr>
          <w:p w14:paraId="2356F6C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考察纪委监委网站点击率</w:t>
            </w:r>
          </w:p>
        </w:tc>
        <w:tc>
          <w:tcPr>
            <w:tcW w:w="1843" w:type="dxa"/>
            <w:shd w:val="clear" w:color="auto" w:fill="auto"/>
            <w:vAlign w:val="center"/>
          </w:tcPr>
          <w:p w14:paraId="3384A3C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≥150万次</w:t>
            </w:r>
          </w:p>
        </w:tc>
        <w:tc>
          <w:tcPr>
            <w:tcW w:w="2155" w:type="dxa"/>
            <w:shd w:val="clear" w:color="auto" w:fill="auto"/>
            <w:vAlign w:val="center"/>
          </w:tcPr>
          <w:p w14:paraId="308DC04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34E2E5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D174F50">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满意度指标</w:t>
            </w:r>
          </w:p>
        </w:tc>
        <w:tc>
          <w:tcPr>
            <w:tcW w:w="2268" w:type="dxa"/>
            <w:shd w:val="clear" w:color="auto" w:fill="auto"/>
            <w:vAlign w:val="center"/>
          </w:tcPr>
          <w:p w14:paraId="421B678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满意度</w:t>
            </w:r>
          </w:p>
        </w:tc>
        <w:tc>
          <w:tcPr>
            <w:tcW w:w="1985" w:type="dxa"/>
            <w:shd w:val="clear" w:color="auto" w:fill="auto"/>
            <w:vAlign w:val="center"/>
          </w:tcPr>
          <w:p w14:paraId="3E8D6443">
            <w:pPr>
              <w:widowControl/>
              <w:spacing w:line="360"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社会群众的满意度</w:t>
            </w:r>
          </w:p>
        </w:tc>
        <w:tc>
          <w:tcPr>
            <w:tcW w:w="3402" w:type="dxa"/>
            <w:shd w:val="clear" w:color="auto" w:fill="auto"/>
            <w:vAlign w:val="center"/>
          </w:tcPr>
          <w:p w14:paraId="79E14AD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考察社会群众对网站的满意度</w:t>
            </w:r>
          </w:p>
        </w:tc>
        <w:tc>
          <w:tcPr>
            <w:tcW w:w="1843" w:type="dxa"/>
            <w:shd w:val="clear" w:color="auto" w:fill="auto"/>
            <w:vAlign w:val="center"/>
          </w:tcPr>
          <w:p w14:paraId="5E2A440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≥85%</w:t>
            </w:r>
          </w:p>
        </w:tc>
        <w:tc>
          <w:tcPr>
            <w:tcW w:w="2155" w:type="dxa"/>
            <w:shd w:val="clear" w:color="auto" w:fill="auto"/>
            <w:vAlign w:val="center"/>
          </w:tcPr>
          <w:p w14:paraId="0CA1381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调查问卷</w:t>
            </w:r>
          </w:p>
        </w:tc>
      </w:tr>
    </w:tbl>
    <w:p w14:paraId="12DAD253">
      <w:pPr>
        <w:spacing w:line="584" w:lineRule="exact"/>
        <w:ind w:firstLine="640" w:firstLineChars="200"/>
        <w:jc w:val="left"/>
        <w:outlineLvl w:val="1"/>
        <w:rPr>
          <w:rFonts w:ascii="Times New Roman" w:hAnsi="Times New Roman" w:eastAsia="仿宋_GB2312" w:cs="Times New Roman"/>
          <w:sz w:val="32"/>
          <w:szCs w:val="32"/>
        </w:rPr>
      </w:pPr>
    </w:p>
    <w:p w14:paraId="3EAD19F3">
      <w:pPr>
        <w:spacing w:line="584" w:lineRule="exact"/>
        <w:ind w:firstLine="640" w:firstLineChars="200"/>
        <w:jc w:val="left"/>
        <w:outlineLvl w:val="1"/>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hint="eastAsia"/>
          <w:sz w:val="32"/>
          <w:szCs w:val="32"/>
        </w:rPr>
        <w:t xml:space="preserve"> </w:t>
      </w:r>
      <w:r>
        <w:rPr>
          <w:rFonts w:hint="eastAsia" w:ascii="Times New Roman" w:hAnsi="Times New Roman" w:eastAsia="仿宋_GB2312" w:cs="Times New Roman"/>
          <w:sz w:val="32"/>
          <w:szCs w:val="32"/>
        </w:rPr>
        <w:t>纪检监察信息化运行维护专项经费</w:t>
      </w:r>
      <w:r>
        <w:rPr>
          <w:rFonts w:ascii="Times New Roman" w:hAnsi="Times New Roman" w:eastAsia="仿宋_GB2312" w:cs="Times New Roman"/>
          <w:sz w:val="32"/>
          <w:szCs w:val="32"/>
        </w:rPr>
        <w:t>绩效目标表</w:t>
      </w:r>
      <w:r>
        <w:rPr>
          <w:rFonts w:ascii="Times New Roman" w:hAnsi="Times New Roman" w:eastAsia="仿宋_GB2312" w:cs="Times New Roman"/>
          <w:vanish/>
          <w:sz w:val="32"/>
          <w:szCs w:val="32"/>
        </w:rPr>
        <w:t>{ TC 2、办公自动化（OA）和督查督办系统升级及推广费绩效目标表 \f C \l 1 }</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FF6D3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BFD8CF2">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653" w:type="dxa"/>
            <w:gridSpan w:val="5"/>
            <w:shd w:val="clear" w:color="auto" w:fill="auto"/>
            <w:vAlign w:val="center"/>
          </w:tcPr>
          <w:p w14:paraId="0F1770CD">
            <w:pPr>
              <w:spacing w:line="584"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通过对内网、平台及系统的运行维护，完成年初工作计划，保障各项纪检监察工作的正常开展。</w:t>
            </w:r>
          </w:p>
        </w:tc>
      </w:tr>
      <w:tr w14:paraId="0E9377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53B6587">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shd w:val="clear" w:color="auto" w:fill="auto"/>
            <w:vAlign w:val="center"/>
          </w:tcPr>
          <w:p w14:paraId="51380060">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shd w:val="clear" w:color="auto" w:fill="auto"/>
            <w:vAlign w:val="center"/>
          </w:tcPr>
          <w:p w14:paraId="00C62D2A">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shd w:val="clear" w:color="auto" w:fill="auto"/>
            <w:vAlign w:val="center"/>
          </w:tcPr>
          <w:p w14:paraId="0DC8B622">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843" w:type="dxa"/>
            <w:shd w:val="clear" w:color="auto" w:fill="auto"/>
            <w:vAlign w:val="center"/>
          </w:tcPr>
          <w:p w14:paraId="7E400FF9">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155" w:type="dxa"/>
            <w:shd w:val="clear" w:color="auto" w:fill="auto"/>
            <w:vAlign w:val="center"/>
          </w:tcPr>
          <w:p w14:paraId="2C80AFB3">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054DD9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4397AEEB">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产出指标</w:t>
            </w:r>
          </w:p>
        </w:tc>
        <w:tc>
          <w:tcPr>
            <w:tcW w:w="2268" w:type="dxa"/>
            <w:shd w:val="clear" w:color="auto" w:fill="auto"/>
            <w:vAlign w:val="center"/>
          </w:tcPr>
          <w:p w14:paraId="1729427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w:t>
            </w:r>
          </w:p>
        </w:tc>
        <w:tc>
          <w:tcPr>
            <w:tcW w:w="1985" w:type="dxa"/>
            <w:shd w:val="clear" w:color="auto" w:fill="auto"/>
            <w:vAlign w:val="center"/>
          </w:tcPr>
          <w:p w14:paraId="1F7702C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平台数量</w:t>
            </w:r>
          </w:p>
        </w:tc>
        <w:tc>
          <w:tcPr>
            <w:tcW w:w="3402" w:type="dxa"/>
            <w:shd w:val="clear" w:color="auto" w:fill="auto"/>
            <w:vAlign w:val="center"/>
          </w:tcPr>
          <w:p w14:paraId="2CD4431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考察信息化平台的数量</w:t>
            </w:r>
          </w:p>
        </w:tc>
        <w:tc>
          <w:tcPr>
            <w:tcW w:w="1843" w:type="dxa"/>
            <w:shd w:val="clear" w:color="auto" w:fill="auto"/>
            <w:vAlign w:val="center"/>
          </w:tcPr>
          <w:p w14:paraId="27D6096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≥3个</w:t>
            </w:r>
          </w:p>
        </w:tc>
        <w:tc>
          <w:tcPr>
            <w:tcW w:w="2155" w:type="dxa"/>
            <w:shd w:val="clear" w:color="auto" w:fill="auto"/>
            <w:vAlign w:val="center"/>
          </w:tcPr>
          <w:p w14:paraId="23CC756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2955EE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1DDD1C3">
            <w:pPr>
              <w:spacing w:line="584" w:lineRule="exact"/>
              <w:rPr>
                <w:sz w:val="32"/>
                <w:szCs w:val="32"/>
              </w:rPr>
            </w:pPr>
          </w:p>
        </w:tc>
        <w:tc>
          <w:tcPr>
            <w:tcW w:w="2268" w:type="dxa"/>
            <w:shd w:val="clear" w:color="auto" w:fill="auto"/>
            <w:vAlign w:val="center"/>
          </w:tcPr>
          <w:p w14:paraId="4D82379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w:t>
            </w:r>
          </w:p>
        </w:tc>
        <w:tc>
          <w:tcPr>
            <w:tcW w:w="1985" w:type="dxa"/>
            <w:shd w:val="clear" w:color="auto" w:fill="auto"/>
            <w:vAlign w:val="center"/>
          </w:tcPr>
          <w:p w14:paraId="08E7497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网络安全率</w:t>
            </w:r>
          </w:p>
        </w:tc>
        <w:tc>
          <w:tcPr>
            <w:tcW w:w="3402" w:type="dxa"/>
            <w:shd w:val="clear" w:color="auto" w:fill="auto"/>
            <w:vAlign w:val="center"/>
          </w:tcPr>
          <w:p w14:paraId="0C1285D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考察信息化系统安全</w:t>
            </w:r>
          </w:p>
        </w:tc>
        <w:tc>
          <w:tcPr>
            <w:tcW w:w="1843" w:type="dxa"/>
            <w:shd w:val="clear" w:color="auto" w:fill="auto"/>
            <w:vAlign w:val="center"/>
          </w:tcPr>
          <w:p w14:paraId="10D8D75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shd w:val="clear" w:color="auto" w:fill="auto"/>
            <w:vAlign w:val="center"/>
          </w:tcPr>
          <w:p w14:paraId="3134572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0F22C0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7B3A4A5">
            <w:pPr>
              <w:spacing w:line="584" w:lineRule="exact"/>
              <w:rPr>
                <w:sz w:val="32"/>
                <w:szCs w:val="32"/>
              </w:rPr>
            </w:pPr>
          </w:p>
        </w:tc>
        <w:tc>
          <w:tcPr>
            <w:tcW w:w="2268" w:type="dxa"/>
            <w:shd w:val="clear" w:color="auto" w:fill="auto"/>
            <w:vAlign w:val="center"/>
          </w:tcPr>
          <w:p w14:paraId="355B60E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w:t>
            </w:r>
          </w:p>
        </w:tc>
        <w:tc>
          <w:tcPr>
            <w:tcW w:w="1985" w:type="dxa"/>
            <w:shd w:val="clear" w:color="auto" w:fill="auto"/>
            <w:vAlign w:val="center"/>
          </w:tcPr>
          <w:p w14:paraId="43FA7B0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维护及时性</w:t>
            </w:r>
          </w:p>
        </w:tc>
        <w:tc>
          <w:tcPr>
            <w:tcW w:w="3402" w:type="dxa"/>
            <w:shd w:val="clear" w:color="auto" w:fill="auto"/>
            <w:vAlign w:val="center"/>
          </w:tcPr>
          <w:p w14:paraId="3F974E6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考察能否及时对网络、平台等进行维护</w:t>
            </w:r>
          </w:p>
        </w:tc>
        <w:tc>
          <w:tcPr>
            <w:tcW w:w="1843" w:type="dxa"/>
            <w:shd w:val="clear" w:color="auto" w:fill="auto"/>
            <w:vAlign w:val="center"/>
          </w:tcPr>
          <w:p w14:paraId="1C2915C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及时</w:t>
            </w:r>
          </w:p>
        </w:tc>
        <w:tc>
          <w:tcPr>
            <w:tcW w:w="2155" w:type="dxa"/>
            <w:shd w:val="clear" w:color="auto" w:fill="auto"/>
            <w:vAlign w:val="center"/>
          </w:tcPr>
          <w:p w14:paraId="792B6D2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752F9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EE8EC98">
            <w:pPr>
              <w:spacing w:line="584" w:lineRule="exact"/>
              <w:rPr>
                <w:sz w:val="32"/>
                <w:szCs w:val="32"/>
              </w:rPr>
            </w:pPr>
          </w:p>
        </w:tc>
        <w:tc>
          <w:tcPr>
            <w:tcW w:w="2268" w:type="dxa"/>
            <w:shd w:val="clear" w:color="auto" w:fill="auto"/>
            <w:vAlign w:val="center"/>
          </w:tcPr>
          <w:p w14:paraId="6A8C67E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w:t>
            </w:r>
          </w:p>
        </w:tc>
        <w:tc>
          <w:tcPr>
            <w:tcW w:w="1985" w:type="dxa"/>
            <w:shd w:val="clear" w:color="auto" w:fill="auto"/>
            <w:vAlign w:val="center"/>
          </w:tcPr>
          <w:p w14:paraId="78AD03C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总成本控制</w:t>
            </w:r>
          </w:p>
        </w:tc>
        <w:tc>
          <w:tcPr>
            <w:tcW w:w="3402" w:type="dxa"/>
            <w:shd w:val="clear" w:color="auto" w:fill="auto"/>
            <w:vAlign w:val="center"/>
          </w:tcPr>
          <w:p w14:paraId="0528364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实际发生成本/预算计划成本</w:t>
            </w:r>
          </w:p>
        </w:tc>
        <w:tc>
          <w:tcPr>
            <w:tcW w:w="1843" w:type="dxa"/>
            <w:shd w:val="clear" w:color="auto" w:fill="auto"/>
            <w:vAlign w:val="center"/>
          </w:tcPr>
          <w:p w14:paraId="3CA0182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shd w:val="clear" w:color="auto" w:fill="auto"/>
            <w:vAlign w:val="center"/>
          </w:tcPr>
          <w:p w14:paraId="12678A4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2BD132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64D2383">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效果指标</w:t>
            </w:r>
          </w:p>
        </w:tc>
        <w:tc>
          <w:tcPr>
            <w:tcW w:w="2268" w:type="dxa"/>
            <w:shd w:val="clear" w:color="auto" w:fill="auto"/>
            <w:vAlign w:val="center"/>
          </w:tcPr>
          <w:p w14:paraId="5B828DF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w:t>
            </w:r>
          </w:p>
        </w:tc>
        <w:tc>
          <w:tcPr>
            <w:tcW w:w="1985" w:type="dxa"/>
            <w:shd w:val="clear" w:color="auto" w:fill="auto"/>
            <w:vAlign w:val="center"/>
          </w:tcPr>
          <w:p w14:paraId="20F15FB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保障纪检监察工作</w:t>
            </w:r>
          </w:p>
        </w:tc>
        <w:tc>
          <w:tcPr>
            <w:tcW w:w="3402" w:type="dxa"/>
            <w:shd w:val="clear" w:color="auto" w:fill="auto"/>
            <w:vAlign w:val="center"/>
          </w:tcPr>
          <w:p w14:paraId="0FD89A5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能否保障纪检监察工作</w:t>
            </w:r>
          </w:p>
        </w:tc>
        <w:tc>
          <w:tcPr>
            <w:tcW w:w="1843" w:type="dxa"/>
            <w:shd w:val="clear" w:color="auto" w:fill="auto"/>
            <w:vAlign w:val="center"/>
          </w:tcPr>
          <w:p w14:paraId="452E5DF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保障</w:t>
            </w:r>
          </w:p>
        </w:tc>
        <w:tc>
          <w:tcPr>
            <w:tcW w:w="2155" w:type="dxa"/>
            <w:shd w:val="clear" w:color="auto" w:fill="auto"/>
            <w:vAlign w:val="center"/>
          </w:tcPr>
          <w:p w14:paraId="6DBF12F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工作计划</w:t>
            </w:r>
          </w:p>
        </w:tc>
      </w:tr>
      <w:tr w14:paraId="48B502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ECC5CFA">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满意度指标</w:t>
            </w:r>
          </w:p>
        </w:tc>
        <w:tc>
          <w:tcPr>
            <w:tcW w:w="2268" w:type="dxa"/>
            <w:shd w:val="clear" w:color="auto" w:fill="auto"/>
            <w:vAlign w:val="center"/>
          </w:tcPr>
          <w:p w14:paraId="1E8BF5A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满意度</w:t>
            </w:r>
          </w:p>
        </w:tc>
        <w:tc>
          <w:tcPr>
            <w:tcW w:w="1985" w:type="dxa"/>
            <w:shd w:val="clear" w:color="auto" w:fill="auto"/>
            <w:vAlign w:val="center"/>
          </w:tcPr>
          <w:p w14:paraId="494C946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干部职工的满意度</w:t>
            </w:r>
          </w:p>
        </w:tc>
        <w:tc>
          <w:tcPr>
            <w:tcW w:w="3402" w:type="dxa"/>
            <w:shd w:val="clear" w:color="auto" w:fill="auto"/>
            <w:vAlign w:val="center"/>
          </w:tcPr>
          <w:p w14:paraId="28E875C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考察干部职工对信息化工作的满意度</w:t>
            </w:r>
          </w:p>
        </w:tc>
        <w:tc>
          <w:tcPr>
            <w:tcW w:w="1843" w:type="dxa"/>
            <w:shd w:val="clear" w:color="auto" w:fill="auto"/>
            <w:vAlign w:val="center"/>
          </w:tcPr>
          <w:p w14:paraId="7BEF5EA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≥90%</w:t>
            </w:r>
          </w:p>
        </w:tc>
        <w:tc>
          <w:tcPr>
            <w:tcW w:w="2155" w:type="dxa"/>
            <w:shd w:val="clear" w:color="auto" w:fill="auto"/>
            <w:vAlign w:val="center"/>
          </w:tcPr>
          <w:p w14:paraId="46F2BA4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调查问卷</w:t>
            </w:r>
          </w:p>
        </w:tc>
      </w:tr>
    </w:tbl>
    <w:p w14:paraId="3FCA3C4E">
      <w:pPr>
        <w:autoSpaceDE w:val="0"/>
        <w:autoSpaceDN w:val="0"/>
        <w:adjustRightInd w:val="0"/>
        <w:spacing w:line="584" w:lineRule="exact"/>
        <w:ind w:firstLine="643" w:firstLineChars="200"/>
        <w:jc w:val="left"/>
        <w:rPr>
          <w:rFonts w:ascii="仿宋_GB2312" w:hAnsi="Times New Roman" w:eastAsia="仿宋_GB2312" w:cs="Times New Roman"/>
          <w:b/>
          <w:sz w:val="32"/>
          <w:szCs w:val="32"/>
        </w:rPr>
      </w:pPr>
    </w:p>
    <w:p w14:paraId="256D4E4F">
      <w:pPr>
        <w:autoSpaceDE w:val="0"/>
        <w:autoSpaceDN w:val="0"/>
        <w:adjustRightInd w:val="0"/>
        <w:spacing w:line="584" w:lineRule="exact"/>
        <w:ind w:firstLine="643" w:firstLineChars="200"/>
        <w:jc w:val="lef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旧州管理中心</w:t>
      </w:r>
    </w:p>
    <w:p w14:paraId="71AEBA22">
      <w:pPr>
        <w:ind w:firstLine="640" w:firstLineChars="200"/>
        <w:jc w:val="left"/>
        <w:outlineLvl w:val="1"/>
        <w:rPr>
          <w:rFonts w:ascii="仿宋_GB2312" w:hAnsi="Times New Roman" w:eastAsia="仿宋_GB2312" w:cs="Times New Roman"/>
          <w:sz w:val="32"/>
          <w:szCs w:val="32"/>
        </w:rPr>
      </w:pPr>
      <w:r>
        <w:rPr>
          <w:rFonts w:hint="eastAsia" w:ascii="仿宋_GB2312" w:hAnsi="Times New Roman" w:eastAsia="仿宋_GB2312" w:cs="Times New Roman"/>
          <w:sz w:val="32"/>
          <w:szCs w:val="32"/>
        </w:rPr>
        <w:t>1.基地运行经费绩效目标表</w:t>
      </w:r>
      <w:bookmarkStart w:id="0" w:name="_Toc29799657"/>
      <w:bookmarkEnd w:id="0"/>
      <w:r>
        <w:rPr>
          <w:rFonts w:hint="eastAsia" w:ascii="仿宋_GB2312" w:hAnsi="Times New Roman" w:eastAsia="仿宋_GB2312" w:cs="Times New Roman"/>
          <w:vanish/>
          <w:sz w:val="32"/>
          <w:szCs w:val="32"/>
        </w:rPr>
        <w:t>{ TC 2、办公自动化（OA）和督查督办系统升级及推广费绩效目标表 \f C \l 1 }</w:t>
      </w:r>
    </w:p>
    <w:p w14:paraId="4A2F6F06">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2E2FB0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0455108A">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653" w:type="dxa"/>
            <w:gridSpan w:val="5"/>
            <w:vAlign w:val="center"/>
          </w:tcPr>
          <w:p w14:paraId="19BDC86C">
            <w:pPr>
              <w:spacing w:line="584"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通过项目的开展实现充分保障中心设备设施正常运转，保障中央、省、市纪委留置办案工作顺利完成。</w:t>
            </w:r>
          </w:p>
        </w:tc>
      </w:tr>
      <w:tr w14:paraId="425C58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692FD4C2">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vAlign w:val="center"/>
          </w:tcPr>
          <w:p w14:paraId="194116D2">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vAlign w:val="center"/>
          </w:tcPr>
          <w:p w14:paraId="095BEAC3">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vAlign w:val="center"/>
          </w:tcPr>
          <w:p w14:paraId="5ACC1241">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843" w:type="dxa"/>
            <w:vAlign w:val="center"/>
          </w:tcPr>
          <w:p w14:paraId="70C5C8F0">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155" w:type="dxa"/>
            <w:vAlign w:val="center"/>
          </w:tcPr>
          <w:p w14:paraId="0B57D5CA">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310F53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73F6B0DE">
            <w:pPr>
              <w:spacing w:line="300" w:lineRule="exact"/>
              <w:jc w:val="center"/>
              <w:rPr>
                <w:rFonts w:ascii="仿宋_GB2312" w:hAnsi="Times New Roman" w:eastAsia="仿宋_GB2312" w:cs="Times New Roman"/>
                <w:sz w:val="32"/>
                <w:szCs w:val="32"/>
              </w:rPr>
            </w:pPr>
            <w:r>
              <w:rPr>
                <w:rFonts w:hint="eastAsia" w:ascii="仿宋_GB2312" w:hAnsi="Times New Roman" w:eastAsia="仿宋_GB2312" w:cs="Times New Roman"/>
                <w:sz w:val="32"/>
                <w:szCs w:val="32"/>
              </w:rPr>
              <w:t>产出指标</w:t>
            </w:r>
          </w:p>
        </w:tc>
        <w:tc>
          <w:tcPr>
            <w:tcW w:w="2268" w:type="dxa"/>
            <w:vAlign w:val="center"/>
          </w:tcPr>
          <w:p w14:paraId="554E41F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数量指标</w:t>
            </w:r>
          </w:p>
        </w:tc>
        <w:tc>
          <w:tcPr>
            <w:tcW w:w="1985" w:type="dxa"/>
            <w:vAlign w:val="center"/>
          </w:tcPr>
          <w:p w14:paraId="29C369E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保障区域</w:t>
            </w:r>
          </w:p>
        </w:tc>
        <w:tc>
          <w:tcPr>
            <w:tcW w:w="3402" w:type="dxa"/>
            <w:vAlign w:val="center"/>
          </w:tcPr>
          <w:p w14:paraId="0E0575F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日常运转保障的建筑面积</w:t>
            </w:r>
          </w:p>
        </w:tc>
        <w:tc>
          <w:tcPr>
            <w:tcW w:w="1843" w:type="dxa"/>
            <w:vAlign w:val="center"/>
          </w:tcPr>
          <w:p w14:paraId="79A4A0F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3.5万平米</w:t>
            </w:r>
          </w:p>
        </w:tc>
        <w:tc>
          <w:tcPr>
            <w:tcW w:w="2155" w:type="dxa"/>
            <w:vAlign w:val="center"/>
          </w:tcPr>
          <w:p w14:paraId="090D698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房本</w:t>
            </w:r>
          </w:p>
        </w:tc>
      </w:tr>
      <w:tr w14:paraId="2CCE53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0031592B">
            <w:pPr>
              <w:rPr>
                <w:rFonts w:ascii="仿宋_GB2312" w:eastAsia="仿宋_GB2312"/>
                <w:sz w:val="32"/>
                <w:szCs w:val="32"/>
              </w:rPr>
            </w:pPr>
          </w:p>
        </w:tc>
        <w:tc>
          <w:tcPr>
            <w:tcW w:w="2268" w:type="dxa"/>
            <w:vAlign w:val="center"/>
          </w:tcPr>
          <w:p w14:paraId="7B54DD1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质量指标</w:t>
            </w:r>
          </w:p>
        </w:tc>
        <w:tc>
          <w:tcPr>
            <w:tcW w:w="1985" w:type="dxa"/>
            <w:vAlign w:val="center"/>
          </w:tcPr>
          <w:p w14:paraId="4E04462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更换、维修设备合格率</w:t>
            </w:r>
          </w:p>
        </w:tc>
        <w:tc>
          <w:tcPr>
            <w:tcW w:w="3402" w:type="dxa"/>
            <w:vAlign w:val="center"/>
          </w:tcPr>
          <w:p w14:paraId="50D26B9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设备更换维修后的合格情况</w:t>
            </w:r>
          </w:p>
        </w:tc>
        <w:tc>
          <w:tcPr>
            <w:tcW w:w="1843" w:type="dxa"/>
            <w:vAlign w:val="center"/>
          </w:tcPr>
          <w:p w14:paraId="45FA149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&gt;=95%</w:t>
            </w:r>
          </w:p>
        </w:tc>
        <w:tc>
          <w:tcPr>
            <w:tcW w:w="2155" w:type="dxa"/>
            <w:vAlign w:val="center"/>
          </w:tcPr>
          <w:p w14:paraId="2449B44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075C3E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3FB72427">
            <w:pPr>
              <w:rPr>
                <w:rFonts w:ascii="仿宋_GB2312" w:eastAsia="仿宋_GB2312"/>
                <w:sz w:val="32"/>
                <w:szCs w:val="32"/>
              </w:rPr>
            </w:pPr>
          </w:p>
        </w:tc>
        <w:tc>
          <w:tcPr>
            <w:tcW w:w="2268" w:type="dxa"/>
            <w:vAlign w:val="center"/>
          </w:tcPr>
          <w:p w14:paraId="433266D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时效指标</w:t>
            </w:r>
          </w:p>
        </w:tc>
        <w:tc>
          <w:tcPr>
            <w:tcW w:w="1985" w:type="dxa"/>
            <w:vAlign w:val="center"/>
          </w:tcPr>
          <w:p w14:paraId="28984CA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项目完成及时性</w:t>
            </w:r>
          </w:p>
        </w:tc>
        <w:tc>
          <w:tcPr>
            <w:tcW w:w="3402" w:type="dxa"/>
            <w:vAlign w:val="center"/>
          </w:tcPr>
          <w:p w14:paraId="541A488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设备更换完成的及时情况</w:t>
            </w:r>
          </w:p>
        </w:tc>
        <w:tc>
          <w:tcPr>
            <w:tcW w:w="1843" w:type="dxa"/>
            <w:vAlign w:val="center"/>
          </w:tcPr>
          <w:p w14:paraId="4F5685D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vAlign w:val="center"/>
          </w:tcPr>
          <w:p w14:paraId="102C010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74F33E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04A54906">
            <w:pPr>
              <w:rPr>
                <w:rFonts w:ascii="仿宋_GB2312" w:eastAsia="仿宋_GB2312"/>
                <w:sz w:val="32"/>
                <w:szCs w:val="32"/>
              </w:rPr>
            </w:pPr>
          </w:p>
        </w:tc>
        <w:tc>
          <w:tcPr>
            <w:tcW w:w="2268" w:type="dxa"/>
            <w:vAlign w:val="center"/>
          </w:tcPr>
          <w:p w14:paraId="7FB1F59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成本指标</w:t>
            </w:r>
          </w:p>
        </w:tc>
        <w:tc>
          <w:tcPr>
            <w:tcW w:w="1985" w:type="dxa"/>
            <w:vAlign w:val="center"/>
          </w:tcPr>
          <w:p w14:paraId="1A267F4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成本控制率</w:t>
            </w:r>
          </w:p>
        </w:tc>
        <w:tc>
          <w:tcPr>
            <w:tcW w:w="3402" w:type="dxa"/>
            <w:vAlign w:val="center"/>
          </w:tcPr>
          <w:p w14:paraId="395B2F1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平均每天所需成本</w:t>
            </w:r>
          </w:p>
        </w:tc>
        <w:tc>
          <w:tcPr>
            <w:tcW w:w="1843" w:type="dxa"/>
            <w:vAlign w:val="center"/>
          </w:tcPr>
          <w:p w14:paraId="7D4FA4F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1.86万元/天</w:t>
            </w:r>
          </w:p>
        </w:tc>
        <w:tc>
          <w:tcPr>
            <w:tcW w:w="2155" w:type="dxa"/>
            <w:vAlign w:val="center"/>
          </w:tcPr>
          <w:p w14:paraId="6362066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按实际支出情况</w:t>
            </w:r>
          </w:p>
        </w:tc>
      </w:tr>
      <w:tr w14:paraId="77D8F1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77EF78C4">
            <w:pPr>
              <w:spacing w:line="300" w:lineRule="exact"/>
              <w:jc w:val="center"/>
              <w:rPr>
                <w:rFonts w:ascii="仿宋_GB2312" w:hAnsi="Times New Roman" w:eastAsia="仿宋_GB2312" w:cs="Times New Roman"/>
                <w:sz w:val="32"/>
                <w:szCs w:val="32"/>
              </w:rPr>
            </w:pPr>
            <w:r>
              <w:rPr>
                <w:rFonts w:hint="eastAsia" w:ascii="仿宋_GB2312" w:hAnsi="Times New Roman" w:eastAsia="仿宋_GB2312" w:cs="Times New Roman"/>
                <w:sz w:val="32"/>
                <w:szCs w:val="32"/>
              </w:rPr>
              <w:t>效果指标</w:t>
            </w:r>
          </w:p>
        </w:tc>
        <w:tc>
          <w:tcPr>
            <w:tcW w:w="2268" w:type="dxa"/>
            <w:vAlign w:val="center"/>
          </w:tcPr>
          <w:p w14:paraId="678362B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社会效益指标</w:t>
            </w:r>
          </w:p>
        </w:tc>
        <w:tc>
          <w:tcPr>
            <w:tcW w:w="1985" w:type="dxa"/>
            <w:vAlign w:val="center"/>
          </w:tcPr>
          <w:p w14:paraId="5650C5D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满足相关单位需求</w:t>
            </w:r>
          </w:p>
        </w:tc>
        <w:tc>
          <w:tcPr>
            <w:tcW w:w="3402" w:type="dxa"/>
            <w:vAlign w:val="center"/>
          </w:tcPr>
          <w:p w14:paraId="3633EFB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满足驻点办案单位安全需求</w:t>
            </w:r>
          </w:p>
        </w:tc>
        <w:tc>
          <w:tcPr>
            <w:tcW w:w="1843" w:type="dxa"/>
            <w:vAlign w:val="center"/>
          </w:tcPr>
          <w:p w14:paraId="26CE0D8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满足需求</w:t>
            </w:r>
          </w:p>
        </w:tc>
        <w:tc>
          <w:tcPr>
            <w:tcW w:w="2155" w:type="dxa"/>
            <w:vAlign w:val="center"/>
          </w:tcPr>
          <w:p w14:paraId="433BF1B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0809A0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3D01332E">
            <w:pPr>
              <w:rPr>
                <w:rFonts w:ascii="仿宋_GB2312" w:eastAsia="仿宋_GB2312"/>
                <w:sz w:val="32"/>
                <w:szCs w:val="32"/>
              </w:rPr>
            </w:pPr>
          </w:p>
        </w:tc>
        <w:tc>
          <w:tcPr>
            <w:tcW w:w="2268" w:type="dxa"/>
            <w:vAlign w:val="center"/>
          </w:tcPr>
          <w:p w14:paraId="1ADF04F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可持续影像指标</w:t>
            </w:r>
          </w:p>
        </w:tc>
        <w:tc>
          <w:tcPr>
            <w:tcW w:w="1985" w:type="dxa"/>
            <w:vAlign w:val="center"/>
          </w:tcPr>
          <w:p w14:paraId="6A9B298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项目可持续期</w:t>
            </w:r>
          </w:p>
        </w:tc>
        <w:tc>
          <w:tcPr>
            <w:tcW w:w="3402" w:type="dxa"/>
            <w:vAlign w:val="center"/>
          </w:tcPr>
          <w:p w14:paraId="4462FC5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本项目持续年限</w:t>
            </w:r>
          </w:p>
        </w:tc>
        <w:tc>
          <w:tcPr>
            <w:tcW w:w="1843" w:type="dxa"/>
            <w:vAlign w:val="center"/>
          </w:tcPr>
          <w:p w14:paraId="4C9BCEF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1年</w:t>
            </w:r>
          </w:p>
        </w:tc>
        <w:tc>
          <w:tcPr>
            <w:tcW w:w="2155" w:type="dxa"/>
            <w:vAlign w:val="center"/>
          </w:tcPr>
          <w:p w14:paraId="5D589D7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350DDE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32978E25">
            <w:pPr>
              <w:spacing w:line="300" w:lineRule="exact"/>
              <w:jc w:val="center"/>
              <w:rPr>
                <w:rFonts w:ascii="仿宋_GB2312" w:hAnsi="Times New Roman" w:eastAsia="仿宋_GB2312" w:cs="Times New Roman"/>
                <w:sz w:val="32"/>
                <w:szCs w:val="32"/>
              </w:rPr>
            </w:pPr>
            <w:r>
              <w:rPr>
                <w:rFonts w:hint="eastAsia" w:ascii="仿宋_GB2312" w:hAnsi="Times New Roman" w:eastAsia="仿宋_GB2312" w:cs="Times New Roman"/>
                <w:sz w:val="32"/>
                <w:szCs w:val="32"/>
              </w:rPr>
              <w:t>满意度指标</w:t>
            </w:r>
          </w:p>
        </w:tc>
        <w:tc>
          <w:tcPr>
            <w:tcW w:w="2268" w:type="dxa"/>
            <w:vAlign w:val="center"/>
          </w:tcPr>
          <w:p w14:paraId="13B5DDC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服务对象满意度</w:t>
            </w:r>
          </w:p>
        </w:tc>
        <w:tc>
          <w:tcPr>
            <w:tcW w:w="1985" w:type="dxa"/>
            <w:vAlign w:val="center"/>
          </w:tcPr>
          <w:p w14:paraId="5ADF7AD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驻中心人员满意度</w:t>
            </w:r>
          </w:p>
        </w:tc>
        <w:tc>
          <w:tcPr>
            <w:tcW w:w="3402" w:type="dxa"/>
            <w:vAlign w:val="center"/>
          </w:tcPr>
          <w:p w14:paraId="16E87BA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驻中心人员满意度</w:t>
            </w:r>
          </w:p>
        </w:tc>
        <w:tc>
          <w:tcPr>
            <w:tcW w:w="1843" w:type="dxa"/>
            <w:vAlign w:val="center"/>
          </w:tcPr>
          <w:p w14:paraId="6BE7AA5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&gt;=95%</w:t>
            </w:r>
          </w:p>
        </w:tc>
        <w:tc>
          <w:tcPr>
            <w:tcW w:w="2155" w:type="dxa"/>
            <w:vAlign w:val="center"/>
          </w:tcPr>
          <w:p w14:paraId="1653D8F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bl>
    <w:p w14:paraId="450596A5">
      <w:pPr>
        <w:ind w:firstLine="640" w:firstLineChars="200"/>
        <w:jc w:val="left"/>
        <w:outlineLvl w:val="1"/>
        <w:rPr>
          <w:rFonts w:ascii="仿宋_GB2312" w:hAnsi="Times New Roman" w:eastAsia="仿宋_GB2312" w:cs="Times New Roman"/>
          <w:sz w:val="32"/>
          <w:szCs w:val="32"/>
        </w:rPr>
      </w:pPr>
    </w:p>
    <w:p w14:paraId="0EC51958">
      <w:pPr>
        <w:ind w:firstLine="640" w:firstLineChars="200"/>
        <w:jc w:val="left"/>
        <w:outlineLvl w:val="1"/>
        <w:rPr>
          <w:rFonts w:ascii="仿宋_GB2312" w:hAnsi="Times New Roman" w:eastAsia="仿宋_GB2312" w:cs="Times New Roman"/>
          <w:sz w:val="32"/>
          <w:szCs w:val="32"/>
        </w:rPr>
      </w:pPr>
      <w:r>
        <w:rPr>
          <w:rFonts w:ascii="仿宋_GB2312" w:hAnsi="Times New Roman" w:eastAsia="仿宋_GB2312" w:cs="Times New Roman"/>
          <w:sz w:val="32"/>
          <w:szCs w:val="32"/>
        </w:rPr>
        <w:t>2.</w:t>
      </w:r>
      <w:r>
        <w:rPr>
          <w:rFonts w:hint="eastAsia" w:ascii="仿宋_GB2312" w:hAnsi="Times New Roman" w:eastAsia="仿宋_GB2312" w:cs="Times New Roman"/>
          <w:sz w:val="32"/>
          <w:szCs w:val="32"/>
        </w:rPr>
        <w:t>基地业务经费</w:t>
      </w:r>
      <w:r>
        <w:rPr>
          <w:rFonts w:ascii="仿宋_GB2312" w:hAnsi="Times New Roman" w:eastAsia="仿宋_GB2312" w:cs="Times New Roman"/>
          <w:sz w:val="32"/>
          <w:szCs w:val="32"/>
        </w:rPr>
        <w:t>绩效目标表</w:t>
      </w:r>
    </w:p>
    <w:p w14:paraId="6EB84200">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620B56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802" w:hRule="atLeast"/>
          <w:tblHeader/>
          <w:jc w:val="center"/>
        </w:trPr>
        <w:tc>
          <w:tcPr>
            <w:tcW w:w="2409" w:type="dxa"/>
            <w:vAlign w:val="center"/>
          </w:tcPr>
          <w:p w14:paraId="23CFC314">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653" w:type="dxa"/>
            <w:gridSpan w:val="5"/>
            <w:vAlign w:val="center"/>
          </w:tcPr>
          <w:p w14:paraId="3F3A09B0">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通过项目的开展实现充分保障中心设备设施正常运转，保障中央、省、市纪委留置办案工作顺利完成。</w:t>
            </w:r>
          </w:p>
        </w:tc>
      </w:tr>
      <w:tr w14:paraId="3EE38D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4E78471E">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vAlign w:val="center"/>
          </w:tcPr>
          <w:p w14:paraId="742000FD">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vAlign w:val="center"/>
          </w:tcPr>
          <w:p w14:paraId="59E9E11D">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vAlign w:val="center"/>
          </w:tcPr>
          <w:p w14:paraId="0D7EDB74">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843" w:type="dxa"/>
            <w:vAlign w:val="center"/>
          </w:tcPr>
          <w:p w14:paraId="4390E2B4">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155" w:type="dxa"/>
            <w:vAlign w:val="center"/>
          </w:tcPr>
          <w:p w14:paraId="45957481">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590E98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382573C5">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产出指标</w:t>
            </w:r>
          </w:p>
        </w:tc>
        <w:tc>
          <w:tcPr>
            <w:tcW w:w="2268" w:type="dxa"/>
            <w:vAlign w:val="center"/>
          </w:tcPr>
          <w:p w14:paraId="4FFAB1E9">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数量指标</w:t>
            </w:r>
          </w:p>
        </w:tc>
        <w:tc>
          <w:tcPr>
            <w:tcW w:w="1985" w:type="dxa"/>
            <w:vAlign w:val="center"/>
          </w:tcPr>
          <w:p w14:paraId="1359D7F4">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保障数量</w:t>
            </w:r>
          </w:p>
        </w:tc>
        <w:tc>
          <w:tcPr>
            <w:tcW w:w="3402" w:type="dxa"/>
            <w:vAlign w:val="center"/>
          </w:tcPr>
          <w:p w14:paraId="7E268F54">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保障用车</w:t>
            </w:r>
          </w:p>
        </w:tc>
        <w:tc>
          <w:tcPr>
            <w:tcW w:w="1843" w:type="dxa"/>
            <w:vAlign w:val="center"/>
          </w:tcPr>
          <w:p w14:paraId="6B7305AC">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9辆</w:t>
            </w:r>
          </w:p>
        </w:tc>
        <w:tc>
          <w:tcPr>
            <w:tcW w:w="2155" w:type="dxa"/>
            <w:vAlign w:val="center"/>
          </w:tcPr>
          <w:p w14:paraId="5E1248F6">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实际情况</w:t>
            </w:r>
          </w:p>
        </w:tc>
      </w:tr>
      <w:tr w14:paraId="64FD68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1EF5D35B">
            <w:pPr>
              <w:spacing w:line="584" w:lineRule="exact"/>
              <w:jc w:val="center"/>
              <w:rPr>
                <w:rFonts w:ascii="Times New Roman" w:hAnsi="Times New Roman" w:eastAsia="仿宋_GB2312" w:cs="Times New Roman"/>
                <w:sz w:val="32"/>
                <w:szCs w:val="32"/>
              </w:rPr>
            </w:pPr>
          </w:p>
        </w:tc>
        <w:tc>
          <w:tcPr>
            <w:tcW w:w="2268" w:type="dxa"/>
            <w:vAlign w:val="center"/>
          </w:tcPr>
          <w:p w14:paraId="23C8320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质量指标</w:t>
            </w:r>
          </w:p>
        </w:tc>
        <w:tc>
          <w:tcPr>
            <w:tcW w:w="1985" w:type="dxa"/>
            <w:vAlign w:val="center"/>
          </w:tcPr>
          <w:p w14:paraId="44CAF0A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更换、维修设备合格率</w:t>
            </w:r>
          </w:p>
        </w:tc>
        <w:tc>
          <w:tcPr>
            <w:tcW w:w="3402" w:type="dxa"/>
            <w:vAlign w:val="center"/>
          </w:tcPr>
          <w:p w14:paraId="54FFC51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设备更换维修后的合格情况</w:t>
            </w:r>
          </w:p>
        </w:tc>
        <w:tc>
          <w:tcPr>
            <w:tcW w:w="1843" w:type="dxa"/>
            <w:vAlign w:val="center"/>
          </w:tcPr>
          <w:p w14:paraId="0681112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&gt;=95%</w:t>
            </w:r>
          </w:p>
        </w:tc>
        <w:tc>
          <w:tcPr>
            <w:tcW w:w="2155" w:type="dxa"/>
            <w:vAlign w:val="center"/>
          </w:tcPr>
          <w:p w14:paraId="49413C7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445937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03A0F19F">
            <w:pPr>
              <w:spacing w:line="584" w:lineRule="exact"/>
              <w:jc w:val="center"/>
              <w:rPr>
                <w:rFonts w:ascii="Times New Roman" w:hAnsi="Times New Roman" w:eastAsia="仿宋_GB2312" w:cs="Times New Roman"/>
                <w:sz w:val="32"/>
                <w:szCs w:val="32"/>
              </w:rPr>
            </w:pPr>
          </w:p>
        </w:tc>
        <w:tc>
          <w:tcPr>
            <w:tcW w:w="2268" w:type="dxa"/>
            <w:vAlign w:val="center"/>
          </w:tcPr>
          <w:p w14:paraId="6B99CA8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时效指标</w:t>
            </w:r>
          </w:p>
        </w:tc>
        <w:tc>
          <w:tcPr>
            <w:tcW w:w="1985" w:type="dxa"/>
            <w:vAlign w:val="center"/>
          </w:tcPr>
          <w:p w14:paraId="783E1FF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项目完成及时性</w:t>
            </w:r>
          </w:p>
        </w:tc>
        <w:tc>
          <w:tcPr>
            <w:tcW w:w="3402" w:type="dxa"/>
            <w:vAlign w:val="center"/>
          </w:tcPr>
          <w:p w14:paraId="5D5CFD6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设备更换完成的及时情况</w:t>
            </w:r>
          </w:p>
        </w:tc>
        <w:tc>
          <w:tcPr>
            <w:tcW w:w="1843" w:type="dxa"/>
            <w:vAlign w:val="center"/>
          </w:tcPr>
          <w:p w14:paraId="44AF79F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vAlign w:val="center"/>
          </w:tcPr>
          <w:p w14:paraId="7EA8934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28C626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11AF27AC">
            <w:pPr>
              <w:spacing w:line="584" w:lineRule="exact"/>
              <w:jc w:val="center"/>
              <w:rPr>
                <w:rFonts w:ascii="Times New Roman" w:hAnsi="Times New Roman" w:eastAsia="仿宋_GB2312" w:cs="Times New Roman"/>
                <w:sz w:val="32"/>
                <w:szCs w:val="32"/>
              </w:rPr>
            </w:pPr>
          </w:p>
        </w:tc>
        <w:tc>
          <w:tcPr>
            <w:tcW w:w="2268" w:type="dxa"/>
            <w:vAlign w:val="center"/>
          </w:tcPr>
          <w:p w14:paraId="064D0EC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成本指标</w:t>
            </w:r>
          </w:p>
        </w:tc>
        <w:tc>
          <w:tcPr>
            <w:tcW w:w="1985" w:type="dxa"/>
            <w:vAlign w:val="center"/>
          </w:tcPr>
          <w:p w14:paraId="69B2235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成本控制率</w:t>
            </w:r>
          </w:p>
        </w:tc>
        <w:tc>
          <w:tcPr>
            <w:tcW w:w="3402" w:type="dxa"/>
            <w:vAlign w:val="center"/>
          </w:tcPr>
          <w:p w14:paraId="6577FD6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平均约每天所需成本</w:t>
            </w:r>
          </w:p>
        </w:tc>
        <w:tc>
          <w:tcPr>
            <w:tcW w:w="1843" w:type="dxa"/>
            <w:vAlign w:val="center"/>
          </w:tcPr>
          <w:p w14:paraId="4AF01B7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&lt;0.06万元/天</w:t>
            </w:r>
          </w:p>
        </w:tc>
        <w:tc>
          <w:tcPr>
            <w:tcW w:w="2155" w:type="dxa"/>
            <w:vAlign w:val="center"/>
          </w:tcPr>
          <w:p w14:paraId="449A93B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按实际支出情况</w:t>
            </w:r>
          </w:p>
        </w:tc>
      </w:tr>
      <w:tr w14:paraId="494CEC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61B56806">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效果指标</w:t>
            </w:r>
          </w:p>
        </w:tc>
        <w:tc>
          <w:tcPr>
            <w:tcW w:w="2268" w:type="dxa"/>
            <w:vAlign w:val="center"/>
          </w:tcPr>
          <w:p w14:paraId="088B9FB8">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社会效益指标</w:t>
            </w:r>
          </w:p>
        </w:tc>
        <w:tc>
          <w:tcPr>
            <w:tcW w:w="1985" w:type="dxa"/>
            <w:vAlign w:val="center"/>
          </w:tcPr>
          <w:p w14:paraId="7501A42F">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满足相关单位需求</w:t>
            </w:r>
          </w:p>
        </w:tc>
        <w:tc>
          <w:tcPr>
            <w:tcW w:w="3402" w:type="dxa"/>
            <w:vAlign w:val="center"/>
          </w:tcPr>
          <w:p w14:paraId="14112268">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满足驻点办案单位安全需求</w:t>
            </w:r>
          </w:p>
        </w:tc>
        <w:tc>
          <w:tcPr>
            <w:tcW w:w="1843" w:type="dxa"/>
            <w:vAlign w:val="center"/>
          </w:tcPr>
          <w:p w14:paraId="2FF6B3ED">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满足需求</w:t>
            </w:r>
          </w:p>
        </w:tc>
        <w:tc>
          <w:tcPr>
            <w:tcW w:w="2155" w:type="dxa"/>
            <w:vAlign w:val="center"/>
          </w:tcPr>
          <w:p w14:paraId="681E5C2D">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7C34EE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1885B7C9">
            <w:pPr>
              <w:spacing w:line="584" w:lineRule="exact"/>
              <w:jc w:val="center"/>
              <w:rPr>
                <w:rFonts w:ascii="Times New Roman" w:hAnsi="Times New Roman" w:eastAsia="仿宋_GB2312" w:cs="Times New Roman"/>
                <w:sz w:val="32"/>
                <w:szCs w:val="32"/>
              </w:rPr>
            </w:pPr>
          </w:p>
        </w:tc>
        <w:tc>
          <w:tcPr>
            <w:tcW w:w="2268" w:type="dxa"/>
            <w:vAlign w:val="center"/>
          </w:tcPr>
          <w:p w14:paraId="106DF67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可持续影像指标</w:t>
            </w:r>
          </w:p>
        </w:tc>
        <w:tc>
          <w:tcPr>
            <w:tcW w:w="1985" w:type="dxa"/>
            <w:vAlign w:val="center"/>
          </w:tcPr>
          <w:p w14:paraId="0DB0E61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项目可持续期</w:t>
            </w:r>
          </w:p>
        </w:tc>
        <w:tc>
          <w:tcPr>
            <w:tcW w:w="3402" w:type="dxa"/>
            <w:vAlign w:val="center"/>
          </w:tcPr>
          <w:p w14:paraId="6B2872C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本项目持续年限</w:t>
            </w:r>
          </w:p>
        </w:tc>
        <w:tc>
          <w:tcPr>
            <w:tcW w:w="1843" w:type="dxa"/>
            <w:vAlign w:val="center"/>
          </w:tcPr>
          <w:p w14:paraId="61A6689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1年</w:t>
            </w:r>
          </w:p>
        </w:tc>
        <w:tc>
          <w:tcPr>
            <w:tcW w:w="2155" w:type="dxa"/>
            <w:vAlign w:val="center"/>
          </w:tcPr>
          <w:p w14:paraId="14E6EC6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7465E5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6FE39B94">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满意度指标</w:t>
            </w:r>
          </w:p>
        </w:tc>
        <w:tc>
          <w:tcPr>
            <w:tcW w:w="2268" w:type="dxa"/>
            <w:vAlign w:val="center"/>
          </w:tcPr>
          <w:p w14:paraId="71CCA232">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服务对象满意度</w:t>
            </w:r>
          </w:p>
        </w:tc>
        <w:tc>
          <w:tcPr>
            <w:tcW w:w="1985" w:type="dxa"/>
            <w:vAlign w:val="center"/>
          </w:tcPr>
          <w:p w14:paraId="7117538A">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驻中心人员满意度</w:t>
            </w:r>
          </w:p>
        </w:tc>
        <w:tc>
          <w:tcPr>
            <w:tcW w:w="3402" w:type="dxa"/>
            <w:vAlign w:val="center"/>
          </w:tcPr>
          <w:p w14:paraId="46AC21A5">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驻中心人员满意度</w:t>
            </w:r>
          </w:p>
        </w:tc>
        <w:tc>
          <w:tcPr>
            <w:tcW w:w="1843" w:type="dxa"/>
            <w:vAlign w:val="center"/>
          </w:tcPr>
          <w:p w14:paraId="6B5A3CBA">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&gt;=95%</w:t>
            </w:r>
          </w:p>
        </w:tc>
        <w:tc>
          <w:tcPr>
            <w:tcW w:w="2155" w:type="dxa"/>
            <w:vAlign w:val="center"/>
          </w:tcPr>
          <w:p w14:paraId="111FB470">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bl>
    <w:p w14:paraId="2BD0CFE2">
      <w:pPr>
        <w:ind w:firstLine="560" w:firstLineChars="200"/>
        <w:jc w:val="left"/>
        <w:outlineLvl w:val="1"/>
        <w:rPr>
          <w:rFonts w:ascii="Times New Roman" w:hAnsi="Times New Roman" w:eastAsia="仿宋_GB2312" w:cs="Times New Roman"/>
          <w:sz w:val="28"/>
        </w:rPr>
      </w:pPr>
    </w:p>
    <w:p w14:paraId="6A676769">
      <w:pPr>
        <w:ind w:firstLine="640" w:firstLineChars="200"/>
        <w:jc w:val="left"/>
        <w:outlineLvl w:val="1"/>
        <w:rPr>
          <w:rFonts w:ascii="仿宋_GB2312" w:hAnsi="Times New Roman" w:eastAsia="仿宋_GB2312" w:cs="Times New Roman"/>
          <w:sz w:val="32"/>
          <w:szCs w:val="32"/>
        </w:rPr>
      </w:pPr>
      <w:r>
        <w:rPr>
          <w:rFonts w:hint="eastAsia" w:ascii="仿宋_GB2312" w:hAnsi="Times New Roman" w:eastAsia="仿宋_GB2312" w:cs="Times New Roman"/>
          <w:sz w:val="32"/>
          <w:szCs w:val="32"/>
        </w:rPr>
        <w:t>3.办案综合保障经费绩效目标表</w:t>
      </w:r>
      <w:r>
        <w:rPr>
          <w:rFonts w:hint="eastAsia" w:ascii="仿宋_GB2312" w:hAnsi="Times New Roman" w:eastAsia="仿宋_GB2312" w:cs="Times New Roman"/>
          <w:vanish/>
          <w:sz w:val="32"/>
          <w:szCs w:val="32"/>
        </w:rPr>
        <w:t>{ TC 2、办公自动化（OA）和督查督办系统升级及推广费绩效目标表 \f C \l 1 }</w:t>
      </w:r>
    </w:p>
    <w:p w14:paraId="64B6E0DA">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B5744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7E888FE2">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653" w:type="dxa"/>
            <w:gridSpan w:val="5"/>
            <w:vAlign w:val="center"/>
          </w:tcPr>
          <w:p w14:paraId="35BDFF03">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通过项目的开展实现餐厅产品口味优良、卫生可靠、营养丰富，人员政治可靠、技能过硬，保障中央、省、市纪委留置办案工作顺利完成。</w:t>
            </w:r>
          </w:p>
        </w:tc>
      </w:tr>
      <w:tr w14:paraId="274F36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0C852D8B">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vAlign w:val="center"/>
          </w:tcPr>
          <w:p w14:paraId="3124521B">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vAlign w:val="center"/>
          </w:tcPr>
          <w:p w14:paraId="118DABED">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vAlign w:val="center"/>
          </w:tcPr>
          <w:p w14:paraId="16887A41">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843" w:type="dxa"/>
            <w:vAlign w:val="center"/>
          </w:tcPr>
          <w:p w14:paraId="5A3857A0">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155" w:type="dxa"/>
            <w:vAlign w:val="center"/>
          </w:tcPr>
          <w:p w14:paraId="77CC082B">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58540D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286D202A">
            <w:pPr>
              <w:spacing w:line="584"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产出指标</w:t>
            </w:r>
          </w:p>
        </w:tc>
        <w:tc>
          <w:tcPr>
            <w:tcW w:w="2268" w:type="dxa"/>
            <w:vAlign w:val="center"/>
          </w:tcPr>
          <w:p w14:paraId="6F7C2F4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数量指标</w:t>
            </w:r>
          </w:p>
        </w:tc>
        <w:tc>
          <w:tcPr>
            <w:tcW w:w="1985" w:type="dxa"/>
            <w:vAlign w:val="center"/>
          </w:tcPr>
          <w:p w14:paraId="12E7E53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工作人员数量</w:t>
            </w:r>
          </w:p>
        </w:tc>
        <w:tc>
          <w:tcPr>
            <w:tcW w:w="3402" w:type="dxa"/>
            <w:vAlign w:val="center"/>
          </w:tcPr>
          <w:p w14:paraId="70F49B6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拟使用工作人员数量</w:t>
            </w:r>
          </w:p>
        </w:tc>
        <w:tc>
          <w:tcPr>
            <w:tcW w:w="1843" w:type="dxa"/>
            <w:vAlign w:val="center"/>
          </w:tcPr>
          <w:p w14:paraId="44837D7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&gt;=126人次</w:t>
            </w:r>
          </w:p>
        </w:tc>
        <w:tc>
          <w:tcPr>
            <w:tcW w:w="2155" w:type="dxa"/>
            <w:vAlign w:val="center"/>
          </w:tcPr>
          <w:p w14:paraId="22BE86B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39632E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6DF6C669"/>
        </w:tc>
        <w:tc>
          <w:tcPr>
            <w:tcW w:w="2268" w:type="dxa"/>
            <w:vAlign w:val="center"/>
          </w:tcPr>
          <w:p w14:paraId="09383BF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质量指标</w:t>
            </w:r>
          </w:p>
        </w:tc>
        <w:tc>
          <w:tcPr>
            <w:tcW w:w="1985" w:type="dxa"/>
            <w:vAlign w:val="center"/>
          </w:tcPr>
          <w:p w14:paraId="5F4CFE0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餐厅服务质量</w:t>
            </w:r>
          </w:p>
        </w:tc>
        <w:tc>
          <w:tcPr>
            <w:tcW w:w="3402" w:type="dxa"/>
            <w:vAlign w:val="center"/>
          </w:tcPr>
          <w:p w14:paraId="7EA2F44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承包单位餐厅服务满意率</w:t>
            </w:r>
          </w:p>
        </w:tc>
        <w:tc>
          <w:tcPr>
            <w:tcW w:w="1843" w:type="dxa"/>
            <w:vAlign w:val="center"/>
          </w:tcPr>
          <w:p w14:paraId="0394AFD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&gt;=95%</w:t>
            </w:r>
          </w:p>
        </w:tc>
        <w:tc>
          <w:tcPr>
            <w:tcW w:w="2155" w:type="dxa"/>
            <w:vAlign w:val="center"/>
          </w:tcPr>
          <w:p w14:paraId="1B7BC56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5D3193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2B655684"/>
        </w:tc>
        <w:tc>
          <w:tcPr>
            <w:tcW w:w="2268" w:type="dxa"/>
            <w:vAlign w:val="center"/>
          </w:tcPr>
          <w:p w14:paraId="63A3EAD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时效指标</w:t>
            </w:r>
          </w:p>
        </w:tc>
        <w:tc>
          <w:tcPr>
            <w:tcW w:w="1985" w:type="dxa"/>
            <w:vAlign w:val="center"/>
          </w:tcPr>
          <w:p w14:paraId="4752312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项目保障时间</w:t>
            </w:r>
          </w:p>
        </w:tc>
        <w:tc>
          <w:tcPr>
            <w:tcW w:w="3402" w:type="dxa"/>
            <w:vAlign w:val="center"/>
          </w:tcPr>
          <w:p w14:paraId="2E8E257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项目执行时间</w:t>
            </w:r>
          </w:p>
        </w:tc>
        <w:tc>
          <w:tcPr>
            <w:tcW w:w="1843" w:type="dxa"/>
            <w:vAlign w:val="center"/>
          </w:tcPr>
          <w:p w14:paraId="2CB847B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365天</w:t>
            </w:r>
          </w:p>
        </w:tc>
        <w:tc>
          <w:tcPr>
            <w:tcW w:w="2155" w:type="dxa"/>
            <w:vAlign w:val="center"/>
          </w:tcPr>
          <w:p w14:paraId="6D62269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4DE4F4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6D37B2DE"/>
        </w:tc>
        <w:tc>
          <w:tcPr>
            <w:tcW w:w="2268" w:type="dxa"/>
            <w:vAlign w:val="center"/>
          </w:tcPr>
          <w:p w14:paraId="4E18987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成本指标</w:t>
            </w:r>
          </w:p>
        </w:tc>
        <w:tc>
          <w:tcPr>
            <w:tcW w:w="1985" w:type="dxa"/>
            <w:vAlign w:val="center"/>
          </w:tcPr>
          <w:p w14:paraId="74D3562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资金成本</w:t>
            </w:r>
          </w:p>
        </w:tc>
        <w:tc>
          <w:tcPr>
            <w:tcW w:w="3402" w:type="dxa"/>
            <w:vAlign w:val="center"/>
          </w:tcPr>
          <w:p w14:paraId="70987CC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成本控制率</w:t>
            </w:r>
          </w:p>
        </w:tc>
        <w:tc>
          <w:tcPr>
            <w:tcW w:w="1843" w:type="dxa"/>
            <w:vAlign w:val="center"/>
          </w:tcPr>
          <w:p w14:paraId="5100BA3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&lt;2.86万元/天</w:t>
            </w:r>
          </w:p>
        </w:tc>
        <w:tc>
          <w:tcPr>
            <w:tcW w:w="2155" w:type="dxa"/>
            <w:vAlign w:val="center"/>
          </w:tcPr>
          <w:p w14:paraId="1313010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按实际支出情况</w:t>
            </w:r>
          </w:p>
        </w:tc>
      </w:tr>
      <w:tr w14:paraId="69842E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1471ECF2">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效果指标</w:t>
            </w:r>
          </w:p>
        </w:tc>
        <w:tc>
          <w:tcPr>
            <w:tcW w:w="2268" w:type="dxa"/>
            <w:vAlign w:val="center"/>
          </w:tcPr>
          <w:p w14:paraId="0E046A9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社会效益指标</w:t>
            </w:r>
          </w:p>
        </w:tc>
        <w:tc>
          <w:tcPr>
            <w:tcW w:w="1985" w:type="dxa"/>
            <w:vAlign w:val="center"/>
          </w:tcPr>
          <w:p w14:paraId="63C291A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服务保障人次数</w:t>
            </w:r>
          </w:p>
        </w:tc>
        <w:tc>
          <w:tcPr>
            <w:tcW w:w="3402" w:type="dxa"/>
            <w:vAlign w:val="center"/>
          </w:tcPr>
          <w:p w14:paraId="358BFDE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年驻中心工作人次</w:t>
            </w:r>
          </w:p>
        </w:tc>
        <w:tc>
          <w:tcPr>
            <w:tcW w:w="1843" w:type="dxa"/>
            <w:vAlign w:val="center"/>
          </w:tcPr>
          <w:p w14:paraId="0656A61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&gt;=30万人次</w:t>
            </w:r>
          </w:p>
        </w:tc>
        <w:tc>
          <w:tcPr>
            <w:tcW w:w="2155" w:type="dxa"/>
            <w:vAlign w:val="center"/>
          </w:tcPr>
          <w:p w14:paraId="149B20E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102DD5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55AF3C14"/>
        </w:tc>
        <w:tc>
          <w:tcPr>
            <w:tcW w:w="2268" w:type="dxa"/>
            <w:vAlign w:val="center"/>
          </w:tcPr>
          <w:p w14:paraId="1B0C483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可持续影像指标</w:t>
            </w:r>
          </w:p>
        </w:tc>
        <w:tc>
          <w:tcPr>
            <w:tcW w:w="1985" w:type="dxa"/>
            <w:vAlign w:val="center"/>
          </w:tcPr>
          <w:p w14:paraId="4E0F03C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项目可持续期</w:t>
            </w:r>
          </w:p>
        </w:tc>
        <w:tc>
          <w:tcPr>
            <w:tcW w:w="3402" w:type="dxa"/>
            <w:vAlign w:val="center"/>
          </w:tcPr>
          <w:p w14:paraId="303F834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本项目持续年限</w:t>
            </w:r>
          </w:p>
        </w:tc>
        <w:tc>
          <w:tcPr>
            <w:tcW w:w="1843" w:type="dxa"/>
            <w:vAlign w:val="center"/>
          </w:tcPr>
          <w:p w14:paraId="1B18A8A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1年</w:t>
            </w:r>
          </w:p>
        </w:tc>
        <w:tc>
          <w:tcPr>
            <w:tcW w:w="2155" w:type="dxa"/>
            <w:vAlign w:val="center"/>
          </w:tcPr>
          <w:p w14:paraId="5084DC4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259F66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36CF7D18">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满意度指标</w:t>
            </w:r>
          </w:p>
        </w:tc>
        <w:tc>
          <w:tcPr>
            <w:tcW w:w="2268" w:type="dxa"/>
            <w:vAlign w:val="center"/>
          </w:tcPr>
          <w:p w14:paraId="1CD1A3C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服务对象满意度</w:t>
            </w:r>
          </w:p>
        </w:tc>
        <w:tc>
          <w:tcPr>
            <w:tcW w:w="1985" w:type="dxa"/>
            <w:vAlign w:val="center"/>
          </w:tcPr>
          <w:p w14:paraId="3F11AE0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驻中心人员满意度</w:t>
            </w:r>
          </w:p>
        </w:tc>
        <w:tc>
          <w:tcPr>
            <w:tcW w:w="3402" w:type="dxa"/>
            <w:vAlign w:val="center"/>
          </w:tcPr>
          <w:p w14:paraId="43CD7EB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驻中心人员对中心服务的满意度</w:t>
            </w:r>
          </w:p>
        </w:tc>
        <w:tc>
          <w:tcPr>
            <w:tcW w:w="1843" w:type="dxa"/>
            <w:vAlign w:val="center"/>
          </w:tcPr>
          <w:p w14:paraId="04BBBDD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&gt;=95%</w:t>
            </w:r>
          </w:p>
        </w:tc>
        <w:tc>
          <w:tcPr>
            <w:tcW w:w="2155" w:type="dxa"/>
            <w:vAlign w:val="center"/>
          </w:tcPr>
          <w:p w14:paraId="52CBA97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bl>
    <w:p w14:paraId="028B3BD8">
      <w:pPr>
        <w:ind w:firstLine="560" w:firstLineChars="200"/>
        <w:jc w:val="left"/>
        <w:outlineLvl w:val="1"/>
        <w:rPr>
          <w:rFonts w:ascii="Times New Roman" w:hAnsi="Times New Roman" w:eastAsia="仿宋_GB2312" w:cs="Times New Roman"/>
          <w:sz w:val="28"/>
        </w:rPr>
      </w:pPr>
    </w:p>
    <w:p w14:paraId="44483DF9">
      <w:pPr>
        <w:ind w:firstLine="640" w:firstLineChars="200"/>
        <w:jc w:val="left"/>
        <w:outlineLvl w:val="1"/>
        <w:rPr>
          <w:rFonts w:ascii="仿宋_GB2312" w:hAnsi="Times New Roman" w:eastAsia="仿宋_GB2312" w:cs="Times New Roman"/>
          <w:sz w:val="32"/>
          <w:szCs w:val="32"/>
        </w:rPr>
      </w:pPr>
      <w:r>
        <w:rPr>
          <w:rFonts w:hint="eastAsia" w:ascii="仿宋_GB2312" w:hAnsi="Times New Roman" w:eastAsia="仿宋_GB2312" w:cs="Times New Roman"/>
          <w:sz w:val="32"/>
          <w:szCs w:val="32"/>
        </w:rPr>
        <w:t>4.设备购置经费绩效目标表</w:t>
      </w:r>
      <w:r>
        <w:rPr>
          <w:rFonts w:hint="eastAsia" w:ascii="仿宋_GB2312" w:hAnsi="Times New Roman" w:eastAsia="仿宋_GB2312" w:cs="Times New Roman"/>
          <w:vanish/>
          <w:sz w:val="32"/>
          <w:szCs w:val="32"/>
        </w:rPr>
        <w:t>{ TC 2、办公自动化（OA）和督查督办系统升级及推广费绩效目标表 \f C \l 1 }</w:t>
      </w:r>
    </w:p>
    <w:p w14:paraId="15782432">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F98C6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14AC888D">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653" w:type="dxa"/>
            <w:gridSpan w:val="5"/>
            <w:vAlign w:val="center"/>
          </w:tcPr>
          <w:p w14:paraId="2504C5F5">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通过本项目实施满足院区监控设备正常运行，亮化灯设施安全，满足需求。</w:t>
            </w:r>
          </w:p>
        </w:tc>
      </w:tr>
      <w:tr w14:paraId="035751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5E02BFDE">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vAlign w:val="center"/>
          </w:tcPr>
          <w:p w14:paraId="7969536E">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vAlign w:val="center"/>
          </w:tcPr>
          <w:p w14:paraId="7D235BF9">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vAlign w:val="center"/>
          </w:tcPr>
          <w:p w14:paraId="712E5BCF">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843" w:type="dxa"/>
            <w:vAlign w:val="center"/>
          </w:tcPr>
          <w:p w14:paraId="4FFE7324">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155" w:type="dxa"/>
            <w:vAlign w:val="center"/>
          </w:tcPr>
          <w:p w14:paraId="186466FD">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6C853B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5F5BEE89">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产出指标</w:t>
            </w:r>
          </w:p>
        </w:tc>
        <w:tc>
          <w:tcPr>
            <w:tcW w:w="2268" w:type="dxa"/>
            <w:vAlign w:val="center"/>
          </w:tcPr>
          <w:p w14:paraId="5147721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数量指标</w:t>
            </w:r>
          </w:p>
        </w:tc>
        <w:tc>
          <w:tcPr>
            <w:tcW w:w="1985" w:type="dxa"/>
            <w:vAlign w:val="center"/>
          </w:tcPr>
          <w:p w14:paraId="42299C9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采购数量</w:t>
            </w:r>
          </w:p>
        </w:tc>
        <w:tc>
          <w:tcPr>
            <w:tcW w:w="3402" w:type="dxa"/>
            <w:vAlign w:val="center"/>
          </w:tcPr>
          <w:p w14:paraId="28C628E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采购设备数量</w:t>
            </w:r>
          </w:p>
        </w:tc>
        <w:tc>
          <w:tcPr>
            <w:tcW w:w="1843" w:type="dxa"/>
            <w:vAlign w:val="center"/>
          </w:tcPr>
          <w:p w14:paraId="4D12E87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&gt;=689台</w:t>
            </w:r>
          </w:p>
        </w:tc>
        <w:tc>
          <w:tcPr>
            <w:tcW w:w="2155" w:type="dxa"/>
            <w:vAlign w:val="center"/>
          </w:tcPr>
          <w:p w14:paraId="3ED2932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0F5548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510036E8"/>
        </w:tc>
        <w:tc>
          <w:tcPr>
            <w:tcW w:w="2268" w:type="dxa"/>
            <w:vAlign w:val="center"/>
          </w:tcPr>
          <w:p w14:paraId="2882619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质量指标</w:t>
            </w:r>
          </w:p>
        </w:tc>
        <w:tc>
          <w:tcPr>
            <w:tcW w:w="1985" w:type="dxa"/>
            <w:vAlign w:val="center"/>
          </w:tcPr>
          <w:p w14:paraId="4C6C5B1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设备合格率</w:t>
            </w:r>
          </w:p>
        </w:tc>
        <w:tc>
          <w:tcPr>
            <w:tcW w:w="3402" w:type="dxa"/>
            <w:vAlign w:val="center"/>
          </w:tcPr>
          <w:p w14:paraId="4AB9444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设备验收合格情况</w:t>
            </w:r>
          </w:p>
        </w:tc>
        <w:tc>
          <w:tcPr>
            <w:tcW w:w="1843" w:type="dxa"/>
            <w:vAlign w:val="center"/>
          </w:tcPr>
          <w:p w14:paraId="053B549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vAlign w:val="center"/>
          </w:tcPr>
          <w:p w14:paraId="61881A9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5C57E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42B82D17"/>
        </w:tc>
        <w:tc>
          <w:tcPr>
            <w:tcW w:w="2268" w:type="dxa"/>
            <w:vAlign w:val="center"/>
          </w:tcPr>
          <w:p w14:paraId="59EF7FD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时效指标</w:t>
            </w:r>
          </w:p>
        </w:tc>
        <w:tc>
          <w:tcPr>
            <w:tcW w:w="1985" w:type="dxa"/>
            <w:vAlign w:val="center"/>
          </w:tcPr>
          <w:p w14:paraId="768AD78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项目完工时间</w:t>
            </w:r>
          </w:p>
        </w:tc>
        <w:tc>
          <w:tcPr>
            <w:tcW w:w="3402" w:type="dxa"/>
            <w:vAlign w:val="center"/>
          </w:tcPr>
          <w:p w14:paraId="379C576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整体验收合格时间</w:t>
            </w:r>
          </w:p>
        </w:tc>
        <w:tc>
          <w:tcPr>
            <w:tcW w:w="1843" w:type="dxa"/>
            <w:vAlign w:val="center"/>
          </w:tcPr>
          <w:p w14:paraId="0C8EE9A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2021年5月前</w:t>
            </w:r>
          </w:p>
        </w:tc>
        <w:tc>
          <w:tcPr>
            <w:tcW w:w="2155" w:type="dxa"/>
            <w:vAlign w:val="center"/>
          </w:tcPr>
          <w:p w14:paraId="5DF3312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0C268F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3A625A4F"/>
        </w:tc>
        <w:tc>
          <w:tcPr>
            <w:tcW w:w="2268" w:type="dxa"/>
            <w:vAlign w:val="center"/>
          </w:tcPr>
          <w:p w14:paraId="4A773B8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成本指标</w:t>
            </w:r>
          </w:p>
        </w:tc>
        <w:tc>
          <w:tcPr>
            <w:tcW w:w="1985" w:type="dxa"/>
            <w:vAlign w:val="center"/>
          </w:tcPr>
          <w:p w14:paraId="3244071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设备购置成本</w:t>
            </w:r>
          </w:p>
        </w:tc>
        <w:tc>
          <w:tcPr>
            <w:tcW w:w="3402" w:type="dxa"/>
            <w:vAlign w:val="center"/>
          </w:tcPr>
          <w:p w14:paraId="40280DE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设备购置成本控制率</w:t>
            </w:r>
          </w:p>
        </w:tc>
        <w:tc>
          <w:tcPr>
            <w:tcW w:w="1843" w:type="dxa"/>
            <w:vAlign w:val="center"/>
          </w:tcPr>
          <w:p w14:paraId="51175EA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&lt;0.35万元/天</w:t>
            </w:r>
          </w:p>
        </w:tc>
        <w:tc>
          <w:tcPr>
            <w:tcW w:w="2155" w:type="dxa"/>
            <w:vAlign w:val="center"/>
          </w:tcPr>
          <w:p w14:paraId="4A13164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按实际支出情况约需</w:t>
            </w:r>
          </w:p>
        </w:tc>
      </w:tr>
      <w:tr w14:paraId="7FA7A0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777C1EE4">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效果指标</w:t>
            </w:r>
          </w:p>
        </w:tc>
        <w:tc>
          <w:tcPr>
            <w:tcW w:w="2268" w:type="dxa"/>
            <w:vAlign w:val="center"/>
          </w:tcPr>
          <w:p w14:paraId="79F8818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社会效益指标</w:t>
            </w:r>
          </w:p>
        </w:tc>
        <w:tc>
          <w:tcPr>
            <w:tcW w:w="1985" w:type="dxa"/>
            <w:vAlign w:val="center"/>
          </w:tcPr>
          <w:p w14:paraId="5381585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为留置工作提供保障</w:t>
            </w:r>
          </w:p>
        </w:tc>
        <w:tc>
          <w:tcPr>
            <w:tcW w:w="3402" w:type="dxa"/>
            <w:vAlign w:val="center"/>
          </w:tcPr>
          <w:p w14:paraId="332B2FF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通过项目实施为留置工作提供保障</w:t>
            </w:r>
          </w:p>
        </w:tc>
        <w:tc>
          <w:tcPr>
            <w:tcW w:w="1843" w:type="dxa"/>
            <w:vAlign w:val="center"/>
          </w:tcPr>
          <w:p w14:paraId="40FCE4B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提供保障</w:t>
            </w:r>
          </w:p>
        </w:tc>
        <w:tc>
          <w:tcPr>
            <w:tcW w:w="2155" w:type="dxa"/>
            <w:vAlign w:val="center"/>
          </w:tcPr>
          <w:p w14:paraId="48A2445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1019B2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06F1A919"/>
        </w:tc>
        <w:tc>
          <w:tcPr>
            <w:tcW w:w="2268" w:type="dxa"/>
            <w:vAlign w:val="center"/>
          </w:tcPr>
          <w:p w14:paraId="2FD516B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可持续影像指标</w:t>
            </w:r>
          </w:p>
        </w:tc>
        <w:tc>
          <w:tcPr>
            <w:tcW w:w="1985" w:type="dxa"/>
            <w:vAlign w:val="center"/>
          </w:tcPr>
          <w:p w14:paraId="74AF10F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项目可持续期</w:t>
            </w:r>
          </w:p>
        </w:tc>
        <w:tc>
          <w:tcPr>
            <w:tcW w:w="3402" w:type="dxa"/>
            <w:vAlign w:val="center"/>
          </w:tcPr>
          <w:p w14:paraId="16F785D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本项目持续年限</w:t>
            </w:r>
          </w:p>
        </w:tc>
        <w:tc>
          <w:tcPr>
            <w:tcW w:w="1843" w:type="dxa"/>
            <w:vAlign w:val="center"/>
          </w:tcPr>
          <w:p w14:paraId="1C94483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1年</w:t>
            </w:r>
          </w:p>
        </w:tc>
        <w:tc>
          <w:tcPr>
            <w:tcW w:w="2155" w:type="dxa"/>
            <w:vAlign w:val="center"/>
          </w:tcPr>
          <w:p w14:paraId="464524E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4BE7C3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7989B152">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满意度指标</w:t>
            </w:r>
          </w:p>
        </w:tc>
        <w:tc>
          <w:tcPr>
            <w:tcW w:w="2268" w:type="dxa"/>
            <w:vAlign w:val="center"/>
          </w:tcPr>
          <w:p w14:paraId="1739FF9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服务对象满意度</w:t>
            </w:r>
          </w:p>
        </w:tc>
        <w:tc>
          <w:tcPr>
            <w:tcW w:w="1985" w:type="dxa"/>
            <w:vAlign w:val="center"/>
          </w:tcPr>
          <w:p w14:paraId="2388019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驻点单位满意度</w:t>
            </w:r>
          </w:p>
        </w:tc>
        <w:tc>
          <w:tcPr>
            <w:tcW w:w="3402" w:type="dxa"/>
            <w:vAlign w:val="center"/>
          </w:tcPr>
          <w:p w14:paraId="32429EE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驻点单位工作人员对留置保障工作的满意度</w:t>
            </w:r>
          </w:p>
        </w:tc>
        <w:tc>
          <w:tcPr>
            <w:tcW w:w="1843" w:type="dxa"/>
            <w:vAlign w:val="center"/>
          </w:tcPr>
          <w:p w14:paraId="2BF208E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&gt;=95%</w:t>
            </w:r>
          </w:p>
        </w:tc>
        <w:tc>
          <w:tcPr>
            <w:tcW w:w="2155" w:type="dxa"/>
            <w:vAlign w:val="center"/>
          </w:tcPr>
          <w:p w14:paraId="7FB95B9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bl>
    <w:p w14:paraId="3DAE7B87">
      <w:pPr>
        <w:ind w:firstLine="560" w:firstLineChars="200"/>
        <w:jc w:val="left"/>
        <w:outlineLvl w:val="1"/>
        <w:rPr>
          <w:rFonts w:ascii="Times New Roman" w:hAnsi="Times New Roman" w:eastAsia="仿宋_GB2312" w:cs="Times New Roman"/>
          <w:sz w:val="28"/>
        </w:rPr>
      </w:pPr>
    </w:p>
    <w:p w14:paraId="6706AF55">
      <w:pPr>
        <w:ind w:firstLine="640" w:firstLineChars="200"/>
        <w:jc w:val="left"/>
        <w:outlineLvl w:val="1"/>
        <w:rPr>
          <w:rFonts w:ascii="仿宋_GB2312" w:hAnsi="Times New Roman" w:eastAsia="仿宋_GB2312" w:cs="Times New Roman"/>
          <w:sz w:val="32"/>
          <w:szCs w:val="32"/>
        </w:rPr>
      </w:pPr>
      <w:r>
        <w:rPr>
          <w:rFonts w:hint="eastAsia" w:ascii="仿宋_GB2312" w:hAnsi="Times New Roman" w:eastAsia="仿宋_GB2312" w:cs="Times New Roman"/>
          <w:sz w:val="32"/>
          <w:szCs w:val="32"/>
        </w:rPr>
        <w:t>5.特殊通道土地租赁经费绩效目标表</w:t>
      </w:r>
      <w:r>
        <w:rPr>
          <w:rFonts w:hint="eastAsia" w:ascii="仿宋_GB2312" w:hAnsi="Times New Roman" w:eastAsia="仿宋_GB2312" w:cs="Times New Roman"/>
          <w:vanish/>
          <w:sz w:val="32"/>
          <w:szCs w:val="32"/>
        </w:rPr>
        <w:t>{ TC 2、办公自动化（OA）和督查督办系统升级及推广费绩效目标表 \f C \l 1 }</w:t>
      </w:r>
    </w:p>
    <w:p w14:paraId="00132F17">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2D6A7C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30846ABB">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653" w:type="dxa"/>
            <w:gridSpan w:val="5"/>
            <w:vAlign w:val="center"/>
          </w:tcPr>
          <w:p w14:paraId="0D0BAB71">
            <w:pPr>
              <w:spacing w:line="584" w:lineRule="exact"/>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通过本项目实施保障特殊通道顺畅，满足办案安全需求。</w:t>
            </w:r>
          </w:p>
        </w:tc>
      </w:tr>
      <w:tr w14:paraId="3C425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vAlign w:val="center"/>
          </w:tcPr>
          <w:p w14:paraId="381603CB">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vAlign w:val="center"/>
          </w:tcPr>
          <w:p w14:paraId="63C3C27C">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vAlign w:val="center"/>
          </w:tcPr>
          <w:p w14:paraId="0E829379">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vAlign w:val="center"/>
          </w:tcPr>
          <w:p w14:paraId="1BC8ADEC">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843" w:type="dxa"/>
            <w:vAlign w:val="center"/>
          </w:tcPr>
          <w:p w14:paraId="3EBDF378">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155" w:type="dxa"/>
            <w:vAlign w:val="center"/>
          </w:tcPr>
          <w:p w14:paraId="7F1402DF">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2C86E2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06932F10">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产出指标</w:t>
            </w:r>
          </w:p>
        </w:tc>
        <w:tc>
          <w:tcPr>
            <w:tcW w:w="2268" w:type="dxa"/>
            <w:vAlign w:val="center"/>
          </w:tcPr>
          <w:p w14:paraId="41C7ABB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数量指标</w:t>
            </w:r>
          </w:p>
        </w:tc>
        <w:tc>
          <w:tcPr>
            <w:tcW w:w="1985" w:type="dxa"/>
            <w:vAlign w:val="center"/>
          </w:tcPr>
          <w:p w14:paraId="4807CF9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占地数量</w:t>
            </w:r>
          </w:p>
        </w:tc>
        <w:tc>
          <w:tcPr>
            <w:tcW w:w="3402" w:type="dxa"/>
            <w:vAlign w:val="center"/>
          </w:tcPr>
          <w:p w14:paraId="60B16EE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特殊通道占村街土地数</w:t>
            </w:r>
          </w:p>
        </w:tc>
        <w:tc>
          <w:tcPr>
            <w:tcW w:w="1843" w:type="dxa"/>
            <w:vAlign w:val="center"/>
          </w:tcPr>
          <w:p w14:paraId="1B74624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&gt;=1.25亩</w:t>
            </w:r>
          </w:p>
        </w:tc>
        <w:tc>
          <w:tcPr>
            <w:tcW w:w="2155" w:type="dxa"/>
            <w:vAlign w:val="center"/>
          </w:tcPr>
          <w:p w14:paraId="74C47F0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355168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75F11D8E"/>
        </w:tc>
        <w:tc>
          <w:tcPr>
            <w:tcW w:w="2268" w:type="dxa"/>
            <w:vAlign w:val="center"/>
          </w:tcPr>
          <w:p w14:paraId="3ADAFF5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质量指标</w:t>
            </w:r>
          </w:p>
        </w:tc>
        <w:tc>
          <w:tcPr>
            <w:tcW w:w="1985" w:type="dxa"/>
            <w:vAlign w:val="center"/>
          </w:tcPr>
          <w:p w14:paraId="213AC7CF">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上访率</w:t>
            </w:r>
          </w:p>
        </w:tc>
        <w:tc>
          <w:tcPr>
            <w:tcW w:w="3402" w:type="dxa"/>
            <w:vAlign w:val="center"/>
          </w:tcPr>
          <w:p w14:paraId="0B3BD1A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因特殊通道占地而产生的村民上访率</w:t>
            </w:r>
          </w:p>
        </w:tc>
        <w:tc>
          <w:tcPr>
            <w:tcW w:w="1843" w:type="dxa"/>
            <w:vAlign w:val="center"/>
          </w:tcPr>
          <w:p w14:paraId="15DDDDB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=0%</w:t>
            </w:r>
          </w:p>
        </w:tc>
        <w:tc>
          <w:tcPr>
            <w:tcW w:w="2155" w:type="dxa"/>
            <w:vAlign w:val="center"/>
          </w:tcPr>
          <w:p w14:paraId="1BF2A4E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09799E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7C24E9D2"/>
        </w:tc>
        <w:tc>
          <w:tcPr>
            <w:tcW w:w="2268" w:type="dxa"/>
            <w:vAlign w:val="center"/>
          </w:tcPr>
          <w:p w14:paraId="047D993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时效指标</w:t>
            </w:r>
          </w:p>
        </w:tc>
        <w:tc>
          <w:tcPr>
            <w:tcW w:w="1985" w:type="dxa"/>
            <w:vAlign w:val="center"/>
          </w:tcPr>
          <w:p w14:paraId="258EE41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土地租赁及时性</w:t>
            </w:r>
          </w:p>
        </w:tc>
        <w:tc>
          <w:tcPr>
            <w:tcW w:w="3402" w:type="dxa"/>
            <w:vAlign w:val="center"/>
          </w:tcPr>
          <w:p w14:paraId="7246D99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土地租赁时间</w:t>
            </w:r>
          </w:p>
        </w:tc>
        <w:tc>
          <w:tcPr>
            <w:tcW w:w="1843" w:type="dxa"/>
            <w:vAlign w:val="center"/>
          </w:tcPr>
          <w:p w14:paraId="7544132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及时</w:t>
            </w:r>
          </w:p>
        </w:tc>
        <w:tc>
          <w:tcPr>
            <w:tcW w:w="2155" w:type="dxa"/>
            <w:vAlign w:val="center"/>
          </w:tcPr>
          <w:p w14:paraId="6A15ED8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433270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47A3D30A"/>
        </w:tc>
        <w:tc>
          <w:tcPr>
            <w:tcW w:w="2268" w:type="dxa"/>
            <w:vAlign w:val="center"/>
          </w:tcPr>
          <w:p w14:paraId="255383A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成本指标</w:t>
            </w:r>
          </w:p>
        </w:tc>
        <w:tc>
          <w:tcPr>
            <w:tcW w:w="1985" w:type="dxa"/>
            <w:vAlign w:val="center"/>
          </w:tcPr>
          <w:p w14:paraId="217676F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控制成本率</w:t>
            </w:r>
          </w:p>
        </w:tc>
        <w:tc>
          <w:tcPr>
            <w:tcW w:w="3402" w:type="dxa"/>
            <w:vAlign w:val="center"/>
          </w:tcPr>
          <w:p w14:paraId="1809A1F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租赁一年所需成本</w:t>
            </w:r>
          </w:p>
        </w:tc>
        <w:tc>
          <w:tcPr>
            <w:tcW w:w="1843" w:type="dxa"/>
            <w:vAlign w:val="center"/>
          </w:tcPr>
          <w:p w14:paraId="18162C1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&lt;=1万元</w:t>
            </w:r>
          </w:p>
        </w:tc>
        <w:tc>
          <w:tcPr>
            <w:tcW w:w="2155" w:type="dxa"/>
            <w:vAlign w:val="center"/>
          </w:tcPr>
          <w:p w14:paraId="785F577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按协议约需</w:t>
            </w:r>
          </w:p>
        </w:tc>
      </w:tr>
      <w:tr w14:paraId="15D99F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vAlign w:val="center"/>
          </w:tcPr>
          <w:p w14:paraId="0567799B">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效果指标</w:t>
            </w:r>
          </w:p>
        </w:tc>
        <w:tc>
          <w:tcPr>
            <w:tcW w:w="2268" w:type="dxa"/>
            <w:vAlign w:val="center"/>
          </w:tcPr>
          <w:p w14:paraId="42D6E98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社会效益指标</w:t>
            </w:r>
          </w:p>
        </w:tc>
        <w:tc>
          <w:tcPr>
            <w:tcW w:w="1985" w:type="dxa"/>
            <w:vAlign w:val="center"/>
          </w:tcPr>
          <w:p w14:paraId="778A9C4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为留置工作提供保障</w:t>
            </w:r>
          </w:p>
        </w:tc>
        <w:tc>
          <w:tcPr>
            <w:tcW w:w="3402" w:type="dxa"/>
            <w:vAlign w:val="center"/>
          </w:tcPr>
          <w:p w14:paraId="7B275CA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通过项目实施为留置工作特殊通道安全提供保障</w:t>
            </w:r>
          </w:p>
        </w:tc>
        <w:tc>
          <w:tcPr>
            <w:tcW w:w="1843" w:type="dxa"/>
            <w:vAlign w:val="center"/>
          </w:tcPr>
          <w:p w14:paraId="07711C7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提供保障</w:t>
            </w:r>
          </w:p>
        </w:tc>
        <w:tc>
          <w:tcPr>
            <w:tcW w:w="2155" w:type="dxa"/>
            <w:vAlign w:val="center"/>
          </w:tcPr>
          <w:p w14:paraId="53E3962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7FC38B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vAlign w:val="center"/>
          </w:tcPr>
          <w:p w14:paraId="7EF04116"/>
        </w:tc>
        <w:tc>
          <w:tcPr>
            <w:tcW w:w="2268" w:type="dxa"/>
            <w:vAlign w:val="center"/>
          </w:tcPr>
          <w:p w14:paraId="565C204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可持续影像指标</w:t>
            </w:r>
          </w:p>
        </w:tc>
        <w:tc>
          <w:tcPr>
            <w:tcW w:w="1985" w:type="dxa"/>
            <w:vAlign w:val="center"/>
          </w:tcPr>
          <w:p w14:paraId="2975F9E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项目可持续期</w:t>
            </w:r>
          </w:p>
        </w:tc>
        <w:tc>
          <w:tcPr>
            <w:tcW w:w="3402" w:type="dxa"/>
            <w:vAlign w:val="center"/>
          </w:tcPr>
          <w:p w14:paraId="7077A629">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本项目持续年限</w:t>
            </w:r>
          </w:p>
        </w:tc>
        <w:tc>
          <w:tcPr>
            <w:tcW w:w="1843" w:type="dxa"/>
            <w:vAlign w:val="center"/>
          </w:tcPr>
          <w:p w14:paraId="280500A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长期</w:t>
            </w:r>
          </w:p>
        </w:tc>
        <w:tc>
          <w:tcPr>
            <w:tcW w:w="2155" w:type="dxa"/>
            <w:vAlign w:val="center"/>
          </w:tcPr>
          <w:p w14:paraId="16BAD4F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46C962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Align w:val="center"/>
          </w:tcPr>
          <w:p w14:paraId="4722D07C">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满意度指标</w:t>
            </w:r>
          </w:p>
        </w:tc>
        <w:tc>
          <w:tcPr>
            <w:tcW w:w="2268" w:type="dxa"/>
            <w:vAlign w:val="center"/>
          </w:tcPr>
          <w:p w14:paraId="49168D9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服务对象满意度</w:t>
            </w:r>
          </w:p>
        </w:tc>
        <w:tc>
          <w:tcPr>
            <w:tcW w:w="1985" w:type="dxa"/>
            <w:vAlign w:val="center"/>
          </w:tcPr>
          <w:p w14:paraId="03504E4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驻点单位满意度</w:t>
            </w:r>
          </w:p>
        </w:tc>
        <w:tc>
          <w:tcPr>
            <w:tcW w:w="3402" w:type="dxa"/>
            <w:vAlign w:val="center"/>
          </w:tcPr>
          <w:p w14:paraId="01BCB6F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专案组对留置通道满意度</w:t>
            </w:r>
          </w:p>
        </w:tc>
        <w:tc>
          <w:tcPr>
            <w:tcW w:w="1843" w:type="dxa"/>
            <w:vAlign w:val="center"/>
          </w:tcPr>
          <w:p w14:paraId="3F9C4E6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vAlign w:val="center"/>
          </w:tcPr>
          <w:p w14:paraId="27291F6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bl>
    <w:p w14:paraId="4FE5B271">
      <w:pPr>
        <w:ind w:firstLine="560" w:firstLineChars="200"/>
        <w:jc w:val="left"/>
        <w:outlineLvl w:val="1"/>
        <w:rPr>
          <w:rFonts w:ascii="Times New Roman" w:hAnsi="Times New Roman" w:eastAsia="仿宋_GB2312" w:cs="Times New Roman"/>
          <w:sz w:val="28"/>
        </w:rPr>
      </w:pPr>
    </w:p>
    <w:p w14:paraId="6CCA2727">
      <w:pPr>
        <w:ind w:firstLine="640" w:firstLineChars="200"/>
        <w:jc w:val="left"/>
        <w:outlineLvl w:val="1"/>
        <w:rPr>
          <w:rFonts w:ascii="仿宋_GB2312" w:hAnsi="Times New Roman" w:eastAsia="仿宋_GB2312" w:cs="Times New Roman"/>
          <w:sz w:val="32"/>
          <w:szCs w:val="32"/>
        </w:rPr>
      </w:pPr>
      <w:r>
        <w:rPr>
          <w:rFonts w:hint="eastAsia" w:ascii="仿宋_GB2312" w:hAnsi="Times New Roman" w:eastAsia="仿宋_GB2312" w:cs="Times New Roman"/>
          <w:sz w:val="32"/>
          <w:szCs w:val="32"/>
        </w:rPr>
        <w:t>6.中心维修改造经费绩效目标表</w:t>
      </w:r>
      <w:r>
        <w:rPr>
          <w:rFonts w:hint="eastAsia" w:ascii="仿宋_GB2312" w:hAnsi="Times New Roman" w:eastAsia="仿宋_GB2312" w:cs="Times New Roman"/>
          <w:vanish/>
          <w:sz w:val="32"/>
          <w:szCs w:val="32"/>
        </w:rPr>
        <w:t>{ TC 2、办公自动化（OA）和督查督办系统升级及推广费绩效目标表 \f C \l 1 }</w:t>
      </w:r>
    </w:p>
    <w:p w14:paraId="5A59CC95">
      <w:pPr>
        <w:spacing w:line="14" w:lineRule="exact"/>
        <w:ind w:firstLine="640" w:firstLineChars="200"/>
        <w:jc w:val="center"/>
        <w:rPr>
          <w:rFonts w:ascii="Times New Roman" w:hAnsi="Times New Roman" w:eastAsia="仿宋_GB2312" w:cs="Times New Roman"/>
          <w:sz w:val="32"/>
          <w:szCs w:val="32"/>
        </w:rPr>
      </w:pPr>
    </w:p>
    <w:tbl>
      <w:tblPr>
        <w:tblStyle w:val="8"/>
        <w:tblpPr w:leftFromText="180" w:rightFromText="180" w:vertAnchor="text" w:horzAnchor="page" w:tblpX="1568" w:tblpY="59"/>
        <w:tblOverlap w:val="never"/>
        <w:tblW w:w="1406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DD708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84" w:hRule="atLeast"/>
          <w:tblHeader/>
        </w:trPr>
        <w:tc>
          <w:tcPr>
            <w:tcW w:w="2409" w:type="dxa"/>
            <w:vAlign w:val="center"/>
          </w:tcPr>
          <w:p w14:paraId="15C5B245">
            <w:pPr>
              <w:spacing w:line="300"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绩效目标</w:t>
            </w:r>
          </w:p>
        </w:tc>
        <w:tc>
          <w:tcPr>
            <w:tcW w:w="11653" w:type="dxa"/>
            <w:gridSpan w:val="5"/>
            <w:vAlign w:val="center"/>
          </w:tcPr>
          <w:p w14:paraId="15673D21">
            <w:pPr>
              <w:spacing w:line="30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通过项目的开展实现充分保障中心设备设施正常运转，保障中央、省、市</w:t>
            </w:r>
            <w:bookmarkStart w:id="3" w:name="_GoBack"/>
            <w:bookmarkEnd w:id="3"/>
            <w:r>
              <w:rPr>
                <w:rFonts w:hint="eastAsia" w:ascii="Times New Roman" w:hAnsi="Times New Roman" w:eastAsia="仿宋_GB2312" w:cs="Times New Roman"/>
                <w:sz w:val="32"/>
                <w:szCs w:val="32"/>
              </w:rPr>
              <w:t>纪委留置办案工作顺利完成。</w:t>
            </w:r>
          </w:p>
        </w:tc>
      </w:tr>
      <w:tr w14:paraId="163E5E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trPr>
        <w:tc>
          <w:tcPr>
            <w:tcW w:w="2409" w:type="dxa"/>
            <w:vAlign w:val="center"/>
          </w:tcPr>
          <w:p w14:paraId="35BC014F">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一级指标</w:t>
            </w:r>
          </w:p>
        </w:tc>
        <w:tc>
          <w:tcPr>
            <w:tcW w:w="2268" w:type="dxa"/>
            <w:vAlign w:val="center"/>
          </w:tcPr>
          <w:p w14:paraId="5009FE8B">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二级指标</w:t>
            </w:r>
          </w:p>
        </w:tc>
        <w:tc>
          <w:tcPr>
            <w:tcW w:w="1985" w:type="dxa"/>
            <w:vAlign w:val="center"/>
          </w:tcPr>
          <w:p w14:paraId="48113C7B">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三级指标</w:t>
            </w:r>
          </w:p>
        </w:tc>
        <w:tc>
          <w:tcPr>
            <w:tcW w:w="3402" w:type="dxa"/>
            <w:vAlign w:val="center"/>
          </w:tcPr>
          <w:p w14:paraId="05A72671">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绩效指标描述</w:t>
            </w:r>
          </w:p>
        </w:tc>
        <w:tc>
          <w:tcPr>
            <w:tcW w:w="1843" w:type="dxa"/>
            <w:vAlign w:val="center"/>
          </w:tcPr>
          <w:p w14:paraId="4CDA6AF2">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w:t>
            </w:r>
          </w:p>
        </w:tc>
        <w:tc>
          <w:tcPr>
            <w:tcW w:w="2155" w:type="dxa"/>
            <w:vAlign w:val="center"/>
          </w:tcPr>
          <w:p w14:paraId="3321AB48">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指标值确定依据</w:t>
            </w:r>
          </w:p>
        </w:tc>
      </w:tr>
      <w:tr w14:paraId="232D3C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restart"/>
            <w:vAlign w:val="center"/>
          </w:tcPr>
          <w:p w14:paraId="12969AC4">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产出指标</w:t>
            </w:r>
          </w:p>
        </w:tc>
        <w:tc>
          <w:tcPr>
            <w:tcW w:w="2268" w:type="dxa"/>
            <w:vAlign w:val="center"/>
          </w:tcPr>
          <w:p w14:paraId="62DF7A1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数量指标</w:t>
            </w:r>
          </w:p>
        </w:tc>
        <w:tc>
          <w:tcPr>
            <w:tcW w:w="1985" w:type="dxa"/>
            <w:vAlign w:val="center"/>
          </w:tcPr>
          <w:p w14:paraId="7B584B2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保障区域</w:t>
            </w:r>
          </w:p>
        </w:tc>
        <w:tc>
          <w:tcPr>
            <w:tcW w:w="3402" w:type="dxa"/>
            <w:vAlign w:val="center"/>
          </w:tcPr>
          <w:p w14:paraId="290BE000">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日常运转保障的建筑面积</w:t>
            </w:r>
          </w:p>
        </w:tc>
        <w:tc>
          <w:tcPr>
            <w:tcW w:w="1843" w:type="dxa"/>
            <w:vAlign w:val="center"/>
          </w:tcPr>
          <w:p w14:paraId="70BA72E3">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860平米</w:t>
            </w:r>
          </w:p>
        </w:tc>
        <w:tc>
          <w:tcPr>
            <w:tcW w:w="2155" w:type="dxa"/>
            <w:vAlign w:val="center"/>
          </w:tcPr>
          <w:p w14:paraId="440BC67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房本</w:t>
            </w:r>
          </w:p>
        </w:tc>
      </w:tr>
      <w:tr w14:paraId="611336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continue"/>
            <w:vAlign w:val="center"/>
          </w:tcPr>
          <w:p w14:paraId="574279BC"/>
        </w:tc>
        <w:tc>
          <w:tcPr>
            <w:tcW w:w="2268" w:type="dxa"/>
            <w:vAlign w:val="center"/>
          </w:tcPr>
          <w:p w14:paraId="4653A95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质量指标</w:t>
            </w:r>
          </w:p>
        </w:tc>
        <w:tc>
          <w:tcPr>
            <w:tcW w:w="1985" w:type="dxa"/>
            <w:vAlign w:val="center"/>
          </w:tcPr>
          <w:p w14:paraId="7C1DC11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工程质量合格率</w:t>
            </w:r>
          </w:p>
        </w:tc>
        <w:tc>
          <w:tcPr>
            <w:tcW w:w="3402" w:type="dxa"/>
            <w:vAlign w:val="center"/>
          </w:tcPr>
          <w:p w14:paraId="251EDE3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一次性验收合格率</w:t>
            </w:r>
          </w:p>
        </w:tc>
        <w:tc>
          <w:tcPr>
            <w:tcW w:w="1843" w:type="dxa"/>
            <w:vAlign w:val="center"/>
          </w:tcPr>
          <w:p w14:paraId="1A5C33A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=100%</w:t>
            </w:r>
          </w:p>
        </w:tc>
        <w:tc>
          <w:tcPr>
            <w:tcW w:w="2155" w:type="dxa"/>
            <w:vAlign w:val="center"/>
          </w:tcPr>
          <w:p w14:paraId="5849649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323AD3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continue"/>
            <w:vAlign w:val="center"/>
          </w:tcPr>
          <w:p w14:paraId="769A9F72"/>
        </w:tc>
        <w:tc>
          <w:tcPr>
            <w:tcW w:w="2268" w:type="dxa"/>
            <w:vAlign w:val="center"/>
          </w:tcPr>
          <w:p w14:paraId="025DBFC1">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时效指标</w:t>
            </w:r>
          </w:p>
        </w:tc>
        <w:tc>
          <w:tcPr>
            <w:tcW w:w="1985" w:type="dxa"/>
            <w:vAlign w:val="center"/>
          </w:tcPr>
          <w:p w14:paraId="2F13DEC6">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完成时间</w:t>
            </w:r>
          </w:p>
        </w:tc>
        <w:tc>
          <w:tcPr>
            <w:tcW w:w="3402" w:type="dxa"/>
            <w:vAlign w:val="center"/>
          </w:tcPr>
          <w:p w14:paraId="1F343AE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施工是否按期完成</w:t>
            </w:r>
          </w:p>
        </w:tc>
        <w:tc>
          <w:tcPr>
            <w:tcW w:w="1843" w:type="dxa"/>
            <w:vAlign w:val="center"/>
          </w:tcPr>
          <w:p w14:paraId="1020DC9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2021年6月</w:t>
            </w:r>
          </w:p>
        </w:tc>
        <w:tc>
          <w:tcPr>
            <w:tcW w:w="2155" w:type="dxa"/>
            <w:vAlign w:val="center"/>
          </w:tcPr>
          <w:p w14:paraId="044BB5D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0779DF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continue"/>
            <w:vAlign w:val="center"/>
          </w:tcPr>
          <w:p w14:paraId="2E644FBD"/>
        </w:tc>
        <w:tc>
          <w:tcPr>
            <w:tcW w:w="2268" w:type="dxa"/>
            <w:vAlign w:val="center"/>
          </w:tcPr>
          <w:p w14:paraId="3DC4734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成本指标</w:t>
            </w:r>
          </w:p>
        </w:tc>
        <w:tc>
          <w:tcPr>
            <w:tcW w:w="1985" w:type="dxa"/>
            <w:vAlign w:val="center"/>
          </w:tcPr>
          <w:p w14:paraId="52FEFAF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资金成本</w:t>
            </w:r>
          </w:p>
        </w:tc>
        <w:tc>
          <w:tcPr>
            <w:tcW w:w="3402" w:type="dxa"/>
            <w:vAlign w:val="center"/>
          </w:tcPr>
          <w:p w14:paraId="20C5363C">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成本控制率</w:t>
            </w:r>
          </w:p>
        </w:tc>
        <w:tc>
          <w:tcPr>
            <w:tcW w:w="1843" w:type="dxa"/>
            <w:vAlign w:val="center"/>
          </w:tcPr>
          <w:p w14:paraId="4785FEC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&lt;0.08万元/天</w:t>
            </w:r>
          </w:p>
        </w:tc>
        <w:tc>
          <w:tcPr>
            <w:tcW w:w="2155" w:type="dxa"/>
            <w:vAlign w:val="center"/>
          </w:tcPr>
          <w:p w14:paraId="5DC7AC5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按支出情况约需</w:t>
            </w:r>
          </w:p>
        </w:tc>
      </w:tr>
      <w:tr w14:paraId="76F435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restart"/>
            <w:vAlign w:val="center"/>
          </w:tcPr>
          <w:p w14:paraId="703535B8">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效果指标</w:t>
            </w:r>
          </w:p>
        </w:tc>
        <w:tc>
          <w:tcPr>
            <w:tcW w:w="2268" w:type="dxa"/>
            <w:vAlign w:val="center"/>
          </w:tcPr>
          <w:p w14:paraId="567D97D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社会效益指标</w:t>
            </w:r>
          </w:p>
        </w:tc>
        <w:tc>
          <w:tcPr>
            <w:tcW w:w="1985" w:type="dxa"/>
            <w:vAlign w:val="center"/>
          </w:tcPr>
          <w:p w14:paraId="3C1983BE">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改善办案安全状况及生活工作环境</w:t>
            </w:r>
          </w:p>
        </w:tc>
        <w:tc>
          <w:tcPr>
            <w:tcW w:w="3402" w:type="dxa"/>
            <w:vAlign w:val="center"/>
          </w:tcPr>
          <w:p w14:paraId="20D5668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满足办案安全及办案人员生活环境需求</w:t>
            </w:r>
          </w:p>
        </w:tc>
        <w:tc>
          <w:tcPr>
            <w:tcW w:w="1843" w:type="dxa"/>
            <w:vAlign w:val="center"/>
          </w:tcPr>
          <w:p w14:paraId="1D6990C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满足需求</w:t>
            </w:r>
          </w:p>
        </w:tc>
        <w:tc>
          <w:tcPr>
            <w:tcW w:w="2155" w:type="dxa"/>
            <w:vAlign w:val="center"/>
          </w:tcPr>
          <w:p w14:paraId="4D9C8C1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33A67B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Merge w:val="continue"/>
            <w:vAlign w:val="center"/>
          </w:tcPr>
          <w:p w14:paraId="4D570A7F"/>
        </w:tc>
        <w:tc>
          <w:tcPr>
            <w:tcW w:w="2268" w:type="dxa"/>
            <w:vAlign w:val="center"/>
          </w:tcPr>
          <w:p w14:paraId="16C6EB2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可持续影像指标</w:t>
            </w:r>
          </w:p>
        </w:tc>
        <w:tc>
          <w:tcPr>
            <w:tcW w:w="1985" w:type="dxa"/>
            <w:vAlign w:val="center"/>
          </w:tcPr>
          <w:p w14:paraId="217EFECA">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项目可持续期</w:t>
            </w:r>
          </w:p>
        </w:tc>
        <w:tc>
          <w:tcPr>
            <w:tcW w:w="3402" w:type="dxa"/>
            <w:vAlign w:val="center"/>
          </w:tcPr>
          <w:p w14:paraId="2C99CA68">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本项目持续年限</w:t>
            </w:r>
          </w:p>
        </w:tc>
        <w:tc>
          <w:tcPr>
            <w:tcW w:w="1843" w:type="dxa"/>
            <w:vAlign w:val="center"/>
          </w:tcPr>
          <w:p w14:paraId="17601722">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长期使用</w:t>
            </w:r>
          </w:p>
        </w:tc>
        <w:tc>
          <w:tcPr>
            <w:tcW w:w="2155" w:type="dxa"/>
            <w:vAlign w:val="center"/>
          </w:tcPr>
          <w:p w14:paraId="6A29296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r w14:paraId="2EC5EC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trPr>
        <w:tc>
          <w:tcPr>
            <w:tcW w:w="2409" w:type="dxa"/>
            <w:vAlign w:val="center"/>
          </w:tcPr>
          <w:p w14:paraId="5824BF53">
            <w:pPr>
              <w:spacing w:line="584" w:lineRule="exact"/>
              <w:jc w:val="center"/>
              <w:rPr>
                <w:rFonts w:ascii="Times New Roman" w:hAnsi="Times New Roman" w:eastAsia="仿宋_GB2312" w:cs="Times New Roman"/>
              </w:rPr>
            </w:pPr>
            <w:r>
              <w:rPr>
                <w:rFonts w:ascii="Times New Roman" w:hAnsi="Times New Roman" w:eastAsia="仿宋_GB2312" w:cs="Times New Roman"/>
                <w:sz w:val="32"/>
                <w:szCs w:val="32"/>
              </w:rPr>
              <w:t>满意度指标</w:t>
            </w:r>
          </w:p>
        </w:tc>
        <w:tc>
          <w:tcPr>
            <w:tcW w:w="2268" w:type="dxa"/>
            <w:vAlign w:val="center"/>
          </w:tcPr>
          <w:p w14:paraId="31B5E9CB">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服务对象满意度</w:t>
            </w:r>
          </w:p>
        </w:tc>
        <w:tc>
          <w:tcPr>
            <w:tcW w:w="1985" w:type="dxa"/>
            <w:vAlign w:val="center"/>
          </w:tcPr>
          <w:p w14:paraId="6B7FA5D4">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驻中心人员满意度</w:t>
            </w:r>
          </w:p>
        </w:tc>
        <w:tc>
          <w:tcPr>
            <w:tcW w:w="3402" w:type="dxa"/>
            <w:vAlign w:val="center"/>
          </w:tcPr>
          <w:p w14:paraId="400E16F7">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驻中心人员满意度</w:t>
            </w:r>
          </w:p>
        </w:tc>
        <w:tc>
          <w:tcPr>
            <w:tcW w:w="1843" w:type="dxa"/>
            <w:vAlign w:val="center"/>
          </w:tcPr>
          <w:p w14:paraId="74074155">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&gt;=95%</w:t>
            </w:r>
          </w:p>
        </w:tc>
        <w:tc>
          <w:tcPr>
            <w:tcW w:w="2155" w:type="dxa"/>
            <w:vAlign w:val="center"/>
          </w:tcPr>
          <w:p w14:paraId="137F936D">
            <w:pPr>
              <w:spacing w:line="584" w:lineRule="exact"/>
              <w:jc w:val="cente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计划</w:t>
            </w:r>
          </w:p>
        </w:tc>
      </w:tr>
    </w:tbl>
    <w:p w14:paraId="6B902754">
      <w:pPr>
        <w:autoSpaceDE w:val="0"/>
        <w:autoSpaceDN w:val="0"/>
        <w:adjustRightInd w:val="0"/>
        <w:spacing w:line="584" w:lineRule="exact"/>
        <w:ind w:firstLine="643" w:firstLineChars="200"/>
        <w:jc w:val="left"/>
        <w:rPr>
          <w:rFonts w:ascii="仿宋_GB2312" w:hAnsi="Times New Roman" w:eastAsia="仿宋_GB2312" w:cs="Times New Roman"/>
          <w:b/>
          <w:sz w:val="32"/>
          <w:szCs w:val="32"/>
        </w:rPr>
      </w:pPr>
    </w:p>
    <w:p w14:paraId="50B72487">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03BFC982">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535.88</w:t>
      </w:r>
      <w:r>
        <w:rPr>
          <w:rFonts w:ascii="Times New Roman" w:hAnsi="Times New Roman" w:eastAsia="仿宋_GB2312" w:cs="Times New Roman"/>
          <w:sz w:val="32"/>
          <w:szCs w:val="24"/>
        </w:rPr>
        <w:t>万元。具体内容见下表。</w:t>
      </w:r>
    </w:p>
    <w:bookmarkEnd w:id="1"/>
    <w:p w14:paraId="559FDD76">
      <w:pPr>
        <w:spacing w:line="584" w:lineRule="exact"/>
        <w:jc w:val="left"/>
        <w:outlineLvl w:val="0"/>
        <w:rPr>
          <w:rFonts w:ascii="Times New Roman" w:hAnsi="Times New Roman" w:eastAsia="仿宋_GB2312" w:cs="Times New Roman"/>
        </w:rPr>
      </w:pPr>
    </w:p>
    <w:p w14:paraId="6B90EA36">
      <w:pPr>
        <w:spacing w:line="584" w:lineRule="exact"/>
        <w:jc w:val="center"/>
        <w:outlineLvl w:val="1"/>
        <w:rPr>
          <w:rFonts w:ascii="方正书宋_GBK" w:hAnsi="Times New Roman" w:eastAsia="方正书宋_GBK" w:cs="Times New Roman"/>
          <w:b/>
          <w:sz w:val="28"/>
          <w:szCs w:val="28"/>
        </w:rPr>
      </w:pPr>
      <w:bookmarkStart w:id="2" w:name="_Toc64920910"/>
      <w:r>
        <w:rPr>
          <w:rFonts w:hint="eastAsia" w:ascii="方正书宋_GBK" w:eastAsia="方正书宋_GBK" w:cs="Times New Roman"/>
          <w:b/>
          <w:sz w:val="28"/>
          <w:szCs w:val="28"/>
        </w:rPr>
        <w:t>部门政府采购预算</w:t>
      </w:r>
      <w:bookmarkEnd w:id="2"/>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72"/>
        <w:gridCol w:w="1346"/>
        <w:gridCol w:w="1531"/>
        <w:gridCol w:w="1531"/>
        <w:gridCol w:w="709"/>
        <w:gridCol w:w="695"/>
        <w:gridCol w:w="1119"/>
        <w:gridCol w:w="1134"/>
        <w:gridCol w:w="1134"/>
        <w:gridCol w:w="1134"/>
        <w:gridCol w:w="1134"/>
        <w:gridCol w:w="1134"/>
        <w:gridCol w:w="1134"/>
      </w:tblGrid>
      <w:tr w14:paraId="27C0BF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08E45AF3">
            <w:pPr>
              <w:spacing w:line="584" w:lineRule="exact"/>
              <w:jc w:val="left"/>
              <w:rPr>
                <w:rFonts w:ascii="方正书宋_GBK" w:eastAsia="方正书宋_GBK" w:cs="Times New Roman"/>
                <w:b/>
                <w:sz w:val="28"/>
                <w:szCs w:val="28"/>
              </w:rPr>
            </w:pPr>
            <w:r>
              <w:rPr>
                <w:rFonts w:hint="eastAsia" w:ascii="方正书宋_GBK" w:eastAsia="方正书宋_GBK"/>
                <w:b/>
                <w:sz w:val="28"/>
                <w:szCs w:val="28"/>
              </w:rPr>
              <w:t>中国共产党廊坊市纪律检查委员会</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5233D1AA">
            <w:pPr>
              <w:spacing w:line="584" w:lineRule="exact"/>
              <w:jc w:val="right"/>
              <w:rPr>
                <w:rFonts w:ascii="方正书宋_GBK" w:eastAsia="方正书宋_GBK" w:cs="Times New Roman"/>
                <w:b/>
                <w:sz w:val="28"/>
                <w:szCs w:val="28"/>
              </w:rPr>
            </w:pPr>
            <w:r>
              <w:rPr>
                <w:rFonts w:hint="eastAsia" w:ascii="方正书宋_GBK" w:eastAsia="方正书宋_GBK" w:cs="Times New Roman"/>
                <w:b/>
                <w:sz w:val="28"/>
                <w:szCs w:val="28"/>
              </w:rPr>
              <w:t>单位：万元</w:t>
            </w:r>
          </w:p>
        </w:tc>
      </w:tr>
      <w:tr w14:paraId="3420CD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7E8BA784">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政府采购项目来源</w:t>
            </w:r>
          </w:p>
        </w:tc>
        <w:tc>
          <w:tcPr>
            <w:tcW w:w="1531" w:type="dxa"/>
            <w:vMerge w:val="restart"/>
            <w:shd w:val="clear" w:color="auto" w:fill="auto"/>
            <w:vAlign w:val="center"/>
          </w:tcPr>
          <w:p w14:paraId="1F93E928">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采购物品名称</w:t>
            </w:r>
          </w:p>
        </w:tc>
        <w:tc>
          <w:tcPr>
            <w:tcW w:w="1531" w:type="dxa"/>
            <w:vMerge w:val="restart"/>
            <w:shd w:val="clear" w:color="auto" w:fill="auto"/>
            <w:vAlign w:val="center"/>
          </w:tcPr>
          <w:p w14:paraId="419DCDE4">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政府采购目录序号</w:t>
            </w:r>
          </w:p>
        </w:tc>
        <w:tc>
          <w:tcPr>
            <w:tcW w:w="709" w:type="dxa"/>
            <w:vMerge w:val="restart"/>
            <w:shd w:val="clear" w:color="auto" w:fill="auto"/>
            <w:vAlign w:val="center"/>
          </w:tcPr>
          <w:p w14:paraId="6B5688C0">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计量  单位</w:t>
            </w:r>
          </w:p>
        </w:tc>
        <w:tc>
          <w:tcPr>
            <w:tcW w:w="695" w:type="dxa"/>
            <w:vMerge w:val="restart"/>
            <w:shd w:val="clear" w:color="auto" w:fill="auto"/>
            <w:vAlign w:val="center"/>
          </w:tcPr>
          <w:p w14:paraId="34E1A2C2">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数量</w:t>
            </w:r>
          </w:p>
        </w:tc>
        <w:tc>
          <w:tcPr>
            <w:tcW w:w="1119" w:type="dxa"/>
            <w:vMerge w:val="restart"/>
            <w:shd w:val="clear" w:color="auto" w:fill="auto"/>
            <w:vAlign w:val="center"/>
          </w:tcPr>
          <w:p w14:paraId="2FF1D845">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单价</w:t>
            </w:r>
          </w:p>
        </w:tc>
        <w:tc>
          <w:tcPr>
            <w:tcW w:w="6804" w:type="dxa"/>
            <w:gridSpan w:val="6"/>
            <w:shd w:val="clear" w:color="auto" w:fill="auto"/>
            <w:vAlign w:val="center"/>
          </w:tcPr>
          <w:p w14:paraId="3DE83A61">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政府采购金额（当年部门预算安排资金）</w:t>
            </w:r>
          </w:p>
        </w:tc>
      </w:tr>
      <w:tr w14:paraId="7216ED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72" w:type="dxa"/>
            <w:shd w:val="clear" w:color="auto" w:fill="auto"/>
            <w:vAlign w:val="center"/>
          </w:tcPr>
          <w:p w14:paraId="7A06C466">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项目名称</w:t>
            </w:r>
          </w:p>
        </w:tc>
        <w:tc>
          <w:tcPr>
            <w:tcW w:w="1346" w:type="dxa"/>
            <w:shd w:val="clear" w:color="auto" w:fill="auto"/>
            <w:vAlign w:val="center"/>
          </w:tcPr>
          <w:p w14:paraId="5C498C14">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预算资金</w:t>
            </w:r>
          </w:p>
        </w:tc>
        <w:tc>
          <w:tcPr>
            <w:tcW w:w="1531" w:type="dxa"/>
            <w:vMerge w:val="continue"/>
            <w:shd w:val="clear" w:color="auto" w:fill="auto"/>
            <w:vAlign w:val="center"/>
          </w:tcPr>
          <w:p w14:paraId="1AFAA544">
            <w:pPr>
              <w:spacing w:line="584" w:lineRule="exact"/>
              <w:rPr>
                <w:rFonts w:ascii="方正书宋_GBK" w:eastAsia="方正书宋_GBK"/>
                <w:b/>
                <w:sz w:val="28"/>
                <w:szCs w:val="28"/>
              </w:rPr>
            </w:pPr>
          </w:p>
        </w:tc>
        <w:tc>
          <w:tcPr>
            <w:tcW w:w="1531" w:type="dxa"/>
            <w:vMerge w:val="continue"/>
            <w:shd w:val="clear" w:color="auto" w:fill="auto"/>
            <w:vAlign w:val="center"/>
          </w:tcPr>
          <w:p w14:paraId="10E22B6D">
            <w:pPr>
              <w:spacing w:line="584" w:lineRule="exact"/>
              <w:rPr>
                <w:rFonts w:ascii="方正书宋_GBK" w:eastAsia="方正书宋_GBK"/>
                <w:b/>
                <w:sz w:val="28"/>
                <w:szCs w:val="28"/>
              </w:rPr>
            </w:pPr>
          </w:p>
        </w:tc>
        <w:tc>
          <w:tcPr>
            <w:tcW w:w="709" w:type="dxa"/>
            <w:vMerge w:val="continue"/>
            <w:shd w:val="clear" w:color="auto" w:fill="auto"/>
            <w:vAlign w:val="center"/>
          </w:tcPr>
          <w:p w14:paraId="1270BF95">
            <w:pPr>
              <w:spacing w:line="584" w:lineRule="exact"/>
              <w:rPr>
                <w:rFonts w:ascii="方正书宋_GBK" w:eastAsia="方正书宋_GBK"/>
                <w:b/>
                <w:sz w:val="28"/>
                <w:szCs w:val="28"/>
              </w:rPr>
            </w:pPr>
          </w:p>
        </w:tc>
        <w:tc>
          <w:tcPr>
            <w:tcW w:w="695" w:type="dxa"/>
            <w:vMerge w:val="continue"/>
            <w:shd w:val="clear" w:color="auto" w:fill="auto"/>
            <w:vAlign w:val="center"/>
          </w:tcPr>
          <w:p w14:paraId="1EDF2CF3">
            <w:pPr>
              <w:spacing w:line="584" w:lineRule="exact"/>
              <w:rPr>
                <w:rFonts w:ascii="方正书宋_GBK" w:eastAsia="方正书宋_GBK"/>
                <w:b/>
                <w:sz w:val="28"/>
                <w:szCs w:val="28"/>
              </w:rPr>
            </w:pPr>
          </w:p>
        </w:tc>
        <w:tc>
          <w:tcPr>
            <w:tcW w:w="1119" w:type="dxa"/>
            <w:vMerge w:val="continue"/>
            <w:shd w:val="clear" w:color="auto" w:fill="auto"/>
            <w:vAlign w:val="center"/>
          </w:tcPr>
          <w:p w14:paraId="6DF813A5">
            <w:pPr>
              <w:spacing w:line="584" w:lineRule="exact"/>
              <w:rPr>
                <w:rFonts w:ascii="方正书宋_GBK" w:eastAsia="方正书宋_GBK"/>
                <w:b/>
                <w:sz w:val="28"/>
                <w:szCs w:val="28"/>
              </w:rPr>
            </w:pPr>
          </w:p>
        </w:tc>
        <w:tc>
          <w:tcPr>
            <w:tcW w:w="1134" w:type="dxa"/>
            <w:shd w:val="clear" w:color="auto" w:fill="auto"/>
            <w:vAlign w:val="center"/>
          </w:tcPr>
          <w:p w14:paraId="23C4577F">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合计</w:t>
            </w:r>
          </w:p>
        </w:tc>
        <w:tc>
          <w:tcPr>
            <w:tcW w:w="1134" w:type="dxa"/>
            <w:shd w:val="clear" w:color="auto" w:fill="auto"/>
            <w:vAlign w:val="center"/>
          </w:tcPr>
          <w:p w14:paraId="4248864C">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一般公共预算拨款</w:t>
            </w:r>
          </w:p>
        </w:tc>
        <w:tc>
          <w:tcPr>
            <w:tcW w:w="1134" w:type="dxa"/>
            <w:shd w:val="clear" w:color="auto" w:fill="auto"/>
            <w:vAlign w:val="center"/>
          </w:tcPr>
          <w:p w14:paraId="3370CA4D">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基金预算拨款</w:t>
            </w:r>
          </w:p>
        </w:tc>
        <w:tc>
          <w:tcPr>
            <w:tcW w:w="1134" w:type="dxa"/>
            <w:shd w:val="clear" w:color="auto" w:fill="auto"/>
            <w:vAlign w:val="center"/>
          </w:tcPr>
          <w:p w14:paraId="0EB408A1">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国有资本经营预算拨款</w:t>
            </w:r>
          </w:p>
        </w:tc>
        <w:tc>
          <w:tcPr>
            <w:tcW w:w="1134" w:type="dxa"/>
            <w:shd w:val="clear" w:color="auto" w:fill="auto"/>
            <w:vAlign w:val="center"/>
          </w:tcPr>
          <w:p w14:paraId="2447CD8A">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财政专户核拨</w:t>
            </w:r>
          </w:p>
        </w:tc>
        <w:tc>
          <w:tcPr>
            <w:tcW w:w="1134" w:type="dxa"/>
            <w:shd w:val="clear" w:color="auto" w:fill="auto"/>
            <w:vAlign w:val="center"/>
          </w:tcPr>
          <w:p w14:paraId="4FEDF0FA">
            <w:pPr>
              <w:spacing w:line="584" w:lineRule="exact"/>
              <w:jc w:val="center"/>
              <w:rPr>
                <w:rFonts w:ascii="方正书宋_GBK" w:eastAsia="方正书宋_GBK" w:cs="Times New Roman"/>
                <w:b/>
                <w:sz w:val="28"/>
                <w:szCs w:val="28"/>
              </w:rPr>
            </w:pPr>
            <w:r>
              <w:rPr>
                <w:rFonts w:hint="eastAsia" w:ascii="方正书宋_GBK" w:eastAsia="方正书宋_GBK" w:cs="Times New Roman"/>
                <w:b/>
                <w:sz w:val="28"/>
                <w:szCs w:val="28"/>
              </w:rPr>
              <w:t>单位资金</w:t>
            </w:r>
          </w:p>
        </w:tc>
      </w:tr>
      <w:tr w14:paraId="026572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2" w:type="dxa"/>
            <w:shd w:val="clear" w:color="auto" w:fill="auto"/>
            <w:vAlign w:val="center"/>
          </w:tcPr>
          <w:p w14:paraId="798892B6">
            <w:pPr>
              <w:spacing w:line="584" w:lineRule="exact"/>
              <w:jc w:val="center"/>
              <w:rPr>
                <w:rFonts w:ascii="方正书宋_GBK" w:eastAsia="方正书宋_GBK" w:cs="Times New Roman"/>
                <w:b/>
              </w:rPr>
            </w:pPr>
            <w:r>
              <w:rPr>
                <w:rFonts w:ascii="方正书宋_GBK" w:eastAsia="方正书宋_GBK" w:cs="Times New Roman"/>
                <w:b/>
              </w:rPr>
              <w:t>合  计</w:t>
            </w:r>
          </w:p>
        </w:tc>
        <w:tc>
          <w:tcPr>
            <w:tcW w:w="1346" w:type="dxa"/>
            <w:shd w:val="clear" w:color="auto" w:fill="auto"/>
            <w:vAlign w:val="center"/>
          </w:tcPr>
          <w:p w14:paraId="71698CA3">
            <w:pPr>
              <w:spacing w:line="584" w:lineRule="exact"/>
              <w:jc w:val="right"/>
              <w:rPr>
                <w:rFonts w:ascii="方正书宋_GBK" w:eastAsia="方正书宋_GBK" w:cs="Times New Roman"/>
                <w:b/>
              </w:rPr>
            </w:pPr>
          </w:p>
        </w:tc>
        <w:tc>
          <w:tcPr>
            <w:tcW w:w="1531" w:type="dxa"/>
            <w:shd w:val="clear" w:color="auto" w:fill="auto"/>
            <w:vAlign w:val="center"/>
          </w:tcPr>
          <w:p w14:paraId="133E8187">
            <w:pPr>
              <w:spacing w:line="584" w:lineRule="exact"/>
              <w:jc w:val="left"/>
              <w:rPr>
                <w:rFonts w:ascii="方正书宋_GBK" w:eastAsia="方正书宋_GBK" w:cs="Times New Roman"/>
                <w:b/>
              </w:rPr>
            </w:pPr>
          </w:p>
        </w:tc>
        <w:tc>
          <w:tcPr>
            <w:tcW w:w="1531" w:type="dxa"/>
            <w:shd w:val="clear" w:color="auto" w:fill="auto"/>
            <w:vAlign w:val="center"/>
          </w:tcPr>
          <w:p w14:paraId="1FE9625A">
            <w:pPr>
              <w:spacing w:line="584" w:lineRule="exact"/>
              <w:jc w:val="left"/>
              <w:rPr>
                <w:rFonts w:ascii="方正书宋_GBK" w:eastAsia="方正书宋_GBK" w:cs="Times New Roman"/>
                <w:b/>
              </w:rPr>
            </w:pPr>
          </w:p>
        </w:tc>
        <w:tc>
          <w:tcPr>
            <w:tcW w:w="709" w:type="dxa"/>
            <w:shd w:val="clear" w:color="auto" w:fill="auto"/>
            <w:vAlign w:val="center"/>
          </w:tcPr>
          <w:p w14:paraId="78A7429D">
            <w:pPr>
              <w:spacing w:line="584" w:lineRule="exact"/>
              <w:jc w:val="center"/>
              <w:rPr>
                <w:rFonts w:ascii="方正书宋_GBK" w:eastAsia="方正书宋_GBK" w:cs="Times New Roman"/>
                <w:b/>
              </w:rPr>
            </w:pPr>
          </w:p>
        </w:tc>
        <w:tc>
          <w:tcPr>
            <w:tcW w:w="695" w:type="dxa"/>
            <w:shd w:val="clear" w:color="auto" w:fill="auto"/>
            <w:vAlign w:val="center"/>
          </w:tcPr>
          <w:p w14:paraId="57D21BF1">
            <w:pPr>
              <w:spacing w:line="584" w:lineRule="exact"/>
              <w:jc w:val="right"/>
              <w:rPr>
                <w:rFonts w:ascii="方正书宋_GBK" w:eastAsia="方正书宋_GBK" w:cs="Times New Roman"/>
                <w:b/>
              </w:rPr>
            </w:pPr>
          </w:p>
        </w:tc>
        <w:tc>
          <w:tcPr>
            <w:tcW w:w="1119" w:type="dxa"/>
            <w:shd w:val="clear" w:color="auto" w:fill="auto"/>
            <w:vAlign w:val="center"/>
          </w:tcPr>
          <w:p w14:paraId="224002D2">
            <w:pPr>
              <w:spacing w:line="584" w:lineRule="exact"/>
              <w:jc w:val="right"/>
              <w:rPr>
                <w:rFonts w:ascii="方正书宋_GBK" w:eastAsia="方正书宋_GBK" w:cs="Times New Roman"/>
                <w:b/>
              </w:rPr>
            </w:pPr>
          </w:p>
        </w:tc>
        <w:tc>
          <w:tcPr>
            <w:tcW w:w="1134" w:type="dxa"/>
            <w:shd w:val="clear" w:color="auto" w:fill="auto"/>
            <w:vAlign w:val="center"/>
          </w:tcPr>
          <w:p w14:paraId="4DFA0E6F">
            <w:pPr>
              <w:spacing w:line="584" w:lineRule="exact"/>
              <w:jc w:val="right"/>
              <w:rPr>
                <w:rFonts w:ascii="方正书宋_GBK" w:eastAsia="方正书宋_GBK" w:cs="Times New Roman"/>
                <w:b/>
              </w:rPr>
            </w:pPr>
          </w:p>
        </w:tc>
        <w:tc>
          <w:tcPr>
            <w:tcW w:w="1134" w:type="dxa"/>
            <w:shd w:val="clear" w:color="auto" w:fill="auto"/>
            <w:vAlign w:val="center"/>
          </w:tcPr>
          <w:p w14:paraId="4243D3EE">
            <w:pPr>
              <w:spacing w:line="584" w:lineRule="exact"/>
              <w:jc w:val="right"/>
              <w:rPr>
                <w:rFonts w:ascii="方正书宋_GBK" w:eastAsia="方正书宋_GBK" w:cs="Times New Roman"/>
                <w:b/>
              </w:rPr>
            </w:pPr>
          </w:p>
        </w:tc>
        <w:tc>
          <w:tcPr>
            <w:tcW w:w="1134" w:type="dxa"/>
            <w:shd w:val="clear" w:color="auto" w:fill="auto"/>
            <w:vAlign w:val="center"/>
          </w:tcPr>
          <w:p w14:paraId="497C6452">
            <w:pPr>
              <w:spacing w:line="584" w:lineRule="exact"/>
              <w:jc w:val="right"/>
              <w:rPr>
                <w:rFonts w:ascii="方正书宋_GBK" w:eastAsia="方正书宋_GBK" w:cs="Times New Roman"/>
                <w:b/>
              </w:rPr>
            </w:pPr>
          </w:p>
        </w:tc>
        <w:tc>
          <w:tcPr>
            <w:tcW w:w="1134" w:type="dxa"/>
            <w:shd w:val="clear" w:color="auto" w:fill="auto"/>
            <w:vAlign w:val="center"/>
          </w:tcPr>
          <w:p w14:paraId="292B27C8">
            <w:pPr>
              <w:spacing w:line="584" w:lineRule="exact"/>
              <w:jc w:val="right"/>
              <w:rPr>
                <w:rFonts w:ascii="方正书宋_GBK" w:eastAsia="方正书宋_GBK" w:cs="Times New Roman"/>
                <w:b/>
              </w:rPr>
            </w:pPr>
          </w:p>
        </w:tc>
        <w:tc>
          <w:tcPr>
            <w:tcW w:w="1134" w:type="dxa"/>
            <w:shd w:val="clear" w:color="auto" w:fill="auto"/>
            <w:vAlign w:val="center"/>
          </w:tcPr>
          <w:p w14:paraId="166F5C6E">
            <w:pPr>
              <w:spacing w:line="584" w:lineRule="exact"/>
              <w:jc w:val="right"/>
              <w:rPr>
                <w:rFonts w:ascii="方正书宋_GBK" w:eastAsia="方正书宋_GBK" w:cs="Times New Roman"/>
                <w:b/>
              </w:rPr>
            </w:pPr>
          </w:p>
        </w:tc>
        <w:tc>
          <w:tcPr>
            <w:tcW w:w="1134" w:type="dxa"/>
            <w:shd w:val="clear" w:color="auto" w:fill="auto"/>
            <w:vAlign w:val="center"/>
          </w:tcPr>
          <w:p w14:paraId="3BDA2A25">
            <w:pPr>
              <w:spacing w:line="584" w:lineRule="exact"/>
              <w:jc w:val="right"/>
              <w:rPr>
                <w:rFonts w:ascii="方正书宋_GBK" w:eastAsia="方正书宋_GBK" w:cs="Times New Roman"/>
                <w:b/>
              </w:rPr>
            </w:pPr>
          </w:p>
        </w:tc>
      </w:tr>
      <w:tr w14:paraId="5288E6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2" w:type="dxa"/>
            <w:shd w:val="clear" w:color="auto" w:fill="auto"/>
            <w:vAlign w:val="center"/>
          </w:tcPr>
          <w:p w14:paraId="13EF7AA4">
            <w:pPr>
              <w:spacing w:line="584" w:lineRule="exact"/>
              <w:jc w:val="center"/>
              <w:rPr>
                <w:rFonts w:ascii="仿宋_GB2312" w:eastAsia="仿宋_GB2312" w:cs="Times New Roman"/>
                <w:sz w:val="28"/>
                <w:szCs w:val="28"/>
              </w:rPr>
            </w:pPr>
            <w:r>
              <w:rPr>
                <w:rFonts w:hint="eastAsia" w:ascii="仿宋_GB2312" w:eastAsia="仿宋_GB2312" w:cs="Times New Roman"/>
                <w:sz w:val="28"/>
                <w:szCs w:val="28"/>
              </w:rPr>
              <w:t>机关运行经费</w:t>
            </w:r>
          </w:p>
        </w:tc>
        <w:tc>
          <w:tcPr>
            <w:tcW w:w="1346" w:type="dxa"/>
            <w:shd w:val="clear" w:color="auto" w:fill="auto"/>
            <w:vAlign w:val="center"/>
          </w:tcPr>
          <w:p w14:paraId="542FBB32">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285</w:t>
            </w:r>
          </w:p>
        </w:tc>
        <w:tc>
          <w:tcPr>
            <w:tcW w:w="1531" w:type="dxa"/>
            <w:shd w:val="clear" w:color="auto" w:fill="auto"/>
            <w:vAlign w:val="center"/>
          </w:tcPr>
          <w:p w14:paraId="299A245C">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其他印刷服务</w:t>
            </w:r>
          </w:p>
        </w:tc>
        <w:tc>
          <w:tcPr>
            <w:tcW w:w="1531" w:type="dxa"/>
            <w:shd w:val="clear" w:color="auto" w:fill="auto"/>
            <w:vAlign w:val="center"/>
          </w:tcPr>
          <w:p w14:paraId="48E5CC2D">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C08140199</w:t>
            </w:r>
          </w:p>
        </w:tc>
        <w:tc>
          <w:tcPr>
            <w:tcW w:w="709" w:type="dxa"/>
            <w:shd w:val="clear" w:color="auto" w:fill="auto"/>
            <w:vAlign w:val="center"/>
          </w:tcPr>
          <w:p w14:paraId="4B35C0C6">
            <w:pPr>
              <w:spacing w:line="584" w:lineRule="exact"/>
              <w:jc w:val="center"/>
              <w:rPr>
                <w:rFonts w:ascii="仿宋_GB2312" w:eastAsia="仿宋_GB2312" w:cs="Times New Roman"/>
                <w:sz w:val="28"/>
                <w:szCs w:val="28"/>
              </w:rPr>
            </w:pPr>
            <w:r>
              <w:rPr>
                <w:rFonts w:hint="eastAsia" w:ascii="仿宋_GB2312" w:eastAsia="仿宋_GB2312" w:cs="Times New Roman"/>
                <w:sz w:val="28"/>
                <w:szCs w:val="28"/>
              </w:rPr>
              <w:t>项</w:t>
            </w:r>
          </w:p>
        </w:tc>
        <w:tc>
          <w:tcPr>
            <w:tcW w:w="695" w:type="dxa"/>
            <w:shd w:val="clear" w:color="auto" w:fill="auto"/>
            <w:vAlign w:val="center"/>
          </w:tcPr>
          <w:p w14:paraId="57B8FDF3">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1</w:t>
            </w:r>
          </w:p>
        </w:tc>
        <w:tc>
          <w:tcPr>
            <w:tcW w:w="1119" w:type="dxa"/>
            <w:shd w:val="clear" w:color="auto" w:fill="auto"/>
            <w:vAlign w:val="center"/>
          </w:tcPr>
          <w:p w14:paraId="47759F3F">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50</w:t>
            </w:r>
          </w:p>
        </w:tc>
        <w:tc>
          <w:tcPr>
            <w:tcW w:w="1134" w:type="dxa"/>
            <w:shd w:val="clear" w:color="auto" w:fill="auto"/>
            <w:vAlign w:val="center"/>
          </w:tcPr>
          <w:p w14:paraId="58767893">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50</w:t>
            </w:r>
          </w:p>
        </w:tc>
        <w:tc>
          <w:tcPr>
            <w:tcW w:w="1134" w:type="dxa"/>
            <w:shd w:val="clear" w:color="auto" w:fill="auto"/>
            <w:vAlign w:val="center"/>
          </w:tcPr>
          <w:p w14:paraId="4C2F135B">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50</w:t>
            </w:r>
          </w:p>
        </w:tc>
        <w:tc>
          <w:tcPr>
            <w:tcW w:w="1134" w:type="dxa"/>
            <w:shd w:val="clear" w:color="auto" w:fill="auto"/>
            <w:vAlign w:val="center"/>
          </w:tcPr>
          <w:p w14:paraId="17B65A77">
            <w:pPr>
              <w:spacing w:line="584" w:lineRule="exact"/>
              <w:jc w:val="right"/>
              <w:rPr>
                <w:rFonts w:ascii="仿宋_GB2312" w:eastAsia="仿宋_GB2312" w:cs="Times New Roman"/>
                <w:sz w:val="28"/>
                <w:szCs w:val="28"/>
              </w:rPr>
            </w:pPr>
          </w:p>
        </w:tc>
        <w:tc>
          <w:tcPr>
            <w:tcW w:w="1134" w:type="dxa"/>
            <w:shd w:val="clear" w:color="auto" w:fill="auto"/>
            <w:vAlign w:val="center"/>
          </w:tcPr>
          <w:p w14:paraId="6ECF4E5F">
            <w:pPr>
              <w:spacing w:line="584" w:lineRule="exact"/>
              <w:jc w:val="right"/>
              <w:rPr>
                <w:rFonts w:ascii="仿宋_GB2312" w:eastAsia="仿宋_GB2312" w:cs="Times New Roman"/>
                <w:sz w:val="28"/>
                <w:szCs w:val="28"/>
              </w:rPr>
            </w:pPr>
          </w:p>
        </w:tc>
        <w:tc>
          <w:tcPr>
            <w:tcW w:w="1134" w:type="dxa"/>
            <w:shd w:val="clear" w:color="auto" w:fill="auto"/>
            <w:vAlign w:val="center"/>
          </w:tcPr>
          <w:p w14:paraId="23D7468B">
            <w:pPr>
              <w:spacing w:line="584" w:lineRule="exact"/>
              <w:jc w:val="right"/>
              <w:rPr>
                <w:rFonts w:ascii="仿宋_GB2312" w:eastAsia="仿宋_GB2312" w:cs="Times New Roman"/>
                <w:sz w:val="28"/>
                <w:szCs w:val="28"/>
              </w:rPr>
            </w:pPr>
          </w:p>
        </w:tc>
        <w:tc>
          <w:tcPr>
            <w:tcW w:w="1134" w:type="dxa"/>
            <w:shd w:val="clear" w:color="auto" w:fill="auto"/>
            <w:vAlign w:val="center"/>
          </w:tcPr>
          <w:p w14:paraId="79AF2396">
            <w:pPr>
              <w:spacing w:line="584" w:lineRule="exact"/>
              <w:jc w:val="right"/>
              <w:rPr>
                <w:rFonts w:ascii="仿宋_GB2312" w:eastAsia="仿宋_GB2312" w:cs="Times New Roman"/>
                <w:sz w:val="32"/>
                <w:szCs w:val="32"/>
              </w:rPr>
            </w:pPr>
          </w:p>
        </w:tc>
      </w:tr>
      <w:tr w14:paraId="770EA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2" w:type="dxa"/>
            <w:shd w:val="clear" w:color="auto" w:fill="auto"/>
            <w:vAlign w:val="center"/>
          </w:tcPr>
          <w:p w14:paraId="59AB070D">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监督检查和审查调查专项经费</w:t>
            </w:r>
          </w:p>
        </w:tc>
        <w:tc>
          <w:tcPr>
            <w:tcW w:w="1346" w:type="dxa"/>
            <w:shd w:val="clear" w:color="auto" w:fill="auto"/>
            <w:vAlign w:val="center"/>
          </w:tcPr>
          <w:p w14:paraId="6E5698B7">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1606</w:t>
            </w:r>
          </w:p>
        </w:tc>
        <w:tc>
          <w:tcPr>
            <w:tcW w:w="1531" w:type="dxa"/>
            <w:shd w:val="clear" w:color="auto" w:fill="auto"/>
            <w:vAlign w:val="center"/>
          </w:tcPr>
          <w:p w14:paraId="3A7E3B37">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车辆及其他运输机械租赁服务</w:t>
            </w:r>
          </w:p>
        </w:tc>
        <w:tc>
          <w:tcPr>
            <w:tcW w:w="1531" w:type="dxa"/>
            <w:shd w:val="clear" w:color="auto" w:fill="auto"/>
            <w:vAlign w:val="center"/>
          </w:tcPr>
          <w:p w14:paraId="2C715611">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C0403</w:t>
            </w:r>
          </w:p>
        </w:tc>
        <w:tc>
          <w:tcPr>
            <w:tcW w:w="709" w:type="dxa"/>
            <w:shd w:val="clear" w:color="auto" w:fill="auto"/>
            <w:vAlign w:val="center"/>
          </w:tcPr>
          <w:p w14:paraId="49BC64D9">
            <w:pPr>
              <w:spacing w:line="584" w:lineRule="exact"/>
              <w:jc w:val="center"/>
              <w:rPr>
                <w:rFonts w:ascii="仿宋_GB2312" w:eastAsia="仿宋_GB2312" w:cs="Times New Roman"/>
                <w:sz w:val="28"/>
                <w:szCs w:val="28"/>
              </w:rPr>
            </w:pPr>
            <w:r>
              <w:rPr>
                <w:rFonts w:hint="eastAsia" w:ascii="仿宋_GB2312" w:eastAsia="仿宋_GB2312" w:cs="Times New Roman"/>
                <w:sz w:val="28"/>
                <w:szCs w:val="28"/>
              </w:rPr>
              <w:t>项</w:t>
            </w:r>
          </w:p>
        </w:tc>
        <w:tc>
          <w:tcPr>
            <w:tcW w:w="695" w:type="dxa"/>
            <w:shd w:val="clear" w:color="auto" w:fill="auto"/>
            <w:vAlign w:val="center"/>
          </w:tcPr>
          <w:p w14:paraId="6E96AF2D">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1</w:t>
            </w:r>
          </w:p>
        </w:tc>
        <w:tc>
          <w:tcPr>
            <w:tcW w:w="1119" w:type="dxa"/>
            <w:shd w:val="clear" w:color="auto" w:fill="auto"/>
            <w:vAlign w:val="center"/>
          </w:tcPr>
          <w:p w14:paraId="00F3AFAF">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69</w:t>
            </w:r>
          </w:p>
        </w:tc>
        <w:tc>
          <w:tcPr>
            <w:tcW w:w="1134" w:type="dxa"/>
            <w:shd w:val="clear" w:color="auto" w:fill="auto"/>
            <w:vAlign w:val="center"/>
          </w:tcPr>
          <w:p w14:paraId="1E488024">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69</w:t>
            </w:r>
          </w:p>
        </w:tc>
        <w:tc>
          <w:tcPr>
            <w:tcW w:w="1134" w:type="dxa"/>
            <w:shd w:val="clear" w:color="auto" w:fill="auto"/>
            <w:vAlign w:val="center"/>
          </w:tcPr>
          <w:p w14:paraId="3547DBF0">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69</w:t>
            </w:r>
          </w:p>
        </w:tc>
        <w:tc>
          <w:tcPr>
            <w:tcW w:w="1134" w:type="dxa"/>
            <w:shd w:val="clear" w:color="auto" w:fill="auto"/>
            <w:vAlign w:val="center"/>
          </w:tcPr>
          <w:p w14:paraId="06F95478">
            <w:pPr>
              <w:spacing w:line="584" w:lineRule="exact"/>
              <w:jc w:val="right"/>
              <w:rPr>
                <w:rFonts w:ascii="仿宋_GB2312" w:eastAsia="仿宋_GB2312" w:cs="Times New Roman"/>
                <w:sz w:val="28"/>
                <w:szCs w:val="28"/>
              </w:rPr>
            </w:pPr>
          </w:p>
        </w:tc>
        <w:tc>
          <w:tcPr>
            <w:tcW w:w="1134" w:type="dxa"/>
            <w:shd w:val="clear" w:color="auto" w:fill="auto"/>
            <w:vAlign w:val="center"/>
          </w:tcPr>
          <w:p w14:paraId="639D7140">
            <w:pPr>
              <w:spacing w:line="584" w:lineRule="exact"/>
              <w:jc w:val="right"/>
              <w:rPr>
                <w:rFonts w:ascii="仿宋_GB2312" w:eastAsia="仿宋_GB2312" w:cs="Times New Roman"/>
                <w:sz w:val="28"/>
                <w:szCs w:val="28"/>
              </w:rPr>
            </w:pPr>
          </w:p>
        </w:tc>
        <w:tc>
          <w:tcPr>
            <w:tcW w:w="1134" w:type="dxa"/>
            <w:shd w:val="clear" w:color="auto" w:fill="auto"/>
            <w:vAlign w:val="center"/>
          </w:tcPr>
          <w:p w14:paraId="4069380F">
            <w:pPr>
              <w:spacing w:line="584" w:lineRule="exact"/>
              <w:jc w:val="right"/>
              <w:rPr>
                <w:rFonts w:ascii="仿宋_GB2312" w:eastAsia="仿宋_GB2312" w:cs="Times New Roman"/>
                <w:sz w:val="28"/>
                <w:szCs w:val="28"/>
              </w:rPr>
            </w:pPr>
          </w:p>
        </w:tc>
        <w:tc>
          <w:tcPr>
            <w:tcW w:w="1134" w:type="dxa"/>
            <w:shd w:val="clear" w:color="auto" w:fill="auto"/>
            <w:vAlign w:val="center"/>
          </w:tcPr>
          <w:p w14:paraId="30472E17">
            <w:pPr>
              <w:spacing w:line="584" w:lineRule="exact"/>
              <w:jc w:val="right"/>
              <w:rPr>
                <w:rFonts w:ascii="仿宋_GB2312" w:eastAsia="仿宋_GB2312" w:cs="Times New Roman"/>
                <w:sz w:val="32"/>
                <w:szCs w:val="32"/>
              </w:rPr>
            </w:pPr>
          </w:p>
        </w:tc>
      </w:tr>
      <w:tr w14:paraId="43D2C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2" w:type="dxa"/>
            <w:shd w:val="clear" w:color="auto" w:fill="auto"/>
            <w:vAlign w:val="center"/>
          </w:tcPr>
          <w:p w14:paraId="60DDE224">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办案楼改造经费</w:t>
            </w:r>
          </w:p>
        </w:tc>
        <w:tc>
          <w:tcPr>
            <w:tcW w:w="1346" w:type="dxa"/>
            <w:shd w:val="clear" w:color="auto" w:fill="auto"/>
            <w:vAlign w:val="center"/>
          </w:tcPr>
          <w:p w14:paraId="3F068116">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334.28</w:t>
            </w:r>
          </w:p>
        </w:tc>
        <w:tc>
          <w:tcPr>
            <w:tcW w:w="1531" w:type="dxa"/>
            <w:shd w:val="clear" w:color="auto" w:fill="auto"/>
            <w:vAlign w:val="center"/>
          </w:tcPr>
          <w:p w14:paraId="3A213B51">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房屋修缮</w:t>
            </w:r>
          </w:p>
        </w:tc>
        <w:tc>
          <w:tcPr>
            <w:tcW w:w="1531" w:type="dxa"/>
            <w:shd w:val="clear" w:color="auto" w:fill="auto"/>
            <w:vAlign w:val="center"/>
          </w:tcPr>
          <w:p w14:paraId="2EAB5DCC">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B0801</w:t>
            </w:r>
          </w:p>
        </w:tc>
        <w:tc>
          <w:tcPr>
            <w:tcW w:w="709" w:type="dxa"/>
            <w:shd w:val="clear" w:color="auto" w:fill="auto"/>
            <w:vAlign w:val="center"/>
          </w:tcPr>
          <w:p w14:paraId="7F92E9F4">
            <w:pPr>
              <w:spacing w:line="584" w:lineRule="exact"/>
              <w:jc w:val="center"/>
              <w:rPr>
                <w:rFonts w:ascii="仿宋_GB2312" w:eastAsia="仿宋_GB2312" w:cs="Times New Roman"/>
                <w:sz w:val="28"/>
                <w:szCs w:val="28"/>
              </w:rPr>
            </w:pPr>
            <w:r>
              <w:rPr>
                <w:rFonts w:hint="eastAsia" w:ascii="仿宋_GB2312" w:eastAsia="仿宋_GB2312" w:cs="Times New Roman"/>
                <w:sz w:val="28"/>
                <w:szCs w:val="28"/>
              </w:rPr>
              <w:t>项</w:t>
            </w:r>
          </w:p>
        </w:tc>
        <w:tc>
          <w:tcPr>
            <w:tcW w:w="695" w:type="dxa"/>
            <w:shd w:val="clear" w:color="auto" w:fill="auto"/>
            <w:vAlign w:val="center"/>
          </w:tcPr>
          <w:p w14:paraId="29EA5E82">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1</w:t>
            </w:r>
          </w:p>
        </w:tc>
        <w:tc>
          <w:tcPr>
            <w:tcW w:w="1119" w:type="dxa"/>
            <w:shd w:val="clear" w:color="auto" w:fill="auto"/>
            <w:vAlign w:val="center"/>
          </w:tcPr>
          <w:p w14:paraId="46D64770">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334.28</w:t>
            </w:r>
          </w:p>
        </w:tc>
        <w:tc>
          <w:tcPr>
            <w:tcW w:w="1134" w:type="dxa"/>
            <w:shd w:val="clear" w:color="auto" w:fill="auto"/>
            <w:vAlign w:val="center"/>
          </w:tcPr>
          <w:p w14:paraId="73AE85C7">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334.28</w:t>
            </w:r>
          </w:p>
        </w:tc>
        <w:tc>
          <w:tcPr>
            <w:tcW w:w="1134" w:type="dxa"/>
            <w:shd w:val="clear" w:color="auto" w:fill="auto"/>
            <w:vAlign w:val="center"/>
          </w:tcPr>
          <w:p w14:paraId="10EE502E">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334.28</w:t>
            </w:r>
          </w:p>
        </w:tc>
        <w:tc>
          <w:tcPr>
            <w:tcW w:w="1134" w:type="dxa"/>
            <w:shd w:val="clear" w:color="auto" w:fill="auto"/>
            <w:vAlign w:val="center"/>
          </w:tcPr>
          <w:p w14:paraId="40CD94E3">
            <w:pPr>
              <w:spacing w:line="584" w:lineRule="exact"/>
              <w:jc w:val="right"/>
              <w:rPr>
                <w:rFonts w:ascii="仿宋_GB2312" w:eastAsia="仿宋_GB2312" w:cs="Times New Roman"/>
                <w:sz w:val="28"/>
                <w:szCs w:val="28"/>
              </w:rPr>
            </w:pPr>
          </w:p>
        </w:tc>
        <w:tc>
          <w:tcPr>
            <w:tcW w:w="1134" w:type="dxa"/>
            <w:shd w:val="clear" w:color="auto" w:fill="auto"/>
            <w:vAlign w:val="center"/>
          </w:tcPr>
          <w:p w14:paraId="142EBC10">
            <w:pPr>
              <w:spacing w:line="584" w:lineRule="exact"/>
              <w:jc w:val="right"/>
              <w:rPr>
                <w:rFonts w:ascii="仿宋_GB2312" w:eastAsia="仿宋_GB2312" w:cs="Times New Roman"/>
                <w:sz w:val="28"/>
                <w:szCs w:val="28"/>
              </w:rPr>
            </w:pPr>
          </w:p>
        </w:tc>
        <w:tc>
          <w:tcPr>
            <w:tcW w:w="1134" w:type="dxa"/>
            <w:shd w:val="clear" w:color="auto" w:fill="auto"/>
            <w:vAlign w:val="center"/>
          </w:tcPr>
          <w:p w14:paraId="56872510">
            <w:pPr>
              <w:spacing w:line="584" w:lineRule="exact"/>
              <w:jc w:val="right"/>
              <w:rPr>
                <w:rFonts w:ascii="仿宋_GB2312" w:eastAsia="仿宋_GB2312" w:cs="Times New Roman"/>
                <w:sz w:val="28"/>
                <w:szCs w:val="28"/>
              </w:rPr>
            </w:pPr>
          </w:p>
        </w:tc>
        <w:tc>
          <w:tcPr>
            <w:tcW w:w="1134" w:type="dxa"/>
            <w:shd w:val="clear" w:color="auto" w:fill="auto"/>
            <w:vAlign w:val="center"/>
          </w:tcPr>
          <w:p w14:paraId="1259C254">
            <w:pPr>
              <w:spacing w:line="584" w:lineRule="exact"/>
              <w:jc w:val="right"/>
              <w:rPr>
                <w:rFonts w:ascii="仿宋_GB2312" w:eastAsia="仿宋_GB2312" w:cs="Times New Roman"/>
                <w:sz w:val="32"/>
                <w:szCs w:val="32"/>
              </w:rPr>
            </w:pPr>
          </w:p>
        </w:tc>
      </w:tr>
      <w:tr w14:paraId="0404BD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72" w:type="dxa"/>
            <w:shd w:val="clear" w:color="auto" w:fill="auto"/>
            <w:vAlign w:val="center"/>
          </w:tcPr>
          <w:p w14:paraId="2DC5FADE">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办案综合保障经费</w:t>
            </w:r>
          </w:p>
        </w:tc>
        <w:tc>
          <w:tcPr>
            <w:tcW w:w="1346" w:type="dxa"/>
            <w:shd w:val="clear" w:color="auto" w:fill="auto"/>
            <w:vAlign w:val="center"/>
          </w:tcPr>
          <w:p w14:paraId="5E3A31E2">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1042.17</w:t>
            </w:r>
          </w:p>
        </w:tc>
        <w:tc>
          <w:tcPr>
            <w:tcW w:w="1531" w:type="dxa"/>
            <w:shd w:val="clear" w:color="auto" w:fill="auto"/>
            <w:vAlign w:val="center"/>
          </w:tcPr>
          <w:p w14:paraId="4CFA0F25">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餐饮服务</w:t>
            </w:r>
          </w:p>
        </w:tc>
        <w:tc>
          <w:tcPr>
            <w:tcW w:w="1531" w:type="dxa"/>
            <w:shd w:val="clear" w:color="auto" w:fill="auto"/>
            <w:vAlign w:val="center"/>
          </w:tcPr>
          <w:p w14:paraId="0ECE029F">
            <w:pPr>
              <w:spacing w:line="584" w:lineRule="exact"/>
              <w:jc w:val="left"/>
              <w:rPr>
                <w:rFonts w:ascii="仿宋_GB2312" w:eastAsia="仿宋_GB2312" w:cs="Times New Roman"/>
                <w:sz w:val="28"/>
                <w:szCs w:val="28"/>
              </w:rPr>
            </w:pPr>
            <w:r>
              <w:rPr>
                <w:rFonts w:hint="eastAsia" w:ascii="仿宋_GB2312" w:eastAsia="仿宋_GB2312" w:cs="Times New Roman"/>
                <w:sz w:val="28"/>
                <w:szCs w:val="28"/>
              </w:rPr>
              <w:t>C0702</w:t>
            </w:r>
          </w:p>
        </w:tc>
        <w:tc>
          <w:tcPr>
            <w:tcW w:w="709" w:type="dxa"/>
            <w:shd w:val="clear" w:color="auto" w:fill="auto"/>
            <w:vAlign w:val="center"/>
          </w:tcPr>
          <w:p w14:paraId="690C1DCD">
            <w:pPr>
              <w:spacing w:line="584" w:lineRule="exact"/>
              <w:jc w:val="center"/>
              <w:rPr>
                <w:rFonts w:ascii="仿宋_GB2312" w:eastAsia="仿宋_GB2312" w:cs="Times New Roman"/>
                <w:sz w:val="28"/>
                <w:szCs w:val="28"/>
              </w:rPr>
            </w:pPr>
            <w:r>
              <w:rPr>
                <w:rFonts w:hint="eastAsia" w:ascii="仿宋_GB2312" w:eastAsia="仿宋_GB2312" w:cs="Times New Roman"/>
                <w:sz w:val="28"/>
                <w:szCs w:val="28"/>
              </w:rPr>
              <w:t>年</w:t>
            </w:r>
          </w:p>
        </w:tc>
        <w:tc>
          <w:tcPr>
            <w:tcW w:w="695" w:type="dxa"/>
            <w:shd w:val="clear" w:color="auto" w:fill="auto"/>
            <w:vAlign w:val="center"/>
          </w:tcPr>
          <w:p w14:paraId="30630A22">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1</w:t>
            </w:r>
          </w:p>
        </w:tc>
        <w:tc>
          <w:tcPr>
            <w:tcW w:w="1119" w:type="dxa"/>
            <w:shd w:val="clear" w:color="auto" w:fill="auto"/>
            <w:vAlign w:val="center"/>
          </w:tcPr>
          <w:p w14:paraId="5D6428F1">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82.60</w:t>
            </w:r>
          </w:p>
        </w:tc>
        <w:tc>
          <w:tcPr>
            <w:tcW w:w="1134" w:type="dxa"/>
            <w:shd w:val="clear" w:color="auto" w:fill="auto"/>
            <w:vAlign w:val="center"/>
          </w:tcPr>
          <w:p w14:paraId="79FC1094">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82.60</w:t>
            </w:r>
          </w:p>
        </w:tc>
        <w:tc>
          <w:tcPr>
            <w:tcW w:w="1134" w:type="dxa"/>
            <w:shd w:val="clear" w:color="auto" w:fill="auto"/>
            <w:vAlign w:val="center"/>
          </w:tcPr>
          <w:p w14:paraId="7865BBD6">
            <w:pPr>
              <w:spacing w:line="584" w:lineRule="exact"/>
              <w:jc w:val="right"/>
              <w:rPr>
                <w:rFonts w:ascii="仿宋_GB2312" w:eastAsia="仿宋_GB2312" w:cs="Times New Roman"/>
                <w:sz w:val="28"/>
                <w:szCs w:val="28"/>
              </w:rPr>
            </w:pPr>
            <w:r>
              <w:rPr>
                <w:rFonts w:hint="eastAsia" w:ascii="仿宋_GB2312" w:eastAsia="仿宋_GB2312" w:cs="Times New Roman"/>
                <w:sz w:val="28"/>
                <w:szCs w:val="28"/>
              </w:rPr>
              <w:t>82.60</w:t>
            </w:r>
          </w:p>
        </w:tc>
        <w:tc>
          <w:tcPr>
            <w:tcW w:w="1134" w:type="dxa"/>
            <w:shd w:val="clear" w:color="auto" w:fill="auto"/>
            <w:vAlign w:val="center"/>
          </w:tcPr>
          <w:p w14:paraId="7324461F">
            <w:pPr>
              <w:spacing w:line="584" w:lineRule="exact"/>
              <w:jc w:val="right"/>
              <w:rPr>
                <w:rFonts w:ascii="仿宋_GB2312" w:eastAsia="仿宋_GB2312" w:cs="Times New Roman"/>
                <w:sz w:val="28"/>
                <w:szCs w:val="28"/>
              </w:rPr>
            </w:pPr>
          </w:p>
        </w:tc>
        <w:tc>
          <w:tcPr>
            <w:tcW w:w="1134" w:type="dxa"/>
            <w:shd w:val="clear" w:color="auto" w:fill="auto"/>
            <w:vAlign w:val="center"/>
          </w:tcPr>
          <w:p w14:paraId="194FC8EE">
            <w:pPr>
              <w:spacing w:line="584" w:lineRule="exact"/>
              <w:jc w:val="right"/>
              <w:rPr>
                <w:rFonts w:ascii="仿宋_GB2312" w:eastAsia="仿宋_GB2312" w:cs="Times New Roman"/>
                <w:sz w:val="28"/>
                <w:szCs w:val="28"/>
              </w:rPr>
            </w:pPr>
          </w:p>
        </w:tc>
        <w:tc>
          <w:tcPr>
            <w:tcW w:w="1134" w:type="dxa"/>
            <w:shd w:val="clear" w:color="auto" w:fill="auto"/>
            <w:vAlign w:val="center"/>
          </w:tcPr>
          <w:p w14:paraId="544B0CA1">
            <w:pPr>
              <w:spacing w:line="584" w:lineRule="exact"/>
              <w:jc w:val="right"/>
              <w:rPr>
                <w:rFonts w:ascii="仿宋_GB2312" w:eastAsia="仿宋_GB2312" w:cs="Times New Roman"/>
                <w:sz w:val="28"/>
                <w:szCs w:val="28"/>
              </w:rPr>
            </w:pPr>
          </w:p>
        </w:tc>
        <w:tc>
          <w:tcPr>
            <w:tcW w:w="1134" w:type="dxa"/>
            <w:shd w:val="clear" w:color="auto" w:fill="auto"/>
            <w:vAlign w:val="center"/>
          </w:tcPr>
          <w:p w14:paraId="31B92065">
            <w:pPr>
              <w:spacing w:line="584" w:lineRule="exact"/>
              <w:jc w:val="right"/>
              <w:rPr>
                <w:rFonts w:ascii="仿宋_GB2312" w:eastAsia="仿宋_GB2312" w:cs="Times New Roman"/>
                <w:sz w:val="32"/>
                <w:szCs w:val="32"/>
              </w:rPr>
            </w:pPr>
          </w:p>
        </w:tc>
      </w:tr>
    </w:tbl>
    <w:p w14:paraId="50C8B394">
      <w:pPr>
        <w:spacing w:line="584" w:lineRule="exact"/>
        <w:jc w:val="left"/>
        <w:outlineLvl w:val="0"/>
        <w:rPr>
          <w:rFonts w:ascii="Times New Roman" w:hAnsi="Times New Roman" w:eastAsia="仿宋_GB2312" w:cs="Times New Roman"/>
        </w:rPr>
        <w:sectPr>
          <w:footerReference r:id="rId4" w:type="default"/>
          <w:pgSz w:w="16839" w:h="11907" w:orient="landscape"/>
          <w:pgMar w:top="1361" w:right="1020" w:bottom="1361" w:left="1020" w:header="851" w:footer="992" w:gutter="0"/>
          <w:cols w:space="720" w:num="1"/>
          <w:docGrid w:type="lines" w:linePitch="312" w:charSpace="0"/>
        </w:sectPr>
      </w:pPr>
    </w:p>
    <w:p w14:paraId="76008AD6">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38C0672B">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rPr>
        <w:t>4810.46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总额为132.73万元，</w:t>
      </w:r>
      <w:r>
        <w:rPr>
          <w:rFonts w:ascii="Times New Roman" w:hAnsi="Times New Roman" w:eastAsia="仿宋_GB2312" w:cs="Times New Roman"/>
          <w:sz w:val="32"/>
          <w:szCs w:val="32"/>
        </w:rPr>
        <w:t>主要为计算机设备、打印设备、</w:t>
      </w:r>
      <w:r>
        <w:rPr>
          <w:rFonts w:hint="eastAsia" w:ascii="Times New Roman" w:hAnsi="Times New Roman" w:eastAsia="仿宋_GB2312" w:cs="Times New Roman"/>
          <w:sz w:val="32"/>
          <w:szCs w:val="32"/>
        </w:rPr>
        <w:t>监控设备</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厨房设备、办公家具等。</w:t>
      </w:r>
    </w:p>
    <w:p w14:paraId="7BDF40EB">
      <w:pPr>
        <w:spacing w:line="584"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6DB6083F">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2A73D869">
            <w:pPr>
              <w:widowControl/>
              <w:spacing w:line="584" w:lineRule="exact"/>
              <w:jc w:val="center"/>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廊坊市市直部门固定资产占用情况表</w:t>
            </w:r>
          </w:p>
        </w:tc>
      </w:tr>
      <w:tr w14:paraId="446EB6ED">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363F611A">
            <w:pPr>
              <w:widowControl/>
              <w:spacing w:line="584" w:lineRule="exact"/>
              <w:jc w:val="left"/>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编制部门：</w:t>
            </w:r>
            <w:r>
              <w:rPr>
                <w:rFonts w:hint="eastAsia" w:ascii="方正书宋_GBK" w:hAnsi="Times New Roman" w:eastAsia="方正书宋_GBK" w:cs="Times New Roman"/>
                <w:b/>
                <w:kern w:val="0"/>
                <w:sz w:val="28"/>
                <w:szCs w:val="28"/>
              </w:rPr>
              <w:t>中国共产党廊坊市纪律检查委员会</w:t>
            </w:r>
          </w:p>
        </w:tc>
        <w:tc>
          <w:tcPr>
            <w:tcW w:w="5103" w:type="dxa"/>
            <w:tcBorders>
              <w:top w:val="nil"/>
              <w:left w:val="nil"/>
              <w:bottom w:val="nil"/>
              <w:right w:val="nil"/>
            </w:tcBorders>
            <w:shd w:val="clear" w:color="auto" w:fill="auto"/>
            <w:noWrap/>
            <w:vAlign w:val="center"/>
          </w:tcPr>
          <w:p w14:paraId="2E4E475D">
            <w:pPr>
              <w:widowControl/>
              <w:spacing w:line="584" w:lineRule="exact"/>
              <w:jc w:val="left"/>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截止时间：20</w:t>
            </w:r>
            <w:r>
              <w:rPr>
                <w:rFonts w:hint="eastAsia" w:ascii="方正书宋_GBK" w:hAnsi="Times New Roman" w:eastAsia="方正书宋_GBK" w:cs="Times New Roman"/>
                <w:b/>
                <w:kern w:val="0"/>
                <w:sz w:val="28"/>
                <w:szCs w:val="28"/>
              </w:rPr>
              <w:t>20</w:t>
            </w:r>
            <w:r>
              <w:rPr>
                <w:rFonts w:ascii="方正书宋_GBK" w:hAnsi="Times New Roman" w:eastAsia="方正书宋_GBK" w:cs="Times New Roman"/>
                <w:b/>
                <w:kern w:val="0"/>
                <w:sz w:val="28"/>
                <w:szCs w:val="28"/>
              </w:rPr>
              <w:t xml:space="preserve">年12月31日  </w:t>
            </w:r>
          </w:p>
        </w:tc>
      </w:tr>
      <w:tr w14:paraId="5DA9DF8F">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C58E39">
            <w:pPr>
              <w:widowControl/>
              <w:spacing w:line="584" w:lineRule="exact"/>
              <w:jc w:val="center"/>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5E8A696">
            <w:pPr>
              <w:widowControl/>
              <w:spacing w:line="584" w:lineRule="exact"/>
              <w:jc w:val="center"/>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4D6B68A7">
            <w:pPr>
              <w:widowControl/>
              <w:spacing w:line="584" w:lineRule="exact"/>
              <w:jc w:val="center"/>
              <w:rPr>
                <w:rFonts w:ascii="方正书宋_GBK" w:hAnsi="Times New Roman" w:eastAsia="方正书宋_GBK" w:cs="Times New Roman"/>
                <w:b/>
                <w:kern w:val="0"/>
                <w:sz w:val="28"/>
                <w:szCs w:val="28"/>
              </w:rPr>
            </w:pPr>
            <w:r>
              <w:rPr>
                <w:rFonts w:ascii="方正书宋_GBK" w:hAnsi="Times New Roman" w:eastAsia="方正书宋_GBK" w:cs="Times New Roman"/>
                <w:b/>
                <w:kern w:val="0"/>
                <w:sz w:val="28"/>
                <w:szCs w:val="28"/>
              </w:rPr>
              <w:t>价值（金额单位：万元）</w:t>
            </w:r>
          </w:p>
        </w:tc>
      </w:tr>
      <w:tr w14:paraId="4445E3A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BC2A803">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4C3BDFBD">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w:t>
            </w:r>
          </w:p>
        </w:tc>
        <w:tc>
          <w:tcPr>
            <w:tcW w:w="5103" w:type="dxa"/>
            <w:tcBorders>
              <w:top w:val="nil"/>
              <w:left w:val="nil"/>
              <w:bottom w:val="single" w:color="auto" w:sz="4" w:space="0"/>
              <w:right w:val="single" w:color="auto" w:sz="4" w:space="0"/>
            </w:tcBorders>
            <w:shd w:val="clear" w:color="auto" w:fill="auto"/>
            <w:noWrap/>
            <w:vAlign w:val="center"/>
          </w:tcPr>
          <w:p w14:paraId="579A2976">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4810.46</w:t>
            </w:r>
          </w:p>
        </w:tc>
      </w:tr>
      <w:tr w14:paraId="23EB39C7">
        <w:tblPrEx>
          <w:tblCellMar>
            <w:top w:w="0" w:type="dxa"/>
            <w:left w:w="108" w:type="dxa"/>
            <w:bottom w:w="0" w:type="dxa"/>
            <w:right w:w="108" w:type="dxa"/>
          </w:tblCellMar>
        </w:tblPrEx>
        <w:trPr>
          <w:trHeight w:val="614"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C29037D">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186A2FD9">
            <w:pPr>
              <w:spacing w:line="584" w:lineRule="exact"/>
              <w:jc w:val="center"/>
              <w:rPr>
                <w:rFonts w:ascii="仿宋_GB2312" w:hAnsi="Times New Roman" w:eastAsia="仿宋_GB2312" w:cs="Times New Roman"/>
                <w:kern w:val="0"/>
                <w:sz w:val="32"/>
                <w:szCs w:val="32"/>
              </w:rPr>
            </w:pPr>
          </w:p>
        </w:tc>
        <w:tc>
          <w:tcPr>
            <w:tcW w:w="5103" w:type="dxa"/>
            <w:tcBorders>
              <w:top w:val="nil"/>
              <w:left w:val="nil"/>
              <w:bottom w:val="single" w:color="auto" w:sz="4" w:space="0"/>
              <w:right w:val="single" w:color="auto" w:sz="4" w:space="0"/>
            </w:tcBorders>
            <w:shd w:val="clear" w:color="auto" w:fill="auto"/>
            <w:noWrap/>
            <w:vAlign w:val="center"/>
          </w:tcPr>
          <w:p w14:paraId="38B967F9">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0</w:t>
            </w:r>
          </w:p>
        </w:tc>
      </w:tr>
      <w:tr w14:paraId="76FDF5A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004D5DB">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33815F99">
            <w:pPr>
              <w:spacing w:line="584" w:lineRule="exact"/>
              <w:jc w:val="center"/>
              <w:rPr>
                <w:rFonts w:ascii="仿宋_GB2312" w:hAnsi="Times New Roman" w:eastAsia="仿宋_GB2312" w:cs="Times New Roman"/>
                <w:kern w:val="0"/>
                <w:sz w:val="32"/>
                <w:szCs w:val="32"/>
              </w:rPr>
            </w:pPr>
          </w:p>
        </w:tc>
        <w:tc>
          <w:tcPr>
            <w:tcW w:w="5103" w:type="dxa"/>
            <w:tcBorders>
              <w:top w:val="nil"/>
              <w:left w:val="nil"/>
              <w:bottom w:val="single" w:color="auto" w:sz="4" w:space="0"/>
              <w:right w:val="single" w:color="auto" w:sz="4" w:space="0"/>
            </w:tcBorders>
            <w:shd w:val="clear" w:color="auto" w:fill="auto"/>
            <w:noWrap/>
            <w:vAlign w:val="center"/>
          </w:tcPr>
          <w:p w14:paraId="111D824E">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0</w:t>
            </w:r>
          </w:p>
        </w:tc>
      </w:tr>
      <w:tr w14:paraId="5A83512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02194DC">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510930F4">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30</w:t>
            </w:r>
          </w:p>
        </w:tc>
        <w:tc>
          <w:tcPr>
            <w:tcW w:w="5103" w:type="dxa"/>
            <w:tcBorders>
              <w:top w:val="nil"/>
              <w:left w:val="nil"/>
              <w:bottom w:val="single" w:color="auto" w:sz="4" w:space="0"/>
              <w:right w:val="single" w:color="auto" w:sz="4" w:space="0"/>
            </w:tcBorders>
            <w:shd w:val="clear" w:color="auto" w:fill="auto"/>
            <w:noWrap/>
            <w:vAlign w:val="center"/>
          </w:tcPr>
          <w:p w14:paraId="60C92A35">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493.50</w:t>
            </w:r>
          </w:p>
        </w:tc>
      </w:tr>
      <w:tr w14:paraId="4E7D179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2DC7F0AF">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3DEE2BE6">
            <w:pPr>
              <w:spacing w:line="584" w:lineRule="exact"/>
              <w:jc w:val="center"/>
              <w:rPr>
                <w:rFonts w:ascii="仿宋_GB2312" w:hAnsi="Times New Roman" w:eastAsia="仿宋_GB2312" w:cs="Times New Roman"/>
                <w:kern w:val="0"/>
                <w:sz w:val="32"/>
                <w:szCs w:val="32"/>
              </w:rPr>
            </w:pPr>
          </w:p>
        </w:tc>
        <w:tc>
          <w:tcPr>
            <w:tcW w:w="5103" w:type="dxa"/>
            <w:tcBorders>
              <w:top w:val="nil"/>
              <w:left w:val="nil"/>
              <w:bottom w:val="single" w:color="auto" w:sz="4" w:space="0"/>
              <w:right w:val="single" w:color="auto" w:sz="4" w:space="0"/>
            </w:tcBorders>
            <w:shd w:val="clear" w:color="auto" w:fill="auto"/>
            <w:noWrap/>
            <w:vAlign w:val="center"/>
          </w:tcPr>
          <w:p w14:paraId="6920FAD4">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1448.93</w:t>
            </w:r>
          </w:p>
        </w:tc>
      </w:tr>
      <w:tr w14:paraId="5E05565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15BD47E">
            <w:pPr>
              <w:widowControl/>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6F70837A">
            <w:pPr>
              <w:spacing w:line="584" w:lineRule="exact"/>
              <w:jc w:val="center"/>
              <w:rPr>
                <w:rFonts w:ascii="仿宋_GB2312" w:hAnsi="Times New Roman" w:eastAsia="仿宋_GB2312" w:cs="Times New Roman"/>
                <w:kern w:val="0"/>
                <w:sz w:val="32"/>
                <w:szCs w:val="32"/>
              </w:rPr>
            </w:pPr>
          </w:p>
        </w:tc>
        <w:tc>
          <w:tcPr>
            <w:tcW w:w="5103" w:type="dxa"/>
            <w:tcBorders>
              <w:top w:val="nil"/>
              <w:left w:val="nil"/>
              <w:bottom w:val="single" w:color="auto" w:sz="4" w:space="0"/>
              <w:right w:val="single" w:color="auto" w:sz="4" w:space="0"/>
            </w:tcBorders>
            <w:shd w:val="clear" w:color="auto" w:fill="auto"/>
            <w:noWrap/>
            <w:vAlign w:val="center"/>
          </w:tcPr>
          <w:p w14:paraId="7F56A453">
            <w:pPr>
              <w:spacing w:line="584" w:lineRule="exact"/>
              <w:jc w:val="center"/>
              <w:rPr>
                <w:rFonts w:ascii="仿宋_GB2312" w:hAnsi="Times New Roman" w:eastAsia="仿宋_GB2312" w:cs="Times New Roman"/>
                <w:kern w:val="0"/>
                <w:sz w:val="32"/>
                <w:szCs w:val="32"/>
              </w:rPr>
            </w:pPr>
            <w:r>
              <w:rPr>
                <w:rFonts w:hint="eastAsia" w:ascii="仿宋_GB2312" w:hAnsi="Times New Roman" w:eastAsia="仿宋_GB2312" w:cs="Times New Roman"/>
                <w:kern w:val="0"/>
                <w:sz w:val="32"/>
                <w:szCs w:val="32"/>
              </w:rPr>
              <w:t>2868.03</w:t>
            </w:r>
          </w:p>
        </w:tc>
      </w:tr>
    </w:tbl>
    <w:p w14:paraId="42E34271">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6261661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2C239D7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33747F40">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2A5220A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295939F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586DF67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67CB54A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9A270E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00D4D9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348DAA1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0CBCA7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0C29E114">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859EB">
    <w:pPr>
      <w:pStyle w:val="3"/>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14:paraId="6B96BC57">
    <w:pPr>
      <w:pStyle w:val="3"/>
      <w:ind w:right="360" w:firstLine="199" w:firstLineChars="1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8B88E">
    <w:pPr>
      <w:pStyle w:val="3"/>
      <w:jc w:val="center"/>
    </w:pPr>
    <w:r>
      <w:rPr>
        <w:rFonts w:hint="eastAsia"/>
      </w:rPr>
      <w:t>-</w:t>
    </w:r>
    <w:r>
      <w:fldChar w:fldCharType="begin"/>
    </w:r>
    <w:r>
      <w:instrText xml:space="preserve">PAGE   \* MERGEFORMAT</w:instrText>
    </w:r>
    <w:r>
      <w:fldChar w:fldCharType="separate"/>
    </w:r>
    <w:r>
      <w:rPr>
        <w:lang w:val="zh-CN"/>
      </w:rPr>
      <w:t>36</w:t>
    </w:r>
    <w:r>
      <w:rPr>
        <w:lang w:val="zh-CN"/>
      </w:rPr>
      <w:fldChar w:fldCharType="end"/>
    </w:r>
    <w:r>
      <w:rPr>
        <w:rFonts w:hint="eastAsia"/>
      </w:rPr>
      <w:t>-</w:t>
    </w:r>
  </w:p>
  <w:p w14:paraId="3660597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8524E"/>
    <w:multiLevelType w:val="multilevel"/>
    <w:tmpl w:val="6BB8524E"/>
    <w:lvl w:ilvl="0" w:tentative="0">
      <w:start w:val="1"/>
      <w:numFmt w:val="decimal"/>
      <w:lvlText w:val="%1."/>
      <w:lvlJc w:val="left"/>
      <w:pPr>
        <w:ind w:left="1105" w:hanging="465"/>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347CC"/>
    <w:rsid w:val="0000735F"/>
    <w:rsid w:val="00007B15"/>
    <w:rsid w:val="0003039F"/>
    <w:rsid w:val="0004732A"/>
    <w:rsid w:val="000603BB"/>
    <w:rsid w:val="001B69F8"/>
    <w:rsid w:val="001B7FD7"/>
    <w:rsid w:val="001F52D0"/>
    <w:rsid w:val="00223B29"/>
    <w:rsid w:val="00235FDD"/>
    <w:rsid w:val="0028266D"/>
    <w:rsid w:val="00286DD6"/>
    <w:rsid w:val="002A0279"/>
    <w:rsid w:val="002A68F7"/>
    <w:rsid w:val="002F42ED"/>
    <w:rsid w:val="003159D1"/>
    <w:rsid w:val="003A2DAD"/>
    <w:rsid w:val="003F0077"/>
    <w:rsid w:val="00401984"/>
    <w:rsid w:val="00442ECB"/>
    <w:rsid w:val="004839EF"/>
    <w:rsid w:val="004A54AA"/>
    <w:rsid w:val="004B6EE8"/>
    <w:rsid w:val="00632AA8"/>
    <w:rsid w:val="0071705F"/>
    <w:rsid w:val="007432E2"/>
    <w:rsid w:val="007B52C4"/>
    <w:rsid w:val="007F4A34"/>
    <w:rsid w:val="008962D8"/>
    <w:rsid w:val="00940B4D"/>
    <w:rsid w:val="009724AF"/>
    <w:rsid w:val="009A3E3A"/>
    <w:rsid w:val="00A70AB9"/>
    <w:rsid w:val="00A871FE"/>
    <w:rsid w:val="00AB3907"/>
    <w:rsid w:val="00B23E5A"/>
    <w:rsid w:val="00B47027"/>
    <w:rsid w:val="00B80935"/>
    <w:rsid w:val="00BC4DDD"/>
    <w:rsid w:val="00C00DB3"/>
    <w:rsid w:val="00C642D3"/>
    <w:rsid w:val="00CB3752"/>
    <w:rsid w:val="00CE282B"/>
    <w:rsid w:val="00D0788A"/>
    <w:rsid w:val="00D347CC"/>
    <w:rsid w:val="00DB0132"/>
    <w:rsid w:val="00DE394F"/>
    <w:rsid w:val="00DF6527"/>
    <w:rsid w:val="00EB3D57"/>
    <w:rsid w:val="00EC7AC8"/>
    <w:rsid w:val="00ED0E99"/>
    <w:rsid w:val="00ED497D"/>
    <w:rsid w:val="00EF776A"/>
    <w:rsid w:val="00F226AE"/>
    <w:rsid w:val="00FE25D2"/>
    <w:rsid w:val="0A316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link w:val="13"/>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autoRedefine/>
    <w:uiPriority w:val="0"/>
    <w:rPr>
      <w:rFonts w:ascii="Times New Roman" w:hAnsi="Times New Roman" w:cs="Times New Roman"/>
      <w:szCs w:val="24"/>
    </w:rPr>
  </w:style>
  <w:style w:type="paragraph" w:styleId="6">
    <w:name w:val="footnote text"/>
    <w:basedOn w:val="1"/>
    <w:uiPriority w:val="0"/>
    <w:pPr>
      <w:snapToGrid w:val="0"/>
      <w:jc w:val="left"/>
    </w:pPr>
    <w:rPr>
      <w:rFonts w:cs="Times New Roman"/>
      <w:sz w:val="18"/>
      <w:szCs w:val="18"/>
    </w:rPr>
  </w:style>
  <w:style w:type="paragraph" w:styleId="7">
    <w:name w:val="toc 2"/>
    <w:basedOn w:val="1"/>
    <w:next w:val="1"/>
    <w:autoRedefine/>
    <w:uiPriority w:val="0"/>
    <w:pPr>
      <w:ind w:left="200" w:leftChars="200"/>
    </w:pPr>
    <w:rPr>
      <w:rFonts w:ascii="Times New Roman" w:hAnsi="Times New Roman" w:cs="Times New Roman"/>
      <w:szCs w:val="24"/>
    </w:rPr>
  </w:style>
  <w:style w:type="character" w:styleId="10">
    <w:name w:val="page number"/>
    <w:basedOn w:val="9"/>
    <w:semiHidden/>
    <w:unhideWhenUsed/>
    <w:qFormat/>
    <w:uiPriority w:val="99"/>
  </w:style>
  <w:style w:type="character" w:styleId="11">
    <w:name w:val="footnote reference"/>
    <w:uiPriority w:val="0"/>
    <w:rPr>
      <w:vertAlign w:val="superscript"/>
    </w:rPr>
  </w:style>
  <w:style w:type="paragraph" w:customStyle="1" w:styleId="12">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
    <w:name w:val="页脚 Char"/>
    <w:link w:val="3"/>
    <w:qFormat/>
    <w:uiPriority w:val="99"/>
    <w:rPr>
      <w:kern w:val="2"/>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F2A2A-B5E9-412F-A9C6-473E555ADA1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5588</Words>
  <Characters>5850</Characters>
  <Lines>78</Lines>
  <Paragraphs>22</Paragraphs>
  <TotalTime>9083</TotalTime>
  <ScaleCrop>false</ScaleCrop>
  <LinksUpToDate>false</LinksUpToDate>
  <CharactersWithSpaces>5865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BianL</cp:lastModifiedBy>
  <cp:lastPrinted>2018-01-30T06:12:00Z</cp:lastPrinted>
  <dcterms:modified xsi:type="dcterms:W3CDTF">2021-03-04T09:52:46Z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6BA655F33B194D249F00D96F3E39E634_12</vt:lpwstr>
  </property>
</Properties>
</file>