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B5BC">
      <w:pPr>
        <w:spacing w:line="584" w:lineRule="exact"/>
        <w:rPr>
          <w:rFonts w:ascii="Times New Roman" w:hAnsi="Times New Roman" w:eastAsia="仿宋_GB2312" w:cs="Times New Roman"/>
          <w:sz w:val="44"/>
          <w:szCs w:val="44"/>
        </w:rPr>
      </w:pPr>
      <w:r>
        <w:rPr>
          <w:rFonts w:hint="eastAsia" w:ascii="Times New Roman" w:hAnsi="Times New Roman" w:eastAsia="仿宋_GB2312" w:cs="Times New Roman"/>
          <w:sz w:val="44"/>
          <w:szCs w:val="44"/>
        </w:rPr>
        <w:t xml:space="preserve">    </w:t>
      </w:r>
    </w:p>
    <w:p w14:paraId="7FD30607">
      <w:pPr>
        <w:spacing w:line="584" w:lineRule="exact"/>
        <w:ind w:firstLine="880" w:firstLineChars="200"/>
        <w:rPr>
          <w:rFonts w:ascii="Times New Roman" w:hAnsi="Times New Roman" w:eastAsia="仿宋_GB2312" w:cs="Times New Roman"/>
          <w:sz w:val="44"/>
          <w:szCs w:val="44"/>
        </w:rPr>
      </w:pPr>
    </w:p>
    <w:p w14:paraId="46BA372E">
      <w:pPr>
        <w:spacing w:line="520"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廊坊市纪委旧州管理中心</w:t>
      </w:r>
    </w:p>
    <w:p w14:paraId="3B85909F">
      <w:pPr>
        <w:spacing w:line="520"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2021年单位预算信息公开情况说明</w:t>
      </w:r>
    </w:p>
    <w:p w14:paraId="17C7D8DB">
      <w:pPr>
        <w:spacing w:line="520"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 xml:space="preserve">   </w:t>
      </w:r>
    </w:p>
    <w:p w14:paraId="31295F02">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按照《中华人民共和国预算法》、《中华人民共和国预算法实施条例》、《地方预决算公开操作规程》和《河北省省级预算公开办法》规定，现将廊坊市纪委旧州管理中心2021年部门预算公开如下：</w:t>
      </w:r>
    </w:p>
    <w:p w14:paraId="792F0B4E">
      <w:pPr>
        <w:spacing w:line="52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一、部门职责及机构设置情况</w:t>
      </w:r>
    </w:p>
    <w:p w14:paraId="765D26AC">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02C9337D">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廊坊市纪委旧州管理中心根据纪检监察工作的需要，为全市纪检监察干部培训提供服务和保障工作；为全市纪检监察案件查办提供服务保障工作；为中、省纪委重大案件查办提供服务保障工作；负责全市党风廉政建设、反腐败工作的宣传教育和反腐倡廉工作成果的展示。</w:t>
      </w:r>
    </w:p>
    <w:p w14:paraId="2DE7F096">
      <w:pPr>
        <w:autoSpaceDE w:val="0"/>
        <w:autoSpaceDN w:val="0"/>
        <w:adjustRightInd w:val="0"/>
        <w:spacing w:line="584" w:lineRule="exact"/>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05022D17">
      <w:pPr>
        <w:spacing w:line="584" w:lineRule="exact"/>
        <w:jc w:val="center"/>
        <w:outlineLvl w:val="0"/>
        <w:rPr>
          <w:rFonts w:ascii="Times New Roman" w:hAnsi="Times New Roman" w:eastAsia="仿宋_GB2312" w:cs="Times New Roman"/>
          <w:b/>
          <w:sz w:val="32"/>
          <w:szCs w:val="24"/>
        </w:rPr>
      </w:pPr>
      <w:r>
        <w:rPr>
          <w:rFonts w:hint="eastAsia" w:ascii="Times New Roman" w:hAnsi="Times New Roman" w:eastAsia="仿宋_GB2312" w:cs="Times New Roman"/>
          <w:b/>
          <w:sz w:val="32"/>
          <w:szCs w:val="24"/>
        </w:rPr>
        <w:t>单位</w:t>
      </w:r>
      <w:r>
        <w:rPr>
          <w:rFonts w:ascii="Times New Roman" w:hAnsi="Times New Roman" w:eastAsia="仿宋_GB2312" w:cs="Times New Roman"/>
          <w:b/>
          <w:sz w:val="32"/>
          <w:szCs w:val="24"/>
        </w:rPr>
        <w:t>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16E224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vAlign w:val="center"/>
          </w:tcPr>
          <w:p w14:paraId="07BA9DC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vAlign w:val="center"/>
          </w:tcPr>
          <w:p w14:paraId="53D5CDD9">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vAlign w:val="center"/>
          </w:tcPr>
          <w:p w14:paraId="35AE87F3">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vAlign w:val="center"/>
          </w:tcPr>
          <w:p w14:paraId="7270941B">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564824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2" w:hRule="atLeast"/>
          <w:tblHeader/>
          <w:jc w:val="center"/>
        </w:trPr>
        <w:tc>
          <w:tcPr>
            <w:tcW w:w="4443" w:type="dxa"/>
            <w:vMerge w:val="continue"/>
            <w:vAlign w:val="center"/>
          </w:tcPr>
          <w:p w14:paraId="20A2DEED"/>
        </w:tc>
        <w:tc>
          <w:tcPr>
            <w:tcW w:w="1134" w:type="dxa"/>
            <w:vMerge w:val="continue"/>
            <w:vAlign w:val="center"/>
          </w:tcPr>
          <w:p w14:paraId="19592292"/>
        </w:tc>
        <w:tc>
          <w:tcPr>
            <w:tcW w:w="1276" w:type="dxa"/>
            <w:vMerge w:val="continue"/>
            <w:vAlign w:val="center"/>
          </w:tcPr>
          <w:p w14:paraId="0AE75B1F"/>
        </w:tc>
        <w:tc>
          <w:tcPr>
            <w:tcW w:w="2902" w:type="dxa"/>
            <w:vMerge w:val="continue"/>
            <w:vAlign w:val="center"/>
          </w:tcPr>
          <w:p w14:paraId="50C65DF9"/>
        </w:tc>
      </w:tr>
      <w:tr w14:paraId="134A14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65520131">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廊坊市纪委旧州管理中心</w:t>
            </w:r>
          </w:p>
        </w:tc>
        <w:tc>
          <w:tcPr>
            <w:tcW w:w="1134" w:type="dxa"/>
            <w:vAlign w:val="center"/>
          </w:tcPr>
          <w:p w14:paraId="1AFE65FB">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事业单位</w:t>
            </w:r>
          </w:p>
        </w:tc>
        <w:tc>
          <w:tcPr>
            <w:tcW w:w="1276" w:type="dxa"/>
            <w:vAlign w:val="center"/>
          </w:tcPr>
          <w:p w14:paraId="5F009841">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正科级</w:t>
            </w:r>
          </w:p>
        </w:tc>
        <w:tc>
          <w:tcPr>
            <w:tcW w:w="2902" w:type="dxa"/>
            <w:vAlign w:val="center"/>
          </w:tcPr>
          <w:p w14:paraId="69148D2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财政性资金基本保证</w:t>
            </w:r>
          </w:p>
        </w:tc>
      </w:tr>
    </w:tbl>
    <w:p w14:paraId="25424171">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4E2A109C">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按照预算管理有关规定，目前我市部门预算的编制实行综合预算制度，即全部收入和支出都反映在预算中。廊坊市纪委旧州管理中心的收支包含在部门预算中。</w:t>
      </w:r>
    </w:p>
    <w:p w14:paraId="6C526EA8">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3E31F20F">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反映廊坊市纪委旧州管理中心当年全部收入。2021年预算收入2244.81万元，其中：一般公共预算收入2244.81万元，基金预算收入0万元，财政专户核拨收入0万元，其他来源收入0万元，上年结转45.089532万元。</w:t>
      </w:r>
    </w:p>
    <w:p w14:paraId="6869E782">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08612D91">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收支预算总表支出栏、基本支出表、项目支出表按经济分类和支出功能分类科目编制，反映廊坊市纪委旧州管理中心年度部门预算中支出预算的总体情况。2021年支出预算</w:t>
      </w:r>
      <w:r>
        <w:rPr>
          <w:rFonts w:ascii="Times New Roman" w:hAnsi="Times New Roman" w:eastAsia="仿宋_GB2312" w:cs="Times New Roman"/>
          <w:sz w:val="32"/>
          <w:szCs w:val="32"/>
        </w:rPr>
        <w:t>2289.899532</w:t>
      </w:r>
      <w:r>
        <w:rPr>
          <w:rFonts w:hint="eastAsia" w:ascii="Times New Roman" w:hAnsi="Times New Roman" w:eastAsia="仿宋_GB2312" w:cs="Times New Roman"/>
          <w:sz w:val="32"/>
          <w:szCs w:val="32"/>
        </w:rPr>
        <w:t>万元，其中基本支出0万元，包括人员类项目经费0万元和运转类公用项目经费0万元；运转类其他及特定目标类项目支出</w:t>
      </w:r>
      <w:r>
        <w:rPr>
          <w:rFonts w:ascii="Times New Roman" w:hAnsi="Times New Roman" w:eastAsia="仿宋_GB2312" w:cs="Times New Roman"/>
          <w:sz w:val="32"/>
          <w:szCs w:val="32"/>
        </w:rPr>
        <w:t>2289.899532</w:t>
      </w:r>
      <w:r>
        <w:rPr>
          <w:rFonts w:hint="eastAsia" w:ascii="Times New Roman" w:hAnsi="Times New Roman" w:eastAsia="仿宋_GB2312" w:cs="Times New Roman"/>
          <w:sz w:val="32"/>
          <w:szCs w:val="32"/>
        </w:rPr>
        <w:t>万元，主要为办案综合保障经费、基地运行经费等支出。</w:t>
      </w:r>
    </w:p>
    <w:p w14:paraId="018BD480">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027E31E0">
      <w:pPr>
        <w:autoSpaceDE w:val="0"/>
        <w:autoSpaceDN w:val="0"/>
        <w:adjustRightInd w:val="0"/>
        <w:spacing w:line="584"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2021年预算收支安排2244.81万元，较2020年预算减少746.85万元，其中：基本支出无；项目支出减少746.85万元，主要为武警餐厅改造、武警智慧磐石项目、院区道路维修改造等项目支出。</w:t>
      </w:r>
    </w:p>
    <w:p w14:paraId="782BFF9A">
      <w:pPr>
        <w:autoSpaceDE w:val="0"/>
        <w:autoSpaceDN w:val="0"/>
        <w:adjustRightInd w:val="0"/>
        <w:spacing w:line="584" w:lineRule="exact"/>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5FCD0802">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rPr>
        <w:t>1年，廊坊市纪委旧州管理中心机关运行经费共计安排703.1万元，主要用于旧州中心的水电费、日常维修及取暖费等日常运行支出。</w:t>
      </w:r>
    </w:p>
    <w:p w14:paraId="3E11FE67">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686D5B9D">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廊坊市纪委旧州管理中心财政拨款“三公”经费预算安排12万元。其中，因公出国（境）费0万元；公务用车购置及运维费12万元（其中：公务用车购置费为0万元，公务用车运维费12万元)；公务接待费0万元。与2020年相比持平，无增减变化。</w:t>
      </w:r>
    </w:p>
    <w:p w14:paraId="0CCC2B2E">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14:paraId="109C3B5B">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4B401CEE">
      <w:pPr>
        <w:spacing w:line="584" w:lineRule="exact"/>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49A54395">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根据省纪委和市委、市政府要求部署，按照廊坊市纪委监委2021年总体发展规划目标，廊坊市纪委旧州管理中心的主要工作目标是，加强中心办案保障工作，保障能力提质提效，安全保障能力进一步加强。加强廊坊市纪委旧州管理中心办案楼等基础设施维护修缮，完善专案组进驻对接、应急处置等制度措施，构建立体化安防体系，服务办案水平不断提升。</w:t>
      </w:r>
    </w:p>
    <w:p w14:paraId="43FFBC1F">
      <w:pPr>
        <w:spacing w:line="520" w:lineRule="exact"/>
        <w:rPr>
          <w:rFonts w:ascii="Times New Roman" w:hAnsi="Times New Roman" w:eastAsia="仿宋_GB2312" w:cs="Times New Roman"/>
          <w:sz w:val="32"/>
          <w:szCs w:val="32"/>
        </w:rPr>
      </w:pPr>
      <w:r>
        <w:rPr>
          <w:rFonts w:hint="eastAsia" w:ascii="楷体_GB2312" w:eastAsia="楷体_GB2312" w:cs="Times New Roman"/>
          <w:b/>
          <w:sz w:val="32"/>
          <w:szCs w:val="32"/>
        </w:rPr>
        <w:t>（二）分项绩效目标</w:t>
      </w:r>
    </w:p>
    <w:p w14:paraId="32980F42">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1、基地运行经费</w:t>
      </w:r>
    </w:p>
    <w:p w14:paraId="013443F5">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：通过项目的开展实现充分保障中心设备设施正常运转，保障中央、省、市县纪委留置办案工作顺利完成。</w:t>
      </w:r>
    </w:p>
    <w:p w14:paraId="73F1F10A">
      <w:pPr>
        <w:spacing w:line="520" w:lineRule="exact"/>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 xml:space="preserve">    绩效指标：</w:t>
      </w:r>
      <w:r>
        <w:rPr>
          <w:rFonts w:hint="eastAsia" w:ascii="Times New Roman" w:hAnsi="Times New Roman" w:eastAsia="仿宋_GB2312" w:cs="Times New Roman"/>
          <w:sz w:val="32"/>
          <w:szCs w:val="32"/>
        </w:rPr>
        <w:t>日常运转保障2.4万平米建筑面积，维修保养达到合格标准，能够充分满足进驻专案工作要求。</w:t>
      </w:r>
    </w:p>
    <w:p w14:paraId="3092A67A">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2、基地业务经费</w:t>
      </w:r>
    </w:p>
    <w:p w14:paraId="324A6BC2">
      <w:pPr>
        <w:spacing w:line="520" w:lineRule="exact"/>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：通过项目的开展实现充分保障中心设备设施正常运转，保障中省市纪委留置办案工作顺利完成。</w:t>
      </w:r>
    </w:p>
    <w:p w14:paraId="57C222E4">
      <w:pPr>
        <w:spacing w:line="520" w:lineRule="exact"/>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 xml:space="preserve">    绩效指标：</w:t>
      </w:r>
      <w:r>
        <w:rPr>
          <w:rFonts w:hint="eastAsia" w:ascii="Times New Roman" w:hAnsi="Times New Roman" w:eastAsia="仿宋_GB2312" w:cs="Times New Roman"/>
          <w:sz w:val="32"/>
          <w:szCs w:val="32"/>
        </w:rPr>
        <w:t>日常运转保障2.4万平米建筑面积，维修保养达到合格标准，能够充分满足进驻专案工作要求。</w:t>
      </w:r>
    </w:p>
    <w:p w14:paraId="6D966140">
      <w:pPr>
        <w:spacing w:line="584" w:lineRule="exact"/>
        <w:rPr>
          <w:rFonts w:ascii="楷体_GB2312" w:eastAsia="楷体_GB2312" w:cs="Times New Roman"/>
          <w:b/>
          <w:sz w:val="32"/>
          <w:szCs w:val="32"/>
        </w:rPr>
      </w:pPr>
      <w:r>
        <w:rPr>
          <w:rFonts w:hint="eastAsia" w:ascii="楷体_GB2312" w:eastAsia="楷体_GB2312" w:cs="Times New Roman"/>
          <w:b/>
          <w:sz w:val="32"/>
          <w:szCs w:val="32"/>
        </w:rPr>
        <w:t xml:space="preserve">    3、办案综合保障经费</w:t>
      </w:r>
    </w:p>
    <w:p w14:paraId="0741FD75">
      <w:pPr>
        <w:spacing w:line="584" w:lineRule="exact"/>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 绩效目标：</w:t>
      </w:r>
      <w:r>
        <w:rPr>
          <w:rFonts w:hint="eastAsia" w:ascii="Times New Roman" w:hAnsi="Times New Roman" w:eastAsia="仿宋_GB2312" w:cs="Times New Roman"/>
          <w:sz w:val="32"/>
          <w:szCs w:val="32"/>
        </w:rPr>
        <w:t>通过项目的开展实现餐厅产品口味优良、卫生可靠、营养丰富，人员政治可靠、技能过硬，保障中央、省、市纪委留置办案工作顺利完成。</w:t>
      </w:r>
    </w:p>
    <w:p w14:paraId="3A5866E1">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绩效指标</w:t>
      </w:r>
      <w:r>
        <w:rPr>
          <w:rFonts w:hint="eastAsia" w:ascii="Times New Roman" w:hAnsi="Times New Roman" w:eastAsia="仿宋_GB2312" w:cs="Times New Roman"/>
          <w:sz w:val="32"/>
          <w:szCs w:val="32"/>
        </w:rPr>
        <w:t>：聘用工作人员数量超过120人，保证队伍整体稳定、人员流失率低于30%，执行任务履职尽责，驻廊坊市纪委旧州管理中心人员对服务保障工作基本满意。</w:t>
      </w:r>
    </w:p>
    <w:p w14:paraId="77832FA8">
      <w:pPr>
        <w:spacing w:line="584" w:lineRule="exact"/>
        <w:rPr>
          <w:rFonts w:ascii="楷体_GB2312" w:eastAsia="楷体_GB2312" w:cs="Times New Roman"/>
          <w:b/>
          <w:sz w:val="32"/>
          <w:szCs w:val="32"/>
        </w:rPr>
      </w:pPr>
      <w:r>
        <w:rPr>
          <w:rFonts w:hint="eastAsia" w:ascii="楷体_GB2312" w:eastAsia="楷体_GB2312" w:cs="Times New Roman"/>
          <w:b/>
          <w:sz w:val="32"/>
          <w:szCs w:val="32"/>
        </w:rPr>
        <w:t xml:space="preserve">    4、设备购置经费</w:t>
      </w:r>
    </w:p>
    <w:p w14:paraId="27FED993">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通过本项目实施满足院区监控设备正常运行，亮化灯设施安全，满足需求。</w:t>
      </w:r>
    </w:p>
    <w:p w14:paraId="39EFA9AF">
      <w:pPr>
        <w:spacing w:line="584" w:lineRule="exact"/>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 xml:space="preserve">    绩效指标：</w:t>
      </w:r>
      <w:r>
        <w:rPr>
          <w:rFonts w:hint="eastAsia" w:ascii="Times New Roman" w:hAnsi="Times New Roman" w:eastAsia="仿宋_GB2312" w:cs="Times New Roman"/>
          <w:sz w:val="32"/>
          <w:szCs w:val="32"/>
        </w:rPr>
        <w:t>预计2021年拟采购设备数量689台，设备验收100%合格，通过项目实施为留置工作提供保障。</w:t>
      </w:r>
    </w:p>
    <w:p w14:paraId="44EFCAF6">
      <w:pPr>
        <w:spacing w:line="584" w:lineRule="exact"/>
        <w:rPr>
          <w:rFonts w:ascii="楷体_GB2312" w:eastAsia="楷体_GB2312" w:cs="Times New Roman"/>
          <w:b/>
          <w:sz w:val="32"/>
          <w:szCs w:val="32"/>
        </w:rPr>
      </w:pPr>
      <w:r>
        <w:rPr>
          <w:rFonts w:hint="eastAsia" w:ascii="楷体_GB2312" w:eastAsia="楷体_GB2312" w:cs="Times New Roman"/>
          <w:b/>
          <w:sz w:val="32"/>
          <w:szCs w:val="32"/>
        </w:rPr>
        <w:t xml:space="preserve">    5、特殊通道土地租赁经费</w:t>
      </w:r>
    </w:p>
    <w:p w14:paraId="25312F8F">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：通过本项目实施保障特殊通道顺畅，满足办案安全需求。</w:t>
      </w:r>
    </w:p>
    <w:p w14:paraId="1B8505D9">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绩效指标</w:t>
      </w:r>
      <w:r>
        <w:rPr>
          <w:rFonts w:hint="eastAsia" w:ascii="Times New Roman" w:hAnsi="Times New Roman" w:eastAsia="仿宋_GB2312" w:cs="Times New Roman"/>
          <w:sz w:val="32"/>
          <w:szCs w:val="32"/>
        </w:rPr>
        <w:t>：有效保障特殊通道使用，占地数不低于1.25亩，避免因占地事项产生信访维稳事件，通过项目实施为留置工作特殊通道安全提供保障。</w:t>
      </w:r>
    </w:p>
    <w:p w14:paraId="0A569E74">
      <w:pPr>
        <w:spacing w:line="584" w:lineRule="exact"/>
        <w:rPr>
          <w:rFonts w:ascii="楷体_GB2312" w:eastAsia="楷体_GB2312" w:cs="Times New Roman"/>
          <w:b/>
          <w:sz w:val="32"/>
          <w:szCs w:val="32"/>
        </w:rPr>
      </w:pPr>
      <w:r>
        <w:rPr>
          <w:rFonts w:hint="eastAsia" w:ascii="楷体_GB2312" w:eastAsia="楷体_GB2312" w:cs="Times New Roman"/>
          <w:b/>
          <w:sz w:val="32"/>
          <w:szCs w:val="32"/>
        </w:rPr>
        <w:t xml:space="preserve">    6、中心维修改造经费</w:t>
      </w:r>
    </w:p>
    <w:p w14:paraId="5F743859">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：通过项目的开展实现充分保障中心设备设施正常运转，保障中省市纪委留置办案工作顺利完成。</w:t>
      </w:r>
    </w:p>
    <w:p w14:paraId="71EBA57B">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绩效指标：</w:t>
      </w:r>
      <w:r>
        <w:rPr>
          <w:rFonts w:hint="eastAsia" w:ascii="Times New Roman" w:hAnsi="Times New Roman" w:eastAsia="仿宋_GB2312" w:cs="Times New Roman"/>
          <w:sz w:val="32"/>
          <w:szCs w:val="32"/>
        </w:rPr>
        <w:t>建筑面积不少于860平米，工程验收100%合格，确保工程质量且按期完成，满足办案安全及办案人员生活环境需求。</w:t>
      </w:r>
    </w:p>
    <w:p w14:paraId="68B174F9">
      <w:pPr>
        <w:spacing w:line="584" w:lineRule="exact"/>
        <w:rPr>
          <w:rFonts w:ascii="楷体_GB2312" w:eastAsia="楷体_GB2312" w:cs="Times New Roman"/>
          <w:b/>
          <w:sz w:val="32"/>
          <w:szCs w:val="32"/>
        </w:rPr>
      </w:pPr>
      <w:r>
        <w:rPr>
          <w:rFonts w:hint="eastAsia" w:ascii="楷体_GB2312" w:eastAsia="楷体_GB2312" w:cs="Times New Roman"/>
          <w:b/>
          <w:sz w:val="32"/>
          <w:szCs w:val="32"/>
        </w:rPr>
        <w:t xml:space="preserve">   （三）工作保障措施</w:t>
      </w:r>
    </w:p>
    <w:p w14:paraId="6580F971">
      <w:pPr>
        <w:spacing w:line="52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1、完善制度建设。制定廊坊市纪委旧州管理中心预算绩效管理办法，成立由主要负责同志任组长、相关分管领导任副组长、各室负责同志为成员的预算绩效管理工作领导小组。</w:t>
      </w:r>
    </w:p>
    <w:p w14:paraId="56BA917A">
      <w:pPr>
        <w:spacing w:line="52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2、加强支出管理。不断调整优化支出结构；财务室根据廊坊市纪委旧州管理中心实际需要编细编实预算，提高预算编制的科学性。严格按照《预算法》的要求，强化预算执行的严肃性，杜绝预算管理的随意性，没有列入预算的项目不得列支，超预算范围、超预算额度的，一律不得开支。强化预算执行的合法合规意识和绩效意识，提高财政资金使用效益。</w:t>
      </w:r>
    </w:p>
    <w:p w14:paraId="38A4893F">
      <w:pPr>
        <w:spacing w:line="52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3、加强绩效运行监控。财务室在预算执行全阶段，要严格执行支出承诺制度，根据年初资金支出计划，对廊坊市纪委旧州管理中心政策和项目执行进度开展月度监控，指导、督促本单位开展预算执行进度监控，确保财政资金按计划支出，提高资金使用效益。</w:t>
      </w:r>
    </w:p>
    <w:p w14:paraId="07889FDF">
      <w:pPr>
        <w:spacing w:line="52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4、做好绩效自评。办公室会同各室根据年初确定的整体绩效目标，对廊坊市纪委旧州管理中心使用财政资金所实现的整体产出和效果开展年度自评，对评价中发现的问题及时整改，不断优化支出结构，提高财政资金的使用效益。</w:t>
      </w:r>
    </w:p>
    <w:p w14:paraId="6A3FDED2">
      <w:pPr>
        <w:spacing w:line="52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5、规范财务资产管理。完善财务管理制度，严格审批程序，切实加强对项目经费开支的审核和控制，加强固定资产登记、使用和报废处置管理，做到支出合理，物尽其用。</w:t>
      </w:r>
    </w:p>
    <w:p w14:paraId="57E5438A">
      <w:pPr>
        <w:spacing w:line="52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6、加强内部监督。加强内部监督制度建设，对绩效运行情况、重大支出决策、资产处置及其他重要经济业务事项的决策和执行进行督导，对会计资料进行内部审计，并配合做好审计、财政监督等外部监督工作，确保财政资金安全有效。</w:t>
      </w:r>
    </w:p>
    <w:p w14:paraId="6FDEDD10">
      <w:pPr>
        <w:overflowPunct w:val="0"/>
        <w:adjustRightInd w:val="0"/>
        <w:snapToGrid w:val="0"/>
        <w:spacing w:afterLines="50" w:line="580" w:lineRule="exact"/>
        <w:jc w:val="left"/>
        <w:rPr>
          <w:rFonts w:ascii="楷体_GB2312" w:eastAsia="楷体_GB2312" w:cs="Times New Roman"/>
          <w:b/>
          <w:sz w:val="32"/>
          <w:szCs w:val="32"/>
        </w:rPr>
      </w:pPr>
      <w:r>
        <w:rPr>
          <w:rFonts w:hint="eastAsia" w:ascii="楷体_GB2312" w:eastAsia="楷体_GB2312" w:cs="Times New Roman"/>
          <w:b/>
          <w:sz w:val="32"/>
          <w:szCs w:val="32"/>
        </w:rPr>
        <w:t>（四）单位整体支出绩效指标</w:t>
      </w:r>
    </w:p>
    <w:tbl>
      <w:tblPr>
        <w:tblStyle w:val="8"/>
        <w:tblW w:w="10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20"/>
        <w:gridCol w:w="690"/>
        <w:gridCol w:w="1605"/>
        <w:gridCol w:w="2590"/>
        <w:gridCol w:w="1770"/>
        <w:gridCol w:w="482"/>
        <w:gridCol w:w="488"/>
        <w:gridCol w:w="573"/>
        <w:gridCol w:w="1567"/>
      </w:tblGrid>
      <w:tr w14:paraId="1B37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jc w:val="center"/>
        </w:trPr>
        <w:tc>
          <w:tcPr>
            <w:tcW w:w="520" w:type="dxa"/>
            <w:vMerge w:val="restart"/>
            <w:tcBorders>
              <w:tl2br w:val="nil"/>
              <w:tr2bl w:val="nil"/>
            </w:tcBorders>
            <w:vAlign w:val="center"/>
          </w:tcPr>
          <w:p w14:paraId="51320A7A">
            <w:pPr>
              <w:widowControl/>
              <w:adjustRightInd w:val="0"/>
              <w:snapToGrid w:val="0"/>
              <w:jc w:val="center"/>
              <w:rPr>
                <w:rFonts w:ascii="方正书宋_GBK" w:eastAsia="方正书宋_GBK"/>
                <w:b/>
              </w:rPr>
            </w:pPr>
            <w:r>
              <w:rPr>
                <w:rFonts w:ascii="方正书宋_GBK" w:eastAsia="方正书宋_GBK"/>
                <w:b/>
              </w:rPr>
              <w:t>一级指标</w:t>
            </w:r>
          </w:p>
        </w:tc>
        <w:tc>
          <w:tcPr>
            <w:tcW w:w="690" w:type="dxa"/>
            <w:vMerge w:val="restart"/>
            <w:tcBorders>
              <w:tl2br w:val="nil"/>
              <w:tr2bl w:val="nil"/>
            </w:tcBorders>
            <w:vAlign w:val="center"/>
          </w:tcPr>
          <w:p w14:paraId="01027E8D">
            <w:pPr>
              <w:widowControl/>
              <w:adjustRightInd w:val="0"/>
              <w:snapToGrid w:val="0"/>
              <w:jc w:val="center"/>
              <w:rPr>
                <w:rFonts w:ascii="方正书宋_GBK" w:eastAsia="方正书宋_GBK"/>
                <w:b/>
              </w:rPr>
            </w:pPr>
            <w:r>
              <w:rPr>
                <w:rFonts w:ascii="方正书宋_GBK" w:eastAsia="方正书宋_GBK"/>
                <w:b/>
              </w:rPr>
              <w:t>二级</w:t>
            </w:r>
          </w:p>
          <w:p w14:paraId="205A59B0">
            <w:pPr>
              <w:widowControl/>
              <w:adjustRightInd w:val="0"/>
              <w:snapToGrid w:val="0"/>
              <w:jc w:val="center"/>
              <w:rPr>
                <w:rFonts w:ascii="方正书宋_GBK" w:eastAsia="方正书宋_GBK"/>
                <w:b/>
              </w:rPr>
            </w:pPr>
            <w:r>
              <w:rPr>
                <w:rFonts w:ascii="方正书宋_GBK" w:eastAsia="方正书宋_GBK"/>
                <w:b/>
              </w:rPr>
              <w:t>指标</w:t>
            </w:r>
          </w:p>
        </w:tc>
        <w:tc>
          <w:tcPr>
            <w:tcW w:w="1605" w:type="dxa"/>
            <w:vMerge w:val="restart"/>
            <w:tcBorders>
              <w:tl2br w:val="nil"/>
              <w:tr2bl w:val="nil"/>
            </w:tcBorders>
            <w:vAlign w:val="center"/>
          </w:tcPr>
          <w:p w14:paraId="2E282386">
            <w:pPr>
              <w:widowControl/>
              <w:adjustRightInd w:val="0"/>
              <w:snapToGrid w:val="0"/>
              <w:jc w:val="center"/>
              <w:rPr>
                <w:rFonts w:ascii="方正书宋_GBK" w:eastAsia="方正书宋_GBK"/>
                <w:b/>
              </w:rPr>
            </w:pPr>
            <w:r>
              <w:rPr>
                <w:rFonts w:ascii="方正书宋_GBK" w:eastAsia="方正书宋_GBK"/>
                <w:b/>
              </w:rPr>
              <w:t>三级</w:t>
            </w:r>
          </w:p>
          <w:p w14:paraId="18D8E5B0">
            <w:pPr>
              <w:widowControl/>
              <w:adjustRightInd w:val="0"/>
              <w:snapToGrid w:val="0"/>
              <w:jc w:val="center"/>
              <w:rPr>
                <w:rFonts w:ascii="方正书宋_GBK" w:eastAsia="方正书宋_GBK"/>
                <w:b/>
              </w:rPr>
            </w:pPr>
            <w:r>
              <w:rPr>
                <w:rFonts w:ascii="方正书宋_GBK" w:eastAsia="方正书宋_GBK"/>
                <w:b/>
              </w:rPr>
              <w:t>指标</w:t>
            </w:r>
          </w:p>
        </w:tc>
        <w:tc>
          <w:tcPr>
            <w:tcW w:w="2590" w:type="dxa"/>
            <w:vMerge w:val="restart"/>
            <w:tcBorders>
              <w:tl2br w:val="nil"/>
              <w:tr2bl w:val="nil"/>
            </w:tcBorders>
            <w:vAlign w:val="center"/>
          </w:tcPr>
          <w:p w14:paraId="025FDDFE">
            <w:pPr>
              <w:widowControl/>
              <w:adjustRightInd w:val="0"/>
              <w:snapToGrid w:val="0"/>
              <w:jc w:val="center"/>
              <w:rPr>
                <w:rFonts w:ascii="方正书宋_GBK" w:eastAsia="方正书宋_GBK"/>
                <w:b/>
              </w:rPr>
            </w:pPr>
            <w:r>
              <w:rPr>
                <w:rFonts w:ascii="方正书宋_GBK" w:eastAsia="方正书宋_GBK"/>
                <w:b/>
              </w:rPr>
              <w:t>评（扣）分标准</w:t>
            </w:r>
          </w:p>
        </w:tc>
        <w:tc>
          <w:tcPr>
            <w:tcW w:w="1770" w:type="dxa"/>
            <w:vMerge w:val="restart"/>
            <w:tcBorders>
              <w:tl2br w:val="nil"/>
              <w:tr2bl w:val="nil"/>
            </w:tcBorders>
            <w:vAlign w:val="center"/>
          </w:tcPr>
          <w:p w14:paraId="0F1A187F">
            <w:pPr>
              <w:widowControl/>
              <w:adjustRightInd w:val="0"/>
              <w:snapToGrid w:val="0"/>
              <w:jc w:val="center"/>
              <w:rPr>
                <w:rFonts w:ascii="方正书宋_GBK" w:eastAsia="方正书宋_GBK"/>
                <w:b/>
              </w:rPr>
            </w:pPr>
            <w:r>
              <w:rPr>
                <w:rFonts w:ascii="方正书宋_GBK" w:eastAsia="方正书宋_GBK"/>
                <w:b/>
              </w:rPr>
              <w:t>绩效指标</w:t>
            </w:r>
          </w:p>
          <w:p w14:paraId="009F5437">
            <w:pPr>
              <w:widowControl/>
              <w:adjustRightInd w:val="0"/>
              <w:snapToGrid w:val="0"/>
              <w:jc w:val="center"/>
              <w:rPr>
                <w:rFonts w:ascii="方正书宋_GBK" w:eastAsia="方正书宋_GBK"/>
                <w:b/>
              </w:rPr>
            </w:pPr>
            <w:r>
              <w:rPr>
                <w:rFonts w:ascii="方正书宋_GBK" w:eastAsia="方正书宋_GBK"/>
                <w:b/>
              </w:rPr>
              <w:t>描述</w:t>
            </w:r>
          </w:p>
        </w:tc>
        <w:tc>
          <w:tcPr>
            <w:tcW w:w="1543" w:type="dxa"/>
            <w:gridSpan w:val="3"/>
            <w:tcBorders>
              <w:tl2br w:val="nil"/>
              <w:tr2bl w:val="nil"/>
            </w:tcBorders>
            <w:vAlign w:val="center"/>
          </w:tcPr>
          <w:p w14:paraId="2546EE07">
            <w:pPr>
              <w:widowControl/>
              <w:adjustRightInd w:val="0"/>
              <w:snapToGrid w:val="0"/>
              <w:jc w:val="center"/>
              <w:rPr>
                <w:rFonts w:ascii="方正书宋_GBK" w:eastAsia="方正书宋_GBK"/>
                <w:b/>
              </w:rPr>
            </w:pPr>
            <w:r>
              <w:rPr>
                <w:rFonts w:ascii="方正书宋_GBK" w:eastAsia="方正书宋_GBK"/>
                <w:b/>
              </w:rPr>
              <w:t>指标值</w:t>
            </w:r>
          </w:p>
        </w:tc>
        <w:tc>
          <w:tcPr>
            <w:tcW w:w="1567" w:type="dxa"/>
            <w:vMerge w:val="restart"/>
            <w:tcBorders>
              <w:tl2br w:val="nil"/>
              <w:tr2bl w:val="nil"/>
            </w:tcBorders>
            <w:vAlign w:val="center"/>
          </w:tcPr>
          <w:p w14:paraId="50C2AC03">
            <w:pPr>
              <w:widowControl/>
              <w:adjustRightInd w:val="0"/>
              <w:snapToGrid w:val="0"/>
              <w:jc w:val="center"/>
              <w:rPr>
                <w:rFonts w:ascii="方正书宋_GBK" w:eastAsia="方正书宋_GBK"/>
                <w:b/>
              </w:rPr>
            </w:pPr>
            <w:r>
              <w:rPr>
                <w:rFonts w:ascii="方正书宋_GBK" w:eastAsia="方正书宋_GBK"/>
                <w:b/>
              </w:rPr>
              <w:t>指标值</w:t>
            </w:r>
          </w:p>
          <w:p w14:paraId="2185C994">
            <w:pPr>
              <w:widowControl/>
              <w:adjustRightInd w:val="0"/>
              <w:snapToGrid w:val="0"/>
              <w:jc w:val="center"/>
              <w:rPr>
                <w:rFonts w:ascii="方正书宋_GBK" w:eastAsia="方正书宋_GBK"/>
                <w:b/>
              </w:rPr>
            </w:pPr>
            <w:r>
              <w:rPr>
                <w:rFonts w:ascii="方正书宋_GBK" w:eastAsia="方正书宋_GBK"/>
                <w:b/>
              </w:rPr>
              <w:t>确定依据</w:t>
            </w:r>
          </w:p>
        </w:tc>
      </w:tr>
      <w:tr w14:paraId="41E93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jc w:val="center"/>
        </w:trPr>
        <w:tc>
          <w:tcPr>
            <w:tcW w:w="520" w:type="dxa"/>
            <w:vMerge w:val="continue"/>
            <w:tcBorders>
              <w:tl2br w:val="nil"/>
              <w:tr2bl w:val="nil"/>
            </w:tcBorders>
            <w:vAlign w:val="center"/>
          </w:tcPr>
          <w:p w14:paraId="0F22A4AA"/>
        </w:tc>
        <w:tc>
          <w:tcPr>
            <w:tcW w:w="690" w:type="dxa"/>
            <w:vMerge w:val="continue"/>
            <w:tcBorders>
              <w:tl2br w:val="nil"/>
              <w:tr2bl w:val="nil"/>
            </w:tcBorders>
            <w:vAlign w:val="center"/>
          </w:tcPr>
          <w:p w14:paraId="20D42865"/>
        </w:tc>
        <w:tc>
          <w:tcPr>
            <w:tcW w:w="1605" w:type="dxa"/>
            <w:vMerge w:val="continue"/>
            <w:tcBorders>
              <w:tl2br w:val="nil"/>
              <w:tr2bl w:val="nil"/>
            </w:tcBorders>
            <w:vAlign w:val="center"/>
          </w:tcPr>
          <w:p w14:paraId="77FBB94F"/>
        </w:tc>
        <w:tc>
          <w:tcPr>
            <w:tcW w:w="2590" w:type="dxa"/>
            <w:vMerge w:val="continue"/>
            <w:tcBorders>
              <w:tl2br w:val="nil"/>
              <w:tr2bl w:val="nil"/>
            </w:tcBorders>
            <w:vAlign w:val="center"/>
          </w:tcPr>
          <w:p w14:paraId="0555CE30"/>
        </w:tc>
        <w:tc>
          <w:tcPr>
            <w:tcW w:w="1770" w:type="dxa"/>
            <w:vMerge w:val="continue"/>
            <w:tcBorders>
              <w:tl2br w:val="nil"/>
              <w:tr2bl w:val="nil"/>
            </w:tcBorders>
            <w:vAlign w:val="center"/>
          </w:tcPr>
          <w:p w14:paraId="72947885"/>
        </w:tc>
        <w:tc>
          <w:tcPr>
            <w:tcW w:w="482" w:type="dxa"/>
            <w:tcBorders>
              <w:tl2br w:val="nil"/>
              <w:tr2bl w:val="nil"/>
            </w:tcBorders>
            <w:vAlign w:val="center"/>
          </w:tcPr>
          <w:p w14:paraId="017439FA">
            <w:pPr>
              <w:widowControl/>
              <w:adjustRightInd w:val="0"/>
              <w:snapToGrid w:val="0"/>
              <w:jc w:val="center"/>
              <w:rPr>
                <w:rFonts w:ascii="方正书宋_GBK" w:eastAsia="方正书宋_GBK"/>
                <w:b/>
              </w:rPr>
            </w:pPr>
            <w:r>
              <w:rPr>
                <w:rFonts w:ascii="方正书宋_GBK" w:eastAsia="方正书宋_GBK"/>
                <w:b/>
              </w:rPr>
              <w:t>符号</w:t>
            </w:r>
          </w:p>
        </w:tc>
        <w:tc>
          <w:tcPr>
            <w:tcW w:w="488" w:type="dxa"/>
            <w:tcBorders>
              <w:tl2br w:val="nil"/>
              <w:tr2bl w:val="nil"/>
            </w:tcBorders>
            <w:vAlign w:val="center"/>
          </w:tcPr>
          <w:p w14:paraId="50A44AB1">
            <w:pPr>
              <w:widowControl/>
              <w:adjustRightInd w:val="0"/>
              <w:snapToGrid w:val="0"/>
              <w:jc w:val="center"/>
              <w:rPr>
                <w:rFonts w:ascii="方正书宋_GBK" w:eastAsia="方正书宋_GBK"/>
                <w:b/>
              </w:rPr>
            </w:pPr>
            <w:r>
              <w:rPr>
                <w:rFonts w:ascii="方正书宋_GBK" w:eastAsia="方正书宋_GBK"/>
                <w:b/>
              </w:rPr>
              <w:t>值</w:t>
            </w:r>
          </w:p>
        </w:tc>
        <w:tc>
          <w:tcPr>
            <w:tcW w:w="573" w:type="dxa"/>
            <w:tcBorders>
              <w:tl2br w:val="nil"/>
              <w:tr2bl w:val="nil"/>
            </w:tcBorders>
            <w:vAlign w:val="center"/>
          </w:tcPr>
          <w:p w14:paraId="305D81C8">
            <w:pPr>
              <w:widowControl/>
              <w:adjustRightInd w:val="0"/>
              <w:snapToGrid w:val="0"/>
              <w:jc w:val="center"/>
              <w:rPr>
                <w:rFonts w:ascii="方正书宋_GBK" w:eastAsia="方正书宋_GBK"/>
                <w:b/>
              </w:rPr>
            </w:pPr>
            <w:r>
              <w:rPr>
                <w:rFonts w:ascii="方正书宋_GBK" w:eastAsia="方正书宋_GBK"/>
                <w:b/>
              </w:rPr>
              <w:t>单位</w:t>
            </w:r>
          </w:p>
        </w:tc>
        <w:tc>
          <w:tcPr>
            <w:tcW w:w="1567" w:type="dxa"/>
            <w:vMerge w:val="continue"/>
            <w:tcBorders>
              <w:tl2br w:val="nil"/>
              <w:tr2bl w:val="nil"/>
            </w:tcBorders>
            <w:vAlign w:val="center"/>
          </w:tcPr>
          <w:p w14:paraId="113E4806"/>
        </w:tc>
      </w:tr>
      <w:tr w14:paraId="5929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20" w:type="dxa"/>
            <w:vMerge w:val="restart"/>
            <w:tcBorders>
              <w:tl2br w:val="nil"/>
              <w:tr2bl w:val="nil"/>
            </w:tcBorders>
            <w:vAlign w:val="center"/>
          </w:tcPr>
          <w:p w14:paraId="60C0B809">
            <w:pPr>
              <w:widowControl/>
              <w:adjustRightInd w:val="0"/>
              <w:snapToGrid w:val="0"/>
              <w:jc w:val="center"/>
              <w:rPr>
                <w:rFonts w:ascii="方正书宋_GBK" w:eastAsia="方正书宋_GBK"/>
              </w:rPr>
            </w:pPr>
            <w:r>
              <w:rPr>
                <w:rFonts w:ascii="方正书宋_GBK" w:eastAsia="方正书宋_GBK"/>
              </w:rPr>
              <w:t>部门</w:t>
            </w:r>
            <w:r>
              <w:rPr>
                <w:rFonts w:hint="eastAsia" w:ascii="Times New Roman" w:hAnsi="Times New Roman" w:eastAsia="仿宋_GB2312" w:cs="Times New Roman"/>
              </w:rPr>
              <w:t>产出</w:t>
            </w:r>
          </w:p>
        </w:tc>
        <w:tc>
          <w:tcPr>
            <w:tcW w:w="690" w:type="dxa"/>
            <w:tcBorders>
              <w:tl2br w:val="nil"/>
              <w:tr2bl w:val="nil"/>
            </w:tcBorders>
            <w:vAlign w:val="center"/>
          </w:tcPr>
          <w:p w14:paraId="1E9108DD">
            <w:pPr>
              <w:widowControl/>
              <w:adjustRightInd w:val="0"/>
              <w:snapToGrid w:val="0"/>
              <w:jc w:val="center"/>
              <w:rPr>
                <w:rFonts w:ascii="方正书宋_GBK" w:eastAsia="方正书宋_GBK"/>
              </w:rPr>
            </w:pPr>
            <w:r>
              <w:rPr>
                <w:rFonts w:ascii="方正书宋_GBK" w:eastAsia="方正书宋_GBK"/>
              </w:rPr>
              <w:t>数量</w:t>
            </w:r>
          </w:p>
        </w:tc>
        <w:tc>
          <w:tcPr>
            <w:tcW w:w="1605" w:type="dxa"/>
            <w:tcBorders>
              <w:tl2br w:val="nil"/>
              <w:tr2bl w:val="nil"/>
            </w:tcBorders>
            <w:vAlign w:val="center"/>
          </w:tcPr>
          <w:p w14:paraId="60526650">
            <w:pPr>
              <w:widowControl/>
              <w:adjustRightInd w:val="0"/>
              <w:snapToGrid w:val="0"/>
              <w:rPr>
                <w:rFonts w:ascii="方正书宋_GBK" w:eastAsia="方正书宋_GBK"/>
              </w:rPr>
            </w:pPr>
            <w:r>
              <w:rPr>
                <w:rFonts w:hint="eastAsia" w:ascii="Times New Roman" w:hAnsi="Times New Roman" w:eastAsia="仿宋_GB2312" w:cs="Times New Roman"/>
              </w:rPr>
              <w:t>工作实际完成率</w:t>
            </w:r>
          </w:p>
        </w:tc>
        <w:tc>
          <w:tcPr>
            <w:tcW w:w="2590" w:type="dxa"/>
            <w:tcBorders>
              <w:tl2br w:val="nil"/>
              <w:tr2bl w:val="nil"/>
            </w:tcBorders>
            <w:vAlign w:val="center"/>
          </w:tcPr>
          <w:p w14:paraId="52EFE256">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实际值与目标值一致得权重分的100%，每减少10%扣权重分值的10%，低于60%不得分</w:t>
            </w:r>
          </w:p>
        </w:tc>
        <w:tc>
          <w:tcPr>
            <w:tcW w:w="1770" w:type="dxa"/>
            <w:tcBorders>
              <w:tl2br w:val="nil"/>
              <w:tr2bl w:val="nil"/>
            </w:tcBorders>
            <w:vAlign w:val="center"/>
          </w:tcPr>
          <w:p w14:paraId="7095E166">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重点工作实际完成率=（实际完成工作数/</w:t>
            </w:r>
            <w:r>
              <w:rPr>
                <w:rFonts w:ascii="Times New Roman" w:hAnsi="Times New Roman" w:eastAsia="仿宋_GB2312" w:cs="Times New Roman"/>
              </w:rPr>
              <w:t>计划</w:t>
            </w:r>
            <w:r>
              <w:rPr>
                <w:rFonts w:hint="eastAsia" w:ascii="Times New Roman" w:hAnsi="Times New Roman" w:eastAsia="仿宋_GB2312" w:cs="Times New Roman"/>
              </w:rPr>
              <w:t>工作数）×100%。</w:t>
            </w:r>
          </w:p>
        </w:tc>
        <w:tc>
          <w:tcPr>
            <w:tcW w:w="482" w:type="dxa"/>
            <w:tcBorders>
              <w:tl2br w:val="nil"/>
              <w:tr2bl w:val="nil"/>
            </w:tcBorders>
            <w:vAlign w:val="center"/>
          </w:tcPr>
          <w:p w14:paraId="0FB236C6">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603EDB74">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95</w:t>
            </w:r>
          </w:p>
        </w:tc>
        <w:tc>
          <w:tcPr>
            <w:tcW w:w="573" w:type="dxa"/>
            <w:tcBorders>
              <w:tl2br w:val="nil"/>
              <w:tr2bl w:val="nil"/>
            </w:tcBorders>
            <w:vAlign w:val="center"/>
          </w:tcPr>
          <w:p w14:paraId="7A0E0AAC">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1567" w:type="dxa"/>
            <w:tcBorders>
              <w:tl2br w:val="nil"/>
              <w:tr2bl w:val="nil"/>
            </w:tcBorders>
            <w:vAlign w:val="center"/>
          </w:tcPr>
          <w:p w14:paraId="699C7835">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实际情况</w:t>
            </w:r>
          </w:p>
        </w:tc>
      </w:tr>
      <w:tr w14:paraId="0B8B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20" w:type="dxa"/>
            <w:vMerge w:val="continue"/>
            <w:tcBorders>
              <w:tl2br w:val="nil"/>
              <w:tr2bl w:val="nil"/>
            </w:tcBorders>
            <w:vAlign w:val="center"/>
          </w:tcPr>
          <w:p w14:paraId="3A4F2360"/>
        </w:tc>
        <w:tc>
          <w:tcPr>
            <w:tcW w:w="690" w:type="dxa"/>
            <w:tcBorders>
              <w:tl2br w:val="nil"/>
              <w:tr2bl w:val="nil"/>
            </w:tcBorders>
            <w:vAlign w:val="center"/>
          </w:tcPr>
          <w:p w14:paraId="4F37657B">
            <w:pPr>
              <w:widowControl/>
              <w:adjustRightInd w:val="0"/>
              <w:snapToGrid w:val="0"/>
              <w:jc w:val="center"/>
              <w:rPr>
                <w:rFonts w:ascii="方正书宋_GBK" w:eastAsia="方正书宋_GBK"/>
              </w:rPr>
            </w:pPr>
            <w:r>
              <w:rPr>
                <w:rFonts w:ascii="方正书宋_GBK" w:eastAsia="方正书宋_GBK"/>
              </w:rPr>
              <w:t>质量</w:t>
            </w:r>
          </w:p>
        </w:tc>
        <w:tc>
          <w:tcPr>
            <w:tcW w:w="1605" w:type="dxa"/>
            <w:tcBorders>
              <w:tl2br w:val="nil"/>
              <w:tr2bl w:val="nil"/>
            </w:tcBorders>
            <w:vAlign w:val="center"/>
          </w:tcPr>
          <w:p w14:paraId="48148588">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工作质量达标率</w:t>
            </w:r>
          </w:p>
        </w:tc>
        <w:tc>
          <w:tcPr>
            <w:tcW w:w="2590" w:type="dxa"/>
            <w:tcBorders>
              <w:tl2br w:val="nil"/>
              <w:tr2bl w:val="nil"/>
            </w:tcBorders>
            <w:vAlign w:val="center"/>
          </w:tcPr>
          <w:p w14:paraId="6C6164DB">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实际值达到目标值要求得满分，未达要求得0分</w:t>
            </w:r>
          </w:p>
        </w:tc>
        <w:tc>
          <w:tcPr>
            <w:tcW w:w="1770" w:type="dxa"/>
            <w:tcBorders>
              <w:tl2br w:val="nil"/>
              <w:tr2bl w:val="nil"/>
            </w:tcBorders>
            <w:vAlign w:val="center"/>
          </w:tcPr>
          <w:p w14:paraId="3020DF29">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项目验收合格情况</w:t>
            </w:r>
          </w:p>
        </w:tc>
        <w:tc>
          <w:tcPr>
            <w:tcW w:w="482" w:type="dxa"/>
            <w:tcBorders>
              <w:tl2br w:val="nil"/>
              <w:tr2bl w:val="nil"/>
            </w:tcBorders>
            <w:vAlign w:val="center"/>
          </w:tcPr>
          <w:p w14:paraId="6C7EE383">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507EA387">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95</w:t>
            </w:r>
          </w:p>
        </w:tc>
        <w:tc>
          <w:tcPr>
            <w:tcW w:w="573" w:type="dxa"/>
            <w:tcBorders>
              <w:tl2br w:val="nil"/>
              <w:tr2bl w:val="nil"/>
            </w:tcBorders>
            <w:vAlign w:val="center"/>
          </w:tcPr>
          <w:p w14:paraId="27E35F1D">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1567" w:type="dxa"/>
            <w:tcBorders>
              <w:tl2br w:val="nil"/>
              <w:tr2bl w:val="nil"/>
            </w:tcBorders>
            <w:vAlign w:val="center"/>
          </w:tcPr>
          <w:p w14:paraId="0A60661E">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计划</w:t>
            </w:r>
          </w:p>
        </w:tc>
      </w:tr>
      <w:tr w14:paraId="3547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20" w:type="dxa"/>
            <w:vMerge w:val="continue"/>
            <w:tcBorders>
              <w:tl2br w:val="nil"/>
              <w:tr2bl w:val="nil"/>
            </w:tcBorders>
            <w:vAlign w:val="center"/>
          </w:tcPr>
          <w:p w14:paraId="7909B416"/>
        </w:tc>
        <w:tc>
          <w:tcPr>
            <w:tcW w:w="690" w:type="dxa"/>
            <w:tcBorders>
              <w:tl2br w:val="nil"/>
              <w:tr2bl w:val="nil"/>
            </w:tcBorders>
            <w:vAlign w:val="center"/>
          </w:tcPr>
          <w:p w14:paraId="455094CB">
            <w:pPr>
              <w:widowControl/>
              <w:adjustRightInd w:val="0"/>
              <w:snapToGrid w:val="0"/>
              <w:jc w:val="center"/>
              <w:rPr>
                <w:rFonts w:ascii="方正书宋_GBK" w:eastAsia="方正书宋_GBK"/>
              </w:rPr>
            </w:pPr>
            <w:r>
              <w:rPr>
                <w:rFonts w:ascii="方正书宋_GBK" w:eastAsia="方正书宋_GBK"/>
              </w:rPr>
              <w:t>时效</w:t>
            </w:r>
          </w:p>
        </w:tc>
        <w:tc>
          <w:tcPr>
            <w:tcW w:w="1605" w:type="dxa"/>
            <w:tcBorders>
              <w:tl2br w:val="nil"/>
              <w:tr2bl w:val="nil"/>
            </w:tcBorders>
            <w:vAlign w:val="center"/>
          </w:tcPr>
          <w:p w14:paraId="6F38B83C">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工作完成及时率</w:t>
            </w:r>
          </w:p>
        </w:tc>
        <w:tc>
          <w:tcPr>
            <w:tcW w:w="2590" w:type="dxa"/>
            <w:tcBorders>
              <w:tl2br w:val="nil"/>
              <w:tr2bl w:val="nil"/>
            </w:tcBorders>
            <w:vAlign w:val="center"/>
          </w:tcPr>
          <w:p w14:paraId="600C8EA7">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完成时间=（及时完成工作时间/计划完成工作时间）×100%。</w:t>
            </w:r>
          </w:p>
        </w:tc>
        <w:tc>
          <w:tcPr>
            <w:tcW w:w="1770" w:type="dxa"/>
            <w:tcBorders>
              <w:tl2br w:val="nil"/>
              <w:tr2bl w:val="nil"/>
            </w:tcBorders>
            <w:vAlign w:val="center"/>
          </w:tcPr>
          <w:p w14:paraId="0E0221D8">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工作是否按期完成</w:t>
            </w:r>
          </w:p>
        </w:tc>
        <w:tc>
          <w:tcPr>
            <w:tcW w:w="482" w:type="dxa"/>
            <w:tcBorders>
              <w:tl2br w:val="nil"/>
              <w:tr2bl w:val="nil"/>
            </w:tcBorders>
            <w:vAlign w:val="center"/>
          </w:tcPr>
          <w:p w14:paraId="1B908F29">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25AF6ABD">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95</w:t>
            </w:r>
          </w:p>
        </w:tc>
        <w:tc>
          <w:tcPr>
            <w:tcW w:w="573" w:type="dxa"/>
            <w:tcBorders>
              <w:tl2br w:val="nil"/>
              <w:tr2bl w:val="nil"/>
            </w:tcBorders>
            <w:vAlign w:val="center"/>
          </w:tcPr>
          <w:p w14:paraId="4138478B">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1567" w:type="dxa"/>
            <w:tcBorders>
              <w:tl2br w:val="nil"/>
              <w:tr2bl w:val="nil"/>
            </w:tcBorders>
            <w:vAlign w:val="center"/>
          </w:tcPr>
          <w:p w14:paraId="2FFA7987">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项目合同时间</w:t>
            </w:r>
          </w:p>
        </w:tc>
      </w:tr>
      <w:tr w14:paraId="0CB4D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20" w:type="dxa"/>
            <w:vMerge w:val="continue"/>
            <w:tcBorders>
              <w:tl2br w:val="nil"/>
              <w:tr2bl w:val="nil"/>
            </w:tcBorders>
            <w:vAlign w:val="center"/>
          </w:tcPr>
          <w:p w14:paraId="696D247B"/>
        </w:tc>
        <w:tc>
          <w:tcPr>
            <w:tcW w:w="690" w:type="dxa"/>
            <w:tcBorders>
              <w:tl2br w:val="nil"/>
              <w:tr2bl w:val="nil"/>
            </w:tcBorders>
            <w:vAlign w:val="center"/>
          </w:tcPr>
          <w:p w14:paraId="1E36CEAE">
            <w:pPr>
              <w:widowControl/>
              <w:adjustRightInd w:val="0"/>
              <w:snapToGrid w:val="0"/>
              <w:jc w:val="center"/>
              <w:rPr>
                <w:rFonts w:ascii="方正书宋_GBK" w:eastAsia="方正书宋_GBK"/>
              </w:rPr>
            </w:pPr>
            <w:r>
              <w:rPr>
                <w:rFonts w:ascii="方正书宋_GBK" w:eastAsia="方正书宋_GBK"/>
              </w:rPr>
              <w:t>成本</w:t>
            </w:r>
          </w:p>
        </w:tc>
        <w:tc>
          <w:tcPr>
            <w:tcW w:w="1605" w:type="dxa"/>
            <w:tcBorders>
              <w:tl2br w:val="nil"/>
              <w:tr2bl w:val="nil"/>
            </w:tcBorders>
            <w:vAlign w:val="center"/>
          </w:tcPr>
          <w:p w14:paraId="04D869FA">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总成本控制率</w:t>
            </w:r>
          </w:p>
        </w:tc>
        <w:tc>
          <w:tcPr>
            <w:tcW w:w="2590" w:type="dxa"/>
            <w:tcBorders>
              <w:tl2br w:val="nil"/>
              <w:tr2bl w:val="nil"/>
            </w:tcBorders>
            <w:vAlign w:val="center"/>
          </w:tcPr>
          <w:p w14:paraId="29D2A5D9">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总成本实际支出数≤预算总成本，得权重分的100%，否则不得分</w:t>
            </w:r>
          </w:p>
        </w:tc>
        <w:tc>
          <w:tcPr>
            <w:tcW w:w="1770" w:type="dxa"/>
            <w:tcBorders>
              <w:tl2br w:val="nil"/>
              <w:tr2bl w:val="nil"/>
            </w:tcBorders>
            <w:vAlign w:val="center"/>
          </w:tcPr>
          <w:p w14:paraId="2ECEEB86">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实际发生成本/预算计划成本</w:t>
            </w:r>
          </w:p>
        </w:tc>
        <w:tc>
          <w:tcPr>
            <w:tcW w:w="482" w:type="dxa"/>
            <w:tcBorders>
              <w:tl2br w:val="nil"/>
              <w:tr2bl w:val="nil"/>
            </w:tcBorders>
            <w:vAlign w:val="center"/>
          </w:tcPr>
          <w:p w14:paraId="3A84CF12">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272898EC">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100</w:t>
            </w:r>
          </w:p>
        </w:tc>
        <w:tc>
          <w:tcPr>
            <w:tcW w:w="573" w:type="dxa"/>
            <w:tcBorders>
              <w:tl2br w:val="nil"/>
              <w:tr2bl w:val="nil"/>
            </w:tcBorders>
            <w:vAlign w:val="center"/>
          </w:tcPr>
          <w:p w14:paraId="4A79FAF8">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1567" w:type="dxa"/>
            <w:tcBorders>
              <w:tl2br w:val="nil"/>
              <w:tr2bl w:val="nil"/>
            </w:tcBorders>
            <w:vAlign w:val="center"/>
          </w:tcPr>
          <w:p w14:paraId="295F454C">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预算</w:t>
            </w:r>
          </w:p>
        </w:tc>
      </w:tr>
      <w:tr w14:paraId="6B248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20" w:type="dxa"/>
            <w:vMerge w:val="restart"/>
            <w:tcBorders>
              <w:tl2br w:val="nil"/>
              <w:tr2bl w:val="nil"/>
            </w:tcBorders>
            <w:vAlign w:val="center"/>
          </w:tcPr>
          <w:p w14:paraId="45A2197C">
            <w:pPr>
              <w:adjustRightInd w:val="0"/>
              <w:snapToGrid w:val="0"/>
              <w:jc w:val="center"/>
              <w:rPr>
                <w:rFonts w:ascii="方正书宋_GBK" w:eastAsia="方正书宋_GBK"/>
              </w:rPr>
            </w:pPr>
            <w:r>
              <w:rPr>
                <w:rFonts w:ascii="方正书宋_GBK" w:eastAsia="方正书宋_GBK"/>
              </w:rPr>
              <w:t>部门</w:t>
            </w:r>
            <w:r>
              <w:rPr>
                <w:rFonts w:hint="eastAsia" w:ascii="方正书宋_GBK" w:eastAsia="方正书宋_GBK"/>
              </w:rPr>
              <w:t>效果</w:t>
            </w:r>
          </w:p>
        </w:tc>
        <w:tc>
          <w:tcPr>
            <w:tcW w:w="690" w:type="dxa"/>
            <w:tcBorders>
              <w:tl2br w:val="nil"/>
              <w:tr2bl w:val="nil"/>
            </w:tcBorders>
            <w:vAlign w:val="center"/>
          </w:tcPr>
          <w:p w14:paraId="253913D8">
            <w:pPr>
              <w:widowControl/>
              <w:adjustRightInd w:val="0"/>
              <w:snapToGrid w:val="0"/>
              <w:jc w:val="center"/>
              <w:rPr>
                <w:rFonts w:ascii="方正书宋_GBK" w:eastAsia="方正书宋_GBK"/>
              </w:rPr>
            </w:pPr>
            <w:r>
              <w:rPr>
                <w:rFonts w:ascii="方正书宋_GBK" w:eastAsia="方正书宋_GBK"/>
              </w:rPr>
              <w:t>社会</w:t>
            </w:r>
          </w:p>
          <w:p w14:paraId="0856441C">
            <w:pPr>
              <w:widowControl/>
              <w:adjustRightInd w:val="0"/>
              <w:snapToGrid w:val="0"/>
              <w:jc w:val="center"/>
              <w:rPr>
                <w:rFonts w:ascii="方正书宋_GBK" w:eastAsia="方正书宋_GBK"/>
              </w:rPr>
            </w:pPr>
            <w:r>
              <w:rPr>
                <w:rFonts w:ascii="方正书宋_GBK" w:eastAsia="方正书宋_GBK"/>
              </w:rPr>
              <w:t>效益</w:t>
            </w:r>
          </w:p>
        </w:tc>
        <w:tc>
          <w:tcPr>
            <w:tcW w:w="1605" w:type="dxa"/>
            <w:tcBorders>
              <w:tl2br w:val="nil"/>
              <w:tr2bl w:val="nil"/>
            </w:tcBorders>
            <w:vAlign w:val="center"/>
          </w:tcPr>
          <w:p w14:paraId="35E63C5B">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满足相关单位需求</w:t>
            </w:r>
          </w:p>
        </w:tc>
        <w:tc>
          <w:tcPr>
            <w:tcW w:w="2590" w:type="dxa"/>
            <w:tcBorders>
              <w:tl2br w:val="nil"/>
              <w:tr2bl w:val="nil"/>
            </w:tcBorders>
            <w:vAlign w:val="center"/>
          </w:tcPr>
          <w:p w14:paraId="77A2F8CC">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实际值与目标值一致得权重分的100%，每减少10%扣权重分值的10%，低于60%不得分</w:t>
            </w:r>
          </w:p>
        </w:tc>
        <w:tc>
          <w:tcPr>
            <w:tcW w:w="1770" w:type="dxa"/>
            <w:tcBorders>
              <w:tl2br w:val="nil"/>
              <w:tr2bl w:val="nil"/>
            </w:tcBorders>
            <w:vAlign w:val="center"/>
          </w:tcPr>
          <w:p w14:paraId="63FB8EE3">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满足驻点办案单位安全需求</w:t>
            </w:r>
          </w:p>
        </w:tc>
        <w:tc>
          <w:tcPr>
            <w:tcW w:w="482" w:type="dxa"/>
            <w:tcBorders>
              <w:tl2br w:val="nil"/>
              <w:tr2bl w:val="nil"/>
            </w:tcBorders>
            <w:vAlign w:val="center"/>
          </w:tcPr>
          <w:p w14:paraId="7639AFE8">
            <w:pPr>
              <w:widowControl/>
              <w:adjustRightInd w:val="0"/>
              <w:snapToGrid w:val="0"/>
              <w:rPr>
                <w:rFonts w:ascii="Times New Roman" w:hAnsi="Times New Roman" w:eastAsia="仿宋_GB2312" w:cs="Times New Roman"/>
              </w:rPr>
            </w:pPr>
          </w:p>
        </w:tc>
        <w:tc>
          <w:tcPr>
            <w:tcW w:w="488" w:type="dxa"/>
            <w:tcBorders>
              <w:tl2br w:val="nil"/>
              <w:tr2bl w:val="nil"/>
            </w:tcBorders>
            <w:vAlign w:val="center"/>
          </w:tcPr>
          <w:p w14:paraId="7B02BE74">
            <w:pPr>
              <w:widowControl/>
              <w:adjustRightInd w:val="0"/>
              <w:snapToGrid w:val="0"/>
              <w:rPr>
                <w:rFonts w:ascii="Times New Roman" w:hAnsi="Times New Roman" w:eastAsia="仿宋_GB2312" w:cs="Times New Roman"/>
              </w:rPr>
            </w:pPr>
          </w:p>
        </w:tc>
        <w:tc>
          <w:tcPr>
            <w:tcW w:w="573" w:type="dxa"/>
            <w:tcBorders>
              <w:tl2br w:val="nil"/>
              <w:tr2bl w:val="nil"/>
            </w:tcBorders>
            <w:vAlign w:val="center"/>
          </w:tcPr>
          <w:p w14:paraId="5E9490EB">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满足需求</w:t>
            </w:r>
          </w:p>
        </w:tc>
        <w:tc>
          <w:tcPr>
            <w:tcW w:w="1567" w:type="dxa"/>
            <w:tcBorders>
              <w:tl2br w:val="nil"/>
              <w:tr2bl w:val="nil"/>
            </w:tcBorders>
            <w:vAlign w:val="center"/>
          </w:tcPr>
          <w:p w14:paraId="79EB88A6">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计划</w:t>
            </w:r>
          </w:p>
        </w:tc>
      </w:tr>
      <w:tr w14:paraId="3EE5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20" w:type="dxa"/>
            <w:vMerge w:val="continue"/>
            <w:tcBorders>
              <w:tl2br w:val="nil"/>
              <w:tr2bl w:val="nil"/>
            </w:tcBorders>
            <w:vAlign w:val="center"/>
          </w:tcPr>
          <w:p w14:paraId="56AE144A"/>
        </w:tc>
        <w:tc>
          <w:tcPr>
            <w:tcW w:w="690" w:type="dxa"/>
            <w:tcBorders>
              <w:tl2br w:val="nil"/>
              <w:tr2bl w:val="nil"/>
            </w:tcBorders>
            <w:vAlign w:val="center"/>
          </w:tcPr>
          <w:p w14:paraId="09242CF8">
            <w:pPr>
              <w:adjustRightInd w:val="0"/>
              <w:snapToGrid w:val="0"/>
              <w:jc w:val="center"/>
              <w:rPr>
                <w:rFonts w:ascii="方正书宋_GBK" w:eastAsia="方正书宋_GBK"/>
              </w:rPr>
            </w:pPr>
            <w:r>
              <w:rPr>
                <w:rFonts w:hint="eastAsia" w:ascii="方正书宋_GBK" w:eastAsia="方正书宋_GBK"/>
              </w:rPr>
              <w:t>可持续影响</w:t>
            </w:r>
          </w:p>
        </w:tc>
        <w:tc>
          <w:tcPr>
            <w:tcW w:w="1605" w:type="dxa"/>
            <w:tcBorders>
              <w:tl2br w:val="nil"/>
              <w:tr2bl w:val="nil"/>
            </w:tcBorders>
            <w:vAlign w:val="center"/>
          </w:tcPr>
          <w:p w14:paraId="6004F22A">
            <w:pPr>
              <w:widowControl/>
              <w:adjustRightInd w:val="0"/>
              <w:snapToGrid w:val="0"/>
              <w:rPr>
                <w:rFonts w:ascii="方正书宋_GBK" w:eastAsia="方正书宋_GBK"/>
              </w:rPr>
            </w:pPr>
            <w:r>
              <w:rPr>
                <w:rFonts w:hint="eastAsia" w:ascii="Times New Roman" w:hAnsi="Times New Roman" w:eastAsia="仿宋_GB2312" w:cs="Times New Roman"/>
              </w:rPr>
              <w:t>项目可持续期</w:t>
            </w:r>
          </w:p>
        </w:tc>
        <w:tc>
          <w:tcPr>
            <w:tcW w:w="2590" w:type="dxa"/>
            <w:tcBorders>
              <w:tl2br w:val="nil"/>
              <w:tr2bl w:val="nil"/>
            </w:tcBorders>
            <w:vAlign w:val="center"/>
          </w:tcPr>
          <w:p w14:paraId="7B62FFB2">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实际值与目标值一致得权重分的100%，每减少10%扣权重分值的10%，低于60%不得分</w:t>
            </w:r>
          </w:p>
        </w:tc>
        <w:tc>
          <w:tcPr>
            <w:tcW w:w="1770" w:type="dxa"/>
            <w:tcBorders>
              <w:tl2br w:val="nil"/>
              <w:tr2bl w:val="nil"/>
            </w:tcBorders>
            <w:vAlign w:val="center"/>
          </w:tcPr>
          <w:p w14:paraId="55845080">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项目持续年限</w:t>
            </w:r>
          </w:p>
        </w:tc>
        <w:tc>
          <w:tcPr>
            <w:tcW w:w="482" w:type="dxa"/>
            <w:tcBorders>
              <w:tl2br w:val="nil"/>
              <w:tr2bl w:val="nil"/>
            </w:tcBorders>
            <w:vAlign w:val="center"/>
          </w:tcPr>
          <w:p w14:paraId="6496671F">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1E2529CD">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1</w:t>
            </w:r>
          </w:p>
        </w:tc>
        <w:tc>
          <w:tcPr>
            <w:tcW w:w="573" w:type="dxa"/>
            <w:tcBorders>
              <w:tl2br w:val="nil"/>
              <w:tr2bl w:val="nil"/>
            </w:tcBorders>
            <w:vAlign w:val="center"/>
          </w:tcPr>
          <w:p w14:paraId="340B82F2">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年</w:t>
            </w:r>
          </w:p>
        </w:tc>
        <w:tc>
          <w:tcPr>
            <w:tcW w:w="1567" w:type="dxa"/>
            <w:tcBorders>
              <w:tl2br w:val="nil"/>
              <w:tr2bl w:val="nil"/>
            </w:tcBorders>
            <w:vAlign w:val="center"/>
          </w:tcPr>
          <w:p w14:paraId="5A63FAE7">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计划</w:t>
            </w:r>
          </w:p>
        </w:tc>
      </w:tr>
      <w:tr w14:paraId="3C2C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20" w:type="dxa"/>
            <w:vMerge w:val="continue"/>
            <w:tcBorders>
              <w:tl2br w:val="nil"/>
              <w:tr2bl w:val="nil"/>
            </w:tcBorders>
            <w:vAlign w:val="center"/>
          </w:tcPr>
          <w:p w14:paraId="68362361"/>
        </w:tc>
        <w:tc>
          <w:tcPr>
            <w:tcW w:w="690" w:type="dxa"/>
            <w:tcBorders>
              <w:tl2br w:val="nil"/>
              <w:tr2bl w:val="nil"/>
            </w:tcBorders>
            <w:vAlign w:val="center"/>
          </w:tcPr>
          <w:p w14:paraId="7F9AA89A">
            <w:pPr>
              <w:widowControl/>
              <w:adjustRightInd w:val="0"/>
              <w:snapToGrid w:val="0"/>
              <w:jc w:val="center"/>
              <w:rPr>
                <w:rFonts w:ascii="方正书宋_GBK" w:eastAsia="方正书宋_GBK"/>
              </w:rPr>
            </w:pPr>
            <w:r>
              <w:rPr>
                <w:rFonts w:hint="eastAsia" w:ascii="方正书宋_GBK" w:eastAsia="方正书宋_GBK"/>
              </w:rPr>
              <w:t>满意度</w:t>
            </w:r>
          </w:p>
        </w:tc>
        <w:tc>
          <w:tcPr>
            <w:tcW w:w="1605" w:type="dxa"/>
            <w:tcBorders>
              <w:tl2br w:val="nil"/>
              <w:tr2bl w:val="nil"/>
            </w:tcBorders>
            <w:vAlign w:val="center"/>
          </w:tcPr>
          <w:p w14:paraId="1409AF59">
            <w:pPr>
              <w:widowControl/>
              <w:adjustRightInd w:val="0"/>
              <w:snapToGrid w:val="0"/>
              <w:rPr>
                <w:rFonts w:ascii="方正书宋_GBK" w:eastAsia="方正书宋_GBK"/>
              </w:rPr>
            </w:pPr>
            <w:r>
              <w:rPr>
                <w:rFonts w:hint="eastAsia" w:ascii="Times New Roman" w:hAnsi="Times New Roman" w:eastAsia="仿宋_GB2312" w:cs="Times New Roman"/>
              </w:rPr>
              <w:t>服务对象满意度</w:t>
            </w:r>
          </w:p>
        </w:tc>
        <w:tc>
          <w:tcPr>
            <w:tcW w:w="2590" w:type="dxa"/>
            <w:tcBorders>
              <w:tl2br w:val="nil"/>
              <w:tr2bl w:val="nil"/>
            </w:tcBorders>
            <w:vAlign w:val="center"/>
          </w:tcPr>
          <w:p w14:paraId="5A9CF03C">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1.满意度大于或等于90%的，得满分；</w:t>
            </w:r>
          </w:p>
          <w:p w14:paraId="69C0F991">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2.满意度小于或等于60%的，得0分；</w:t>
            </w:r>
          </w:p>
          <w:p w14:paraId="1E82CB38">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3.满意度在60%—90%之间的，在0分和满分之间计算确定：</w:t>
            </w:r>
          </w:p>
          <w:p w14:paraId="3CA01056">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得分=（实际值-60%）/30%*权重</w:t>
            </w:r>
          </w:p>
        </w:tc>
        <w:tc>
          <w:tcPr>
            <w:tcW w:w="1770" w:type="dxa"/>
            <w:tcBorders>
              <w:tl2br w:val="nil"/>
              <w:tr2bl w:val="nil"/>
            </w:tcBorders>
            <w:vAlign w:val="center"/>
          </w:tcPr>
          <w:p w14:paraId="2FB11300">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驻中心人员满意度</w:t>
            </w:r>
          </w:p>
        </w:tc>
        <w:tc>
          <w:tcPr>
            <w:tcW w:w="482" w:type="dxa"/>
            <w:tcBorders>
              <w:tl2br w:val="nil"/>
              <w:tr2bl w:val="nil"/>
            </w:tcBorders>
            <w:vAlign w:val="center"/>
          </w:tcPr>
          <w:p w14:paraId="5D44BACF">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&gt;=</w:t>
            </w:r>
          </w:p>
        </w:tc>
        <w:tc>
          <w:tcPr>
            <w:tcW w:w="488" w:type="dxa"/>
            <w:tcBorders>
              <w:tl2br w:val="nil"/>
              <w:tr2bl w:val="nil"/>
            </w:tcBorders>
            <w:vAlign w:val="center"/>
          </w:tcPr>
          <w:p w14:paraId="4E31E49E">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95</w:t>
            </w:r>
          </w:p>
        </w:tc>
        <w:tc>
          <w:tcPr>
            <w:tcW w:w="573" w:type="dxa"/>
            <w:tcBorders>
              <w:tl2br w:val="nil"/>
              <w:tr2bl w:val="nil"/>
            </w:tcBorders>
            <w:vAlign w:val="center"/>
          </w:tcPr>
          <w:p w14:paraId="59B4C5A5">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w:t>
            </w:r>
          </w:p>
        </w:tc>
        <w:tc>
          <w:tcPr>
            <w:tcW w:w="1567" w:type="dxa"/>
            <w:tcBorders>
              <w:tl2br w:val="nil"/>
              <w:tr2bl w:val="nil"/>
            </w:tcBorders>
            <w:vAlign w:val="center"/>
          </w:tcPr>
          <w:p w14:paraId="033AD4B8">
            <w:pPr>
              <w:widowControl/>
              <w:adjustRightInd w:val="0"/>
              <w:snapToGrid w:val="0"/>
              <w:rPr>
                <w:rFonts w:ascii="Times New Roman" w:hAnsi="Times New Roman" w:eastAsia="仿宋_GB2312" w:cs="Times New Roman"/>
              </w:rPr>
            </w:pPr>
            <w:r>
              <w:rPr>
                <w:rFonts w:hint="eastAsia" w:ascii="Times New Roman" w:hAnsi="Times New Roman" w:eastAsia="仿宋_GB2312" w:cs="Times New Roman"/>
              </w:rPr>
              <w:t>计划</w:t>
            </w:r>
          </w:p>
        </w:tc>
      </w:tr>
    </w:tbl>
    <w:p w14:paraId="6C2237B3">
      <w:pPr>
        <w:spacing w:line="584" w:lineRule="exact"/>
        <w:rPr>
          <w:rFonts w:ascii="仿宋_GB2312" w:eastAsia="仿宋_GB2312" w:cs="Times New Roman"/>
          <w:sz w:val="32"/>
          <w:szCs w:val="32"/>
        </w:rPr>
      </w:pPr>
    </w:p>
    <w:p w14:paraId="703F05EF">
      <w:pPr>
        <w:spacing w:line="584" w:lineRule="exact"/>
        <w:ind w:firstLine="640" w:firstLineChars="200"/>
        <w:rPr>
          <w:rFonts w:ascii="Times New Roman" w:hAnsi="Times New Roman" w:eastAsia="黑体" w:cs="Times New Roman"/>
          <w:sz w:val="32"/>
          <w:szCs w:val="32"/>
        </w:rPr>
      </w:pPr>
    </w:p>
    <w:p w14:paraId="3286DB8C">
      <w:pPr>
        <w:spacing w:line="584" w:lineRule="exact"/>
        <w:ind w:firstLine="640" w:firstLineChars="200"/>
        <w:rPr>
          <w:rFonts w:ascii="Times New Roman" w:hAnsi="Times New Roman" w:eastAsia="黑体" w:cs="Times New Roman"/>
          <w:sz w:val="32"/>
          <w:szCs w:val="32"/>
        </w:rPr>
      </w:pPr>
    </w:p>
    <w:p w14:paraId="49166B37">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68111CA4">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基地运行经费</w:t>
      </w:r>
      <w:r>
        <w:rPr>
          <w:rFonts w:ascii="Times New Roman" w:hAnsi="Times New Roman" w:eastAsia="仿宋_GB2312" w:cs="Times New Roman"/>
          <w:sz w:val="28"/>
        </w:rPr>
        <w:t>绩效目标表</w:t>
      </w:r>
      <w:bookmarkStart w:id="0" w:name="_Toc29799657"/>
      <w:bookmarkEnd w:id="0"/>
      <w:r>
        <w:rPr>
          <w:rFonts w:ascii="Times New Roman" w:hAnsi="Times New Roman" w:eastAsia="仿宋_GB2312" w:cs="Times New Roman"/>
          <w:vanish/>
          <w:sz w:val="28"/>
        </w:rPr>
        <w:t>{ TC 2、办公自动化（OA）和督查督办系统升级及推广费绩效目标表 \f C \l 1 }</w:t>
      </w:r>
    </w:p>
    <w:p w14:paraId="02C3620A">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100DE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67BA59DA">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vAlign w:val="center"/>
          </w:tcPr>
          <w:p w14:paraId="46F84E1B">
            <w:pPr>
              <w:spacing w:line="300" w:lineRule="exact"/>
              <w:rPr>
                <w:rFonts w:ascii="Times New Roman" w:hAnsi="Times New Roman" w:eastAsia="仿宋_GB2312" w:cs="Times New Roman"/>
              </w:rPr>
            </w:pPr>
            <w:r>
              <w:rPr>
                <w:rFonts w:hint="eastAsia" w:ascii="Times New Roman" w:hAnsi="Times New Roman" w:eastAsia="仿宋_GB2312" w:cs="Times New Roman"/>
              </w:rPr>
              <w:t>通过项目的开展实现充分保障中心设备设施正常运转，保障中省市纪委留置办案工作顺利完成。</w:t>
            </w:r>
          </w:p>
        </w:tc>
      </w:tr>
      <w:tr w14:paraId="241AB2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6EDB049C">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vAlign w:val="center"/>
          </w:tcPr>
          <w:p w14:paraId="70D48A7F">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vAlign w:val="center"/>
          </w:tcPr>
          <w:p w14:paraId="09990EE1">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vAlign w:val="center"/>
          </w:tcPr>
          <w:p w14:paraId="35A161AB">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vAlign w:val="center"/>
          </w:tcPr>
          <w:p w14:paraId="684B9822">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vAlign w:val="center"/>
          </w:tcPr>
          <w:p w14:paraId="1A0184E5">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00B4D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02EB112E">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vAlign w:val="center"/>
          </w:tcPr>
          <w:p w14:paraId="702E520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vAlign w:val="center"/>
          </w:tcPr>
          <w:p w14:paraId="78CC016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保障区域</w:t>
            </w:r>
          </w:p>
        </w:tc>
        <w:tc>
          <w:tcPr>
            <w:tcW w:w="3402" w:type="dxa"/>
            <w:vAlign w:val="center"/>
          </w:tcPr>
          <w:p w14:paraId="3F91B05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日常运转保障的建筑面积</w:t>
            </w:r>
          </w:p>
        </w:tc>
        <w:tc>
          <w:tcPr>
            <w:tcW w:w="1843" w:type="dxa"/>
            <w:vAlign w:val="center"/>
          </w:tcPr>
          <w:p w14:paraId="230CA6B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3.5万平米</w:t>
            </w:r>
          </w:p>
        </w:tc>
        <w:tc>
          <w:tcPr>
            <w:tcW w:w="2155" w:type="dxa"/>
            <w:vAlign w:val="center"/>
          </w:tcPr>
          <w:p w14:paraId="49EAD87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房本</w:t>
            </w:r>
          </w:p>
        </w:tc>
      </w:tr>
      <w:tr w14:paraId="0A7661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0AEA66E2"/>
        </w:tc>
        <w:tc>
          <w:tcPr>
            <w:tcW w:w="2268" w:type="dxa"/>
            <w:vAlign w:val="center"/>
          </w:tcPr>
          <w:p w14:paraId="56ADF94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vAlign w:val="center"/>
          </w:tcPr>
          <w:p w14:paraId="1C2A6A2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更换、维修设备合格率</w:t>
            </w:r>
          </w:p>
        </w:tc>
        <w:tc>
          <w:tcPr>
            <w:tcW w:w="3402" w:type="dxa"/>
            <w:vAlign w:val="center"/>
          </w:tcPr>
          <w:p w14:paraId="4A3608A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设备更换维修后的合格情况</w:t>
            </w:r>
          </w:p>
        </w:tc>
        <w:tc>
          <w:tcPr>
            <w:tcW w:w="1843" w:type="dxa"/>
            <w:vAlign w:val="center"/>
          </w:tcPr>
          <w:p w14:paraId="7ED440B9">
            <w:pPr>
              <w:rPr>
                <w:rFonts w:ascii="Times New Roman" w:hAnsi="Times New Roman" w:eastAsia="仿宋_GB2312" w:cs="Times New Roman"/>
              </w:rPr>
            </w:pPr>
            <w:r>
              <w:rPr>
                <w:rFonts w:hint="eastAsia" w:ascii="Times New Roman" w:hAnsi="Times New Roman" w:eastAsia="仿宋_GB2312" w:cs="Times New Roman"/>
              </w:rPr>
              <w:t>&gt;=95%</w:t>
            </w:r>
          </w:p>
        </w:tc>
        <w:tc>
          <w:tcPr>
            <w:tcW w:w="2155" w:type="dxa"/>
            <w:vAlign w:val="center"/>
          </w:tcPr>
          <w:p w14:paraId="178E765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4A1266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46E5FA64"/>
        </w:tc>
        <w:tc>
          <w:tcPr>
            <w:tcW w:w="2268" w:type="dxa"/>
            <w:vAlign w:val="center"/>
          </w:tcPr>
          <w:p w14:paraId="0B0B263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vAlign w:val="center"/>
          </w:tcPr>
          <w:p w14:paraId="1250001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3402" w:type="dxa"/>
            <w:vAlign w:val="center"/>
          </w:tcPr>
          <w:p w14:paraId="1B14C34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设备更换完成的及时情况</w:t>
            </w:r>
          </w:p>
        </w:tc>
        <w:tc>
          <w:tcPr>
            <w:tcW w:w="1843" w:type="dxa"/>
            <w:vAlign w:val="center"/>
          </w:tcPr>
          <w:p w14:paraId="589B8B9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vAlign w:val="center"/>
          </w:tcPr>
          <w:p w14:paraId="203FE71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72DB74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1D435354"/>
        </w:tc>
        <w:tc>
          <w:tcPr>
            <w:tcW w:w="2268" w:type="dxa"/>
            <w:vAlign w:val="center"/>
          </w:tcPr>
          <w:p w14:paraId="504F343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vAlign w:val="center"/>
          </w:tcPr>
          <w:p w14:paraId="7135F0C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成本控制率</w:t>
            </w:r>
          </w:p>
        </w:tc>
        <w:tc>
          <w:tcPr>
            <w:tcW w:w="3402" w:type="dxa"/>
            <w:vAlign w:val="center"/>
          </w:tcPr>
          <w:p w14:paraId="3F93ABD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平均每天所需成本</w:t>
            </w:r>
          </w:p>
        </w:tc>
        <w:tc>
          <w:tcPr>
            <w:tcW w:w="1843" w:type="dxa"/>
            <w:vAlign w:val="center"/>
          </w:tcPr>
          <w:p w14:paraId="0042410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1.86万元/天</w:t>
            </w:r>
          </w:p>
        </w:tc>
        <w:tc>
          <w:tcPr>
            <w:tcW w:w="2155" w:type="dxa"/>
            <w:vAlign w:val="center"/>
          </w:tcPr>
          <w:p w14:paraId="56BE99B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按实际支出情况</w:t>
            </w:r>
          </w:p>
        </w:tc>
      </w:tr>
      <w:tr w14:paraId="3E6471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54B3723D">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vAlign w:val="center"/>
          </w:tcPr>
          <w:p w14:paraId="06F74D7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vAlign w:val="center"/>
          </w:tcPr>
          <w:p w14:paraId="4C8262A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满足相关单位需求</w:t>
            </w:r>
          </w:p>
        </w:tc>
        <w:tc>
          <w:tcPr>
            <w:tcW w:w="3402" w:type="dxa"/>
            <w:vAlign w:val="center"/>
          </w:tcPr>
          <w:p w14:paraId="67C4D4F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满足驻点办案单位安全需求</w:t>
            </w:r>
          </w:p>
        </w:tc>
        <w:tc>
          <w:tcPr>
            <w:tcW w:w="1843" w:type="dxa"/>
            <w:vAlign w:val="center"/>
          </w:tcPr>
          <w:p w14:paraId="50C3FBE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满足需求</w:t>
            </w:r>
          </w:p>
        </w:tc>
        <w:tc>
          <w:tcPr>
            <w:tcW w:w="2155" w:type="dxa"/>
            <w:vAlign w:val="center"/>
          </w:tcPr>
          <w:p w14:paraId="63D0CEB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08EB63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62F8D82E"/>
        </w:tc>
        <w:tc>
          <w:tcPr>
            <w:tcW w:w="2268" w:type="dxa"/>
            <w:vAlign w:val="center"/>
          </w:tcPr>
          <w:p w14:paraId="6AD5345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可持续影像指标</w:t>
            </w:r>
          </w:p>
        </w:tc>
        <w:tc>
          <w:tcPr>
            <w:tcW w:w="1985" w:type="dxa"/>
            <w:vAlign w:val="center"/>
          </w:tcPr>
          <w:p w14:paraId="361B7F2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项目可持续期</w:t>
            </w:r>
          </w:p>
        </w:tc>
        <w:tc>
          <w:tcPr>
            <w:tcW w:w="3402" w:type="dxa"/>
            <w:vAlign w:val="center"/>
          </w:tcPr>
          <w:p w14:paraId="57837B4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本项目持续年限</w:t>
            </w:r>
          </w:p>
        </w:tc>
        <w:tc>
          <w:tcPr>
            <w:tcW w:w="1843" w:type="dxa"/>
            <w:vAlign w:val="center"/>
          </w:tcPr>
          <w:p w14:paraId="5515979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1年</w:t>
            </w:r>
          </w:p>
        </w:tc>
        <w:tc>
          <w:tcPr>
            <w:tcW w:w="2155" w:type="dxa"/>
            <w:vAlign w:val="center"/>
          </w:tcPr>
          <w:p w14:paraId="3F097C4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29DA3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3A8F5FA6">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vAlign w:val="center"/>
          </w:tcPr>
          <w:p w14:paraId="53E8DEA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w:t>
            </w:r>
          </w:p>
        </w:tc>
        <w:tc>
          <w:tcPr>
            <w:tcW w:w="1985" w:type="dxa"/>
            <w:vAlign w:val="center"/>
          </w:tcPr>
          <w:p w14:paraId="320DCF7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驻中心人员满意度</w:t>
            </w:r>
          </w:p>
        </w:tc>
        <w:tc>
          <w:tcPr>
            <w:tcW w:w="3402" w:type="dxa"/>
            <w:vAlign w:val="center"/>
          </w:tcPr>
          <w:p w14:paraId="5492A26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驻中心人员满意度</w:t>
            </w:r>
          </w:p>
        </w:tc>
        <w:tc>
          <w:tcPr>
            <w:tcW w:w="1843" w:type="dxa"/>
            <w:vAlign w:val="center"/>
          </w:tcPr>
          <w:p w14:paraId="65B557F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&gt;=95%</w:t>
            </w:r>
          </w:p>
        </w:tc>
        <w:tc>
          <w:tcPr>
            <w:tcW w:w="2155" w:type="dxa"/>
            <w:vAlign w:val="center"/>
          </w:tcPr>
          <w:p w14:paraId="55C5EF8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bl>
    <w:p w14:paraId="3D1023FE">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rPr>
        <w:t>基地业务经费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p w14:paraId="16612A57">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0238F0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4C1FFD99">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vAlign w:val="center"/>
          </w:tcPr>
          <w:p w14:paraId="0F0B6ED9">
            <w:pPr>
              <w:spacing w:line="300" w:lineRule="exact"/>
              <w:rPr>
                <w:rFonts w:ascii="Times New Roman" w:hAnsi="Times New Roman" w:eastAsia="仿宋_GB2312" w:cs="Times New Roman"/>
              </w:rPr>
            </w:pPr>
            <w:r>
              <w:rPr>
                <w:rFonts w:hint="eastAsia" w:ascii="Times New Roman" w:hAnsi="Times New Roman" w:eastAsia="仿宋_GB2312" w:cs="Times New Roman"/>
              </w:rPr>
              <w:t>通过项目的开展实现充分保障中心设备设施正常运转，保障中省市纪委留置办案工作顺利完成。</w:t>
            </w:r>
          </w:p>
        </w:tc>
      </w:tr>
      <w:tr w14:paraId="2B7251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66514025">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vAlign w:val="center"/>
          </w:tcPr>
          <w:p w14:paraId="2FB79FD5">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vAlign w:val="center"/>
          </w:tcPr>
          <w:p w14:paraId="58A1CCE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vAlign w:val="center"/>
          </w:tcPr>
          <w:p w14:paraId="1326D1D5">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vAlign w:val="center"/>
          </w:tcPr>
          <w:p w14:paraId="503548E5">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vAlign w:val="center"/>
          </w:tcPr>
          <w:p w14:paraId="15D3AFFE">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C3DC7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79885F4B">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vAlign w:val="center"/>
          </w:tcPr>
          <w:p w14:paraId="594E84B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vAlign w:val="center"/>
          </w:tcPr>
          <w:p w14:paraId="6EFE53E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保障数量</w:t>
            </w:r>
          </w:p>
        </w:tc>
        <w:tc>
          <w:tcPr>
            <w:tcW w:w="3402" w:type="dxa"/>
            <w:vAlign w:val="center"/>
          </w:tcPr>
          <w:p w14:paraId="17C7B60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保障用车</w:t>
            </w:r>
          </w:p>
        </w:tc>
        <w:tc>
          <w:tcPr>
            <w:tcW w:w="1843" w:type="dxa"/>
            <w:vAlign w:val="center"/>
          </w:tcPr>
          <w:p w14:paraId="5338AAD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9辆</w:t>
            </w:r>
          </w:p>
        </w:tc>
        <w:tc>
          <w:tcPr>
            <w:tcW w:w="2155" w:type="dxa"/>
            <w:vAlign w:val="center"/>
          </w:tcPr>
          <w:p w14:paraId="3642569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实际情况</w:t>
            </w:r>
          </w:p>
        </w:tc>
      </w:tr>
      <w:tr w14:paraId="32734F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6A13F0C5"/>
        </w:tc>
        <w:tc>
          <w:tcPr>
            <w:tcW w:w="2268" w:type="dxa"/>
            <w:vAlign w:val="center"/>
          </w:tcPr>
          <w:p w14:paraId="1DF8445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vAlign w:val="center"/>
          </w:tcPr>
          <w:p w14:paraId="75B7C65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更换、维修设备合格率</w:t>
            </w:r>
          </w:p>
        </w:tc>
        <w:tc>
          <w:tcPr>
            <w:tcW w:w="3402" w:type="dxa"/>
            <w:vAlign w:val="center"/>
          </w:tcPr>
          <w:p w14:paraId="4EF12A5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设备更换维修后的合格情况</w:t>
            </w:r>
          </w:p>
        </w:tc>
        <w:tc>
          <w:tcPr>
            <w:tcW w:w="1843" w:type="dxa"/>
            <w:vAlign w:val="center"/>
          </w:tcPr>
          <w:p w14:paraId="0A0CEC7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&gt;=95%</w:t>
            </w:r>
          </w:p>
        </w:tc>
        <w:tc>
          <w:tcPr>
            <w:tcW w:w="2155" w:type="dxa"/>
            <w:vAlign w:val="center"/>
          </w:tcPr>
          <w:p w14:paraId="46E961E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25F6D0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6983944B"/>
        </w:tc>
        <w:tc>
          <w:tcPr>
            <w:tcW w:w="2268" w:type="dxa"/>
            <w:vAlign w:val="center"/>
          </w:tcPr>
          <w:p w14:paraId="3C29FB7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vAlign w:val="center"/>
          </w:tcPr>
          <w:p w14:paraId="3BEEAD1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3402" w:type="dxa"/>
            <w:vAlign w:val="center"/>
          </w:tcPr>
          <w:p w14:paraId="6A1F199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设备更换完成的及时情况</w:t>
            </w:r>
          </w:p>
        </w:tc>
        <w:tc>
          <w:tcPr>
            <w:tcW w:w="1843" w:type="dxa"/>
            <w:vAlign w:val="center"/>
          </w:tcPr>
          <w:p w14:paraId="6DD0056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vAlign w:val="center"/>
          </w:tcPr>
          <w:p w14:paraId="5FBF798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151D9C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614C4EFD"/>
        </w:tc>
        <w:tc>
          <w:tcPr>
            <w:tcW w:w="2268" w:type="dxa"/>
            <w:vAlign w:val="center"/>
          </w:tcPr>
          <w:p w14:paraId="2101A26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vAlign w:val="center"/>
          </w:tcPr>
          <w:p w14:paraId="1168C30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成本控制率</w:t>
            </w:r>
          </w:p>
        </w:tc>
        <w:tc>
          <w:tcPr>
            <w:tcW w:w="3402" w:type="dxa"/>
            <w:vAlign w:val="center"/>
          </w:tcPr>
          <w:p w14:paraId="58001D9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平均约每天所需成本</w:t>
            </w:r>
          </w:p>
        </w:tc>
        <w:tc>
          <w:tcPr>
            <w:tcW w:w="1843" w:type="dxa"/>
            <w:vAlign w:val="center"/>
          </w:tcPr>
          <w:p w14:paraId="1020B57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&lt;0.06万元/天</w:t>
            </w:r>
          </w:p>
        </w:tc>
        <w:tc>
          <w:tcPr>
            <w:tcW w:w="2155" w:type="dxa"/>
            <w:vAlign w:val="center"/>
          </w:tcPr>
          <w:p w14:paraId="29DC139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按实际支出情况</w:t>
            </w:r>
          </w:p>
        </w:tc>
      </w:tr>
      <w:tr w14:paraId="19337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4484B3D3">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vAlign w:val="center"/>
          </w:tcPr>
          <w:p w14:paraId="545A5BB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vAlign w:val="center"/>
          </w:tcPr>
          <w:p w14:paraId="6F0C15A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满足相关单位需求</w:t>
            </w:r>
          </w:p>
        </w:tc>
        <w:tc>
          <w:tcPr>
            <w:tcW w:w="3402" w:type="dxa"/>
            <w:vAlign w:val="center"/>
          </w:tcPr>
          <w:p w14:paraId="2B317E1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满足驻点办案单位安全需求</w:t>
            </w:r>
          </w:p>
        </w:tc>
        <w:tc>
          <w:tcPr>
            <w:tcW w:w="1843" w:type="dxa"/>
            <w:vAlign w:val="center"/>
          </w:tcPr>
          <w:p w14:paraId="2E88ADC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满足需求</w:t>
            </w:r>
          </w:p>
        </w:tc>
        <w:tc>
          <w:tcPr>
            <w:tcW w:w="2155" w:type="dxa"/>
            <w:vAlign w:val="center"/>
          </w:tcPr>
          <w:p w14:paraId="6513142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1741D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3197FC18"/>
        </w:tc>
        <w:tc>
          <w:tcPr>
            <w:tcW w:w="2268" w:type="dxa"/>
            <w:vAlign w:val="center"/>
          </w:tcPr>
          <w:p w14:paraId="3DBA53A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可持续影像指标</w:t>
            </w:r>
          </w:p>
        </w:tc>
        <w:tc>
          <w:tcPr>
            <w:tcW w:w="1985" w:type="dxa"/>
            <w:vAlign w:val="center"/>
          </w:tcPr>
          <w:p w14:paraId="751839C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项目可持续期</w:t>
            </w:r>
          </w:p>
        </w:tc>
        <w:tc>
          <w:tcPr>
            <w:tcW w:w="3402" w:type="dxa"/>
            <w:vAlign w:val="center"/>
          </w:tcPr>
          <w:p w14:paraId="3747B6A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本项目持续年限</w:t>
            </w:r>
          </w:p>
        </w:tc>
        <w:tc>
          <w:tcPr>
            <w:tcW w:w="1843" w:type="dxa"/>
            <w:vAlign w:val="center"/>
          </w:tcPr>
          <w:p w14:paraId="7338614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1年</w:t>
            </w:r>
          </w:p>
        </w:tc>
        <w:tc>
          <w:tcPr>
            <w:tcW w:w="2155" w:type="dxa"/>
            <w:vAlign w:val="center"/>
          </w:tcPr>
          <w:p w14:paraId="29678FC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10F603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076421D3">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vAlign w:val="center"/>
          </w:tcPr>
          <w:p w14:paraId="6408C6B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w:t>
            </w:r>
          </w:p>
        </w:tc>
        <w:tc>
          <w:tcPr>
            <w:tcW w:w="1985" w:type="dxa"/>
            <w:vAlign w:val="center"/>
          </w:tcPr>
          <w:p w14:paraId="07FEACB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驻中心人员满意度</w:t>
            </w:r>
          </w:p>
        </w:tc>
        <w:tc>
          <w:tcPr>
            <w:tcW w:w="3402" w:type="dxa"/>
            <w:vAlign w:val="center"/>
          </w:tcPr>
          <w:p w14:paraId="0C09303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驻中心人员满意度</w:t>
            </w:r>
          </w:p>
        </w:tc>
        <w:tc>
          <w:tcPr>
            <w:tcW w:w="1843" w:type="dxa"/>
            <w:vAlign w:val="center"/>
          </w:tcPr>
          <w:p w14:paraId="158B4C82">
            <w:pPr>
              <w:spacing w:line="300" w:lineRule="exact"/>
              <w:jc w:val="left"/>
              <w:rPr>
                <w:rFonts w:ascii="Times New Roman" w:hAnsi="Times New Roman" w:eastAsia="仿宋_GB2312" w:cs="Times New Roman"/>
              </w:rPr>
            </w:pPr>
            <w:r>
              <w:rPr>
                <w:rFonts w:hint="eastAsia" w:ascii="Times New Roman" w:hAnsi="Times New Roman" w:eastAsia="仿宋_GB2312" w:cs="Times New Roman"/>
                <w:sz w:val="24"/>
                <w:szCs w:val="24"/>
              </w:rPr>
              <w:t>&gt;=95%</w:t>
            </w:r>
          </w:p>
        </w:tc>
        <w:tc>
          <w:tcPr>
            <w:tcW w:w="2155" w:type="dxa"/>
            <w:vAlign w:val="center"/>
          </w:tcPr>
          <w:p w14:paraId="66780F7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bl>
    <w:p w14:paraId="6271C2CC">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3.办案综合保障经费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p w14:paraId="4E3E505A">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037BA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1BB293EE">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vAlign w:val="center"/>
          </w:tcPr>
          <w:p w14:paraId="36CB3434">
            <w:pPr>
              <w:spacing w:line="300" w:lineRule="exact"/>
              <w:rPr>
                <w:rFonts w:ascii="Times New Roman" w:hAnsi="Times New Roman" w:eastAsia="仿宋_GB2312" w:cs="Times New Roman"/>
              </w:rPr>
            </w:pPr>
            <w:r>
              <w:rPr>
                <w:rFonts w:hint="eastAsia" w:ascii="Times New Roman" w:hAnsi="Times New Roman" w:eastAsia="仿宋_GB2312" w:cs="Times New Roman"/>
              </w:rPr>
              <w:t>通过项目的开展实现餐厅产品口味优良、卫生可靠、营养丰富，人员政治可靠、技能过硬，保障中央、省、市</w:t>
            </w:r>
            <w:bookmarkStart w:id="3" w:name="_GoBack"/>
            <w:bookmarkEnd w:id="3"/>
            <w:r>
              <w:rPr>
                <w:rFonts w:hint="eastAsia" w:ascii="Times New Roman" w:hAnsi="Times New Roman" w:eastAsia="仿宋_GB2312" w:cs="Times New Roman"/>
              </w:rPr>
              <w:t>纪委留置办案工作顺利完成。</w:t>
            </w:r>
          </w:p>
        </w:tc>
      </w:tr>
      <w:tr w14:paraId="17B042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18A85C83">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vAlign w:val="center"/>
          </w:tcPr>
          <w:p w14:paraId="2B2A74B9">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vAlign w:val="center"/>
          </w:tcPr>
          <w:p w14:paraId="7EDD6FA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vAlign w:val="center"/>
          </w:tcPr>
          <w:p w14:paraId="0DAC747D">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vAlign w:val="center"/>
          </w:tcPr>
          <w:p w14:paraId="432E346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vAlign w:val="center"/>
          </w:tcPr>
          <w:p w14:paraId="2A259F93">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0E466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39E5B612">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vAlign w:val="center"/>
          </w:tcPr>
          <w:p w14:paraId="1251C80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vAlign w:val="center"/>
          </w:tcPr>
          <w:p w14:paraId="641FA85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工作人员数量</w:t>
            </w:r>
          </w:p>
        </w:tc>
        <w:tc>
          <w:tcPr>
            <w:tcW w:w="3402" w:type="dxa"/>
            <w:vAlign w:val="center"/>
          </w:tcPr>
          <w:p w14:paraId="4925B3C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拟使用工作人员数量</w:t>
            </w:r>
          </w:p>
        </w:tc>
        <w:tc>
          <w:tcPr>
            <w:tcW w:w="1843" w:type="dxa"/>
            <w:vAlign w:val="center"/>
          </w:tcPr>
          <w:p w14:paraId="60EF46C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&gt;=126人次</w:t>
            </w:r>
          </w:p>
        </w:tc>
        <w:tc>
          <w:tcPr>
            <w:tcW w:w="2155" w:type="dxa"/>
            <w:vAlign w:val="center"/>
          </w:tcPr>
          <w:p w14:paraId="769A75A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617C91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0C2D1F1E"/>
        </w:tc>
        <w:tc>
          <w:tcPr>
            <w:tcW w:w="2268" w:type="dxa"/>
            <w:vAlign w:val="center"/>
          </w:tcPr>
          <w:p w14:paraId="09FA673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vAlign w:val="center"/>
          </w:tcPr>
          <w:p w14:paraId="4E131A4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餐厅服务质量</w:t>
            </w:r>
          </w:p>
        </w:tc>
        <w:tc>
          <w:tcPr>
            <w:tcW w:w="3402" w:type="dxa"/>
            <w:vAlign w:val="center"/>
          </w:tcPr>
          <w:p w14:paraId="7AC5D2F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承包单位餐厅服务满意率</w:t>
            </w:r>
          </w:p>
        </w:tc>
        <w:tc>
          <w:tcPr>
            <w:tcW w:w="1843" w:type="dxa"/>
            <w:vAlign w:val="center"/>
          </w:tcPr>
          <w:p w14:paraId="6A0D8B4E">
            <w:pPr>
              <w:rPr>
                <w:rFonts w:ascii="Times New Roman" w:hAnsi="Times New Roman" w:eastAsia="仿宋_GB2312" w:cs="Times New Roman"/>
              </w:rPr>
            </w:pPr>
            <w:r>
              <w:rPr>
                <w:rFonts w:hint="eastAsia" w:ascii="Times New Roman" w:hAnsi="Times New Roman" w:eastAsia="仿宋_GB2312" w:cs="Times New Roman"/>
              </w:rPr>
              <w:t>&gt;=95%</w:t>
            </w:r>
          </w:p>
        </w:tc>
        <w:tc>
          <w:tcPr>
            <w:tcW w:w="2155" w:type="dxa"/>
            <w:vAlign w:val="center"/>
          </w:tcPr>
          <w:p w14:paraId="5C89041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46D08B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44DB8471"/>
        </w:tc>
        <w:tc>
          <w:tcPr>
            <w:tcW w:w="2268" w:type="dxa"/>
            <w:vAlign w:val="center"/>
          </w:tcPr>
          <w:p w14:paraId="0BD8F91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vAlign w:val="center"/>
          </w:tcPr>
          <w:p w14:paraId="764D7A1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项目保障时间</w:t>
            </w:r>
          </w:p>
        </w:tc>
        <w:tc>
          <w:tcPr>
            <w:tcW w:w="3402" w:type="dxa"/>
            <w:vAlign w:val="center"/>
          </w:tcPr>
          <w:p w14:paraId="4BFEB1F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项目执行时间</w:t>
            </w:r>
          </w:p>
        </w:tc>
        <w:tc>
          <w:tcPr>
            <w:tcW w:w="1843" w:type="dxa"/>
            <w:vAlign w:val="center"/>
          </w:tcPr>
          <w:p w14:paraId="5D79A21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365天</w:t>
            </w:r>
          </w:p>
        </w:tc>
        <w:tc>
          <w:tcPr>
            <w:tcW w:w="2155" w:type="dxa"/>
            <w:vAlign w:val="center"/>
          </w:tcPr>
          <w:p w14:paraId="4403913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09BFBC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7700CD83"/>
        </w:tc>
        <w:tc>
          <w:tcPr>
            <w:tcW w:w="2268" w:type="dxa"/>
            <w:vAlign w:val="center"/>
          </w:tcPr>
          <w:p w14:paraId="0A39080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vAlign w:val="center"/>
          </w:tcPr>
          <w:p w14:paraId="32CA2B8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资金成本</w:t>
            </w:r>
          </w:p>
        </w:tc>
        <w:tc>
          <w:tcPr>
            <w:tcW w:w="3402" w:type="dxa"/>
            <w:vAlign w:val="center"/>
          </w:tcPr>
          <w:p w14:paraId="64A8B50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成本控制率</w:t>
            </w:r>
          </w:p>
        </w:tc>
        <w:tc>
          <w:tcPr>
            <w:tcW w:w="1843" w:type="dxa"/>
            <w:vAlign w:val="center"/>
          </w:tcPr>
          <w:p w14:paraId="19F2D66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&lt;2.86万元/天</w:t>
            </w:r>
          </w:p>
        </w:tc>
        <w:tc>
          <w:tcPr>
            <w:tcW w:w="2155" w:type="dxa"/>
            <w:vAlign w:val="center"/>
          </w:tcPr>
          <w:p w14:paraId="5B0275E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按实际支出情况</w:t>
            </w:r>
          </w:p>
        </w:tc>
      </w:tr>
      <w:tr w14:paraId="589A04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10AD7793">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vAlign w:val="center"/>
          </w:tcPr>
          <w:p w14:paraId="75CD955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vAlign w:val="center"/>
          </w:tcPr>
          <w:p w14:paraId="0972B3F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服务保障人次数</w:t>
            </w:r>
          </w:p>
        </w:tc>
        <w:tc>
          <w:tcPr>
            <w:tcW w:w="3402" w:type="dxa"/>
            <w:vAlign w:val="center"/>
          </w:tcPr>
          <w:p w14:paraId="711CD17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年驻中心工作人次</w:t>
            </w:r>
          </w:p>
        </w:tc>
        <w:tc>
          <w:tcPr>
            <w:tcW w:w="1843" w:type="dxa"/>
            <w:vAlign w:val="center"/>
          </w:tcPr>
          <w:p w14:paraId="471F9E2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&gt;=30万人次</w:t>
            </w:r>
          </w:p>
        </w:tc>
        <w:tc>
          <w:tcPr>
            <w:tcW w:w="2155" w:type="dxa"/>
            <w:vAlign w:val="center"/>
          </w:tcPr>
          <w:p w14:paraId="56DBE02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518053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0CC97E97"/>
        </w:tc>
        <w:tc>
          <w:tcPr>
            <w:tcW w:w="2268" w:type="dxa"/>
            <w:vAlign w:val="center"/>
          </w:tcPr>
          <w:p w14:paraId="16E0143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可持续影像指标</w:t>
            </w:r>
          </w:p>
        </w:tc>
        <w:tc>
          <w:tcPr>
            <w:tcW w:w="1985" w:type="dxa"/>
            <w:vAlign w:val="center"/>
          </w:tcPr>
          <w:p w14:paraId="20311A5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项目可持续期</w:t>
            </w:r>
          </w:p>
        </w:tc>
        <w:tc>
          <w:tcPr>
            <w:tcW w:w="3402" w:type="dxa"/>
            <w:vAlign w:val="center"/>
          </w:tcPr>
          <w:p w14:paraId="1AD073F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本项目持续年限</w:t>
            </w:r>
          </w:p>
        </w:tc>
        <w:tc>
          <w:tcPr>
            <w:tcW w:w="1843" w:type="dxa"/>
            <w:vAlign w:val="center"/>
          </w:tcPr>
          <w:p w14:paraId="7A32B66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1年</w:t>
            </w:r>
          </w:p>
        </w:tc>
        <w:tc>
          <w:tcPr>
            <w:tcW w:w="2155" w:type="dxa"/>
            <w:vAlign w:val="center"/>
          </w:tcPr>
          <w:p w14:paraId="4B46AA3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6CCC78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00A5015C">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vAlign w:val="center"/>
          </w:tcPr>
          <w:p w14:paraId="642F091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w:t>
            </w:r>
          </w:p>
        </w:tc>
        <w:tc>
          <w:tcPr>
            <w:tcW w:w="1985" w:type="dxa"/>
            <w:vAlign w:val="center"/>
          </w:tcPr>
          <w:p w14:paraId="2C8B0F7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驻中心人员满意度</w:t>
            </w:r>
          </w:p>
        </w:tc>
        <w:tc>
          <w:tcPr>
            <w:tcW w:w="3402" w:type="dxa"/>
            <w:vAlign w:val="center"/>
          </w:tcPr>
          <w:p w14:paraId="36BF4DE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驻中心人员对中心服务的满意度</w:t>
            </w:r>
          </w:p>
        </w:tc>
        <w:tc>
          <w:tcPr>
            <w:tcW w:w="1843" w:type="dxa"/>
            <w:vAlign w:val="center"/>
          </w:tcPr>
          <w:p w14:paraId="530EAAA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&gt;=95%</w:t>
            </w:r>
          </w:p>
        </w:tc>
        <w:tc>
          <w:tcPr>
            <w:tcW w:w="2155" w:type="dxa"/>
            <w:vAlign w:val="center"/>
          </w:tcPr>
          <w:p w14:paraId="54C1B66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bl>
    <w:p w14:paraId="328C545F">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4.设备购置经费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p w14:paraId="106A95EF">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6D92F0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24A89731">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vAlign w:val="center"/>
          </w:tcPr>
          <w:p w14:paraId="0BF18C87">
            <w:pPr>
              <w:spacing w:line="300" w:lineRule="exact"/>
              <w:rPr>
                <w:rFonts w:ascii="Times New Roman" w:hAnsi="Times New Roman" w:eastAsia="仿宋_GB2312" w:cs="Times New Roman"/>
              </w:rPr>
            </w:pPr>
            <w:r>
              <w:rPr>
                <w:rFonts w:hint="eastAsia" w:ascii="Times New Roman" w:hAnsi="Times New Roman" w:eastAsia="仿宋_GB2312" w:cs="Times New Roman"/>
              </w:rPr>
              <w:t>通过本项目实施满足院区监控设备正常运行，亮化灯设施安全，满足需求。</w:t>
            </w:r>
          </w:p>
        </w:tc>
      </w:tr>
      <w:tr w14:paraId="1C381C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4447796A">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vAlign w:val="center"/>
          </w:tcPr>
          <w:p w14:paraId="0F12474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vAlign w:val="center"/>
          </w:tcPr>
          <w:p w14:paraId="5E29009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vAlign w:val="center"/>
          </w:tcPr>
          <w:p w14:paraId="12EE7286">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vAlign w:val="center"/>
          </w:tcPr>
          <w:p w14:paraId="379CC59E">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vAlign w:val="center"/>
          </w:tcPr>
          <w:p w14:paraId="644BB154">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2551D7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1D70B0FD">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vAlign w:val="center"/>
          </w:tcPr>
          <w:p w14:paraId="02C04E7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vAlign w:val="center"/>
          </w:tcPr>
          <w:p w14:paraId="22607E5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采购数量</w:t>
            </w:r>
          </w:p>
        </w:tc>
        <w:tc>
          <w:tcPr>
            <w:tcW w:w="3402" w:type="dxa"/>
            <w:vAlign w:val="center"/>
          </w:tcPr>
          <w:p w14:paraId="70B88A7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采购设备数量</w:t>
            </w:r>
          </w:p>
        </w:tc>
        <w:tc>
          <w:tcPr>
            <w:tcW w:w="1843" w:type="dxa"/>
            <w:vAlign w:val="center"/>
          </w:tcPr>
          <w:p w14:paraId="585C3D1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&gt;=689台</w:t>
            </w:r>
          </w:p>
        </w:tc>
        <w:tc>
          <w:tcPr>
            <w:tcW w:w="2155" w:type="dxa"/>
            <w:vAlign w:val="center"/>
          </w:tcPr>
          <w:p w14:paraId="2A8DE9C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641CD9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64133512"/>
        </w:tc>
        <w:tc>
          <w:tcPr>
            <w:tcW w:w="2268" w:type="dxa"/>
            <w:vAlign w:val="center"/>
          </w:tcPr>
          <w:p w14:paraId="67E1BAE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vAlign w:val="center"/>
          </w:tcPr>
          <w:p w14:paraId="6766630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设备合格率</w:t>
            </w:r>
          </w:p>
        </w:tc>
        <w:tc>
          <w:tcPr>
            <w:tcW w:w="3402" w:type="dxa"/>
            <w:vAlign w:val="center"/>
          </w:tcPr>
          <w:p w14:paraId="0AECB37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设备验收合格情况</w:t>
            </w:r>
          </w:p>
        </w:tc>
        <w:tc>
          <w:tcPr>
            <w:tcW w:w="1843" w:type="dxa"/>
            <w:vAlign w:val="center"/>
          </w:tcPr>
          <w:p w14:paraId="298EABE6">
            <w:pPr>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vAlign w:val="center"/>
          </w:tcPr>
          <w:p w14:paraId="6E7C0CA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4C192C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77CD7F31"/>
        </w:tc>
        <w:tc>
          <w:tcPr>
            <w:tcW w:w="2268" w:type="dxa"/>
            <w:vAlign w:val="center"/>
          </w:tcPr>
          <w:p w14:paraId="2384EF8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vAlign w:val="center"/>
          </w:tcPr>
          <w:p w14:paraId="19366FF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项目完工时间</w:t>
            </w:r>
          </w:p>
        </w:tc>
        <w:tc>
          <w:tcPr>
            <w:tcW w:w="3402" w:type="dxa"/>
            <w:vAlign w:val="center"/>
          </w:tcPr>
          <w:p w14:paraId="781C090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整体验收合格时间</w:t>
            </w:r>
          </w:p>
        </w:tc>
        <w:tc>
          <w:tcPr>
            <w:tcW w:w="1843" w:type="dxa"/>
            <w:vAlign w:val="center"/>
          </w:tcPr>
          <w:p w14:paraId="3E6C38E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2021年5月前</w:t>
            </w:r>
          </w:p>
        </w:tc>
        <w:tc>
          <w:tcPr>
            <w:tcW w:w="2155" w:type="dxa"/>
            <w:vAlign w:val="center"/>
          </w:tcPr>
          <w:p w14:paraId="2787710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18BEF8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188CE966"/>
        </w:tc>
        <w:tc>
          <w:tcPr>
            <w:tcW w:w="2268" w:type="dxa"/>
            <w:vAlign w:val="center"/>
          </w:tcPr>
          <w:p w14:paraId="40C40D2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vAlign w:val="center"/>
          </w:tcPr>
          <w:p w14:paraId="50822A4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设备购置成本</w:t>
            </w:r>
          </w:p>
        </w:tc>
        <w:tc>
          <w:tcPr>
            <w:tcW w:w="3402" w:type="dxa"/>
            <w:vAlign w:val="center"/>
          </w:tcPr>
          <w:p w14:paraId="583BFEC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设备购置成本控制率</w:t>
            </w:r>
          </w:p>
        </w:tc>
        <w:tc>
          <w:tcPr>
            <w:tcW w:w="1843" w:type="dxa"/>
            <w:vAlign w:val="center"/>
          </w:tcPr>
          <w:p w14:paraId="4EBDEF5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&lt;0.35万元/天</w:t>
            </w:r>
          </w:p>
        </w:tc>
        <w:tc>
          <w:tcPr>
            <w:tcW w:w="2155" w:type="dxa"/>
            <w:vAlign w:val="center"/>
          </w:tcPr>
          <w:p w14:paraId="12FDEF0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按实际支出情况约需</w:t>
            </w:r>
          </w:p>
        </w:tc>
      </w:tr>
      <w:tr w14:paraId="0D1283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0100762E">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vAlign w:val="center"/>
          </w:tcPr>
          <w:p w14:paraId="59A8288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vAlign w:val="center"/>
          </w:tcPr>
          <w:p w14:paraId="6C8D747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为留置工作提供保障</w:t>
            </w:r>
          </w:p>
        </w:tc>
        <w:tc>
          <w:tcPr>
            <w:tcW w:w="3402" w:type="dxa"/>
            <w:vAlign w:val="center"/>
          </w:tcPr>
          <w:p w14:paraId="42907C1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通过项目实施为留置工作提供保障</w:t>
            </w:r>
          </w:p>
        </w:tc>
        <w:tc>
          <w:tcPr>
            <w:tcW w:w="1843" w:type="dxa"/>
            <w:vAlign w:val="center"/>
          </w:tcPr>
          <w:p w14:paraId="7042207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提供保障</w:t>
            </w:r>
          </w:p>
        </w:tc>
        <w:tc>
          <w:tcPr>
            <w:tcW w:w="2155" w:type="dxa"/>
            <w:vAlign w:val="center"/>
          </w:tcPr>
          <w:p w14:paraId="77BD1EA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16105A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29CB6CC8"/>
        </w:tc>
        <w:tc>
          <w:tcPr>
            <w:tcW w:w="2268" w:type="dxa"/>
            <w:vAlign w:val="center"/>
          </w:tcPr>
          <w:p w14:paraId="4D360E3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可持续影像指标</w:t>
            </w:r>
          </w:p>
        </w:tc>
        <w:tc>
          <w:tcPr>
            <w:tcW w:w="1985" w:type="dxa"/>
            <w:vAlign w:val="center"/>
          </w:tcPr>
          <w:p w14:paraId="06D965F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项目可持续期</w:t>
            </w:r>
          </w:p>
        </w:tc>
        <w:tc>
          <w:tcPr>
            <w:tcW w:w="3402" w:type="dxa"/>
            <w:vAlign w:val="center"/>
          </w:tcPr>
          <w:p w14:paraId="0580C50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本项目持续年限</w:t>
            </w:r>
          </w:p>
        </w:tc>
        <w:tc>
          <w:tcPr>
            <w:tcW w:w="1843" w:type="dxa"/>
            <w:vAlign w:val="center"/>
          </w:tcPr>
          <w:p w14:paraId="7E76BB3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1年</w:t>
            </w:r>
          </w:p>
        </w:tc>
        <w:tc>
          <w:tcPr>
            <w:tcW w:w="2155" w:type="dxa"/>
            <w:vAlign w:val="center"/>
          </w:tcPr>
          <w:p w14:paraId="4E995B4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1D73A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68A1B2AC">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vAlign w:val="center"/>
          </w:tcPr>
          <w:p w14:paraId="2B38320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w:t>
            </w:r>
          </w:p>
        </w:tc>
        <w:tc>
          <w:tcPr>
            <w:tcW w:w="1985" w:type="dxa"/>
            <w:vAlign w:val="center"/>
          </w:tcPr>
          <w:p w14:paraId="4DB29E5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驻点单位满意度</w:t>
            </w:r>
          </w:p>
        </w:tc>
        <w:tc>
          <w:tcPr>
            <w:tcW w:w="3402" w:type="dxa"/>
            <w:vAlign w:val="center"/>
          </w:tcPr>
          <w:p w14:paraId="7355C35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驻点单位工作人员对留置保障工作的满意度</w:t>
            </w:r>
          </w:p>
        </w:tc>
        <w:tc>
          <w:tcPr>
            <w:tcW w:w="1843" w:type="dxa"/>
            <w:vAlign w:val="center"/>
          </w:tcPr>
          <w:p w14:paraId="70CAE70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&gt;=95%</w:t>
            </w:r>
          </w:p>
        </w:tc>
        <w:tc>
          <w:tcPr>
            <w:tcW w:w="2155" w:type="dxa"/>
            <w:vAlign w:val="center"/>
          </w:tcPr>
          <w:p w14:paraId="5833B65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bl>
    <w:p w14:paraId="37BC3A14">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5.特殊通道土地租赁经费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p w14:paraId="564D0FCA">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3040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0E100FF4">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vAlign w:val="center"/>
          </w:tcPr>
          <w:p w14:paraId="24D726B6">
            <w:pPr>
              <w:spacing w:line="300" w:lineRule="exact"/>
              <w:rPr>
                <w:rFonts w:ascii="Times New Roman" w:hAnsi="Times New Roman" w:eastAsia="仿宋_GB2312" w:cs="Times New Roman"/>
              </w:rPr>
            </w:pPr>
            <w:r>
              <w:rPr>
                <w:rFonts w:hint="eastAsia" w:ascii="Times New Roman" w:hAnsi="Times New Roman" w:eastAsia="仿宋_GB2312" w:cs="Times New Roman"/>
              </w:rPr>
              <w:t>通过本项目实施保障特殊通道顺畅，满足办案安全需求。</w:t>
            </w:r>
          </w:p>
        </w:tc>
      </w:tr>
      <w:tr w14:paraId="5931C1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35176FB6">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vAlign w:val="center"/>
          </w:tcPr>
          <w:p w14:paraId="0069649C">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vAlign w:val="center"/>
          </w:tcPr>
          <w:p w14:paraId="5829746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vAlign w:val="center"/>
          </w:tcPr>
          <w:p w14:paraId="6273DDC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vAlign w:val="center"/>
          </w:tcPr>
          <w:p w14:paraId="6E789550">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vAlign w:val="center"/>
          </w:tcPr>
          <w:p w14:paraId="73B1D239">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651AC6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7638AFE4">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vAlign w:val="center"/>
          </w:tcPr>
          <w:p w14:paraId="5E0F870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vAlign w:val="center"/>
          </w:tcPr>
          <w:p w14:paraId="2716E8C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占地数量</w:t>
            </w:r>
          </w:p>
        </w:tc>
        <w:tc>
          <w:tcPr>
            <w:tcW w:w="3402" w:type="dxa"/>
            <w:vAlign w:val="center"/>
          </w:tcPr>
          <w:p w14:paraId="3244C79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特殊通道占村街土地数</w:t>
            </w:r>
          </w:p>
        </w:tc>
        <w:tc>
          <w:tcPr>
            <w:tcW w:w="1843" w:type="dxa"/>
            <w:vAlign w:val="center"/>
          </w:tcPr>
          <w:p w14:paraId="41FE637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&gt;=1.25亩</w:t>
            </w:r>
          </w:p>
        </w:tc>
        <w:tc>
          <w:tcPr>
            <w:tcW w:w="2155" w:type="dxa"/>
            <w:vAlign w:val="center"/>
          </w:tcPr>
          <w:p w14:paraId="1A28842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75E48B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0ABB94E4"/>
        </w:tc>
        <w:tc>
          <w:tcPr>
            <w:tcW w:w="2268" w:type="dxa"/>
            <w:vAlign w:val="center"/>
          </w:tcPr>
          <w:p w14:paraId="102A6F5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vAlign w:val="center"/>
          </w:tcPr>
          <w:p w14:paraId="0F60526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上访率</w:t>
            </w:r>
          </w:p>
        </w:tc>
        <w:tc>
          <w:tcPr>
            <w:tcW w:w="3402" w:type="dxa"/>
            <w:vAlign w:val="center"/>
          </w:tcPr>
          <w:p w14:paraId="1E8F66C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因特殊通道占地而产生的村民上访率</w:t>
            </w:r>
          </w:p>
        </w:tc>
        <w:tc>
          <w:tcPr>
            <w:tcW w:w="1843" w:type="dxa"/>
            <w:vAlign w:val="center"/>
          </w:tcPr>
          <w:p w14:paraId="41D3AF9C">
            <w:pPr>
              <w:rPr>
                <w:rFonts w:ascii="Times New Roman" w:hAnsi="Times New Roman" w:eastAsia="仿宋_GB2312" w:cs="Times New Roman"/>
              </w:rPr>
            </w:pPr>
            <w:r>
              <w:rPr>
                <w:rFonts w:hint="eastAsia" w:ascii="Times New Roman" w:hAnsi="Times New Roman" w:eastAsia="仿宋_GB2312" w:cs="Times New Roman"/>
              </w:rPr>
              <w:t>=0%</w:t>
            </w:r>
          </w:p>
        </w:tc>
        <w:tc>
          <w:tcPr>
            <w:tcW w:w="2155" w:type="dxa"/>
            <w:vAlign w:val="center"/>
          </w:tcPr>
          <w:p w14:paraId="370718F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14D7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69DF4536"/>
        </w:tc>
        <w:tc>
          <w:tcPr>
            <w:tcW w:w="2268" w:type="dxa"/>
            <w:vAlign w:val="center"/>
          </w:tcPr>
          <w:p w14:paraId="3E57C14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vAlign w:val="center"/>
          </w:tcPr>
          <w:p w14:paraId="3EDCCE3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土地租赁及时性</w:t>
            </w:r>
          </w:p>
        </w:tc>
        <w:tc>
          <w:tcPr>
            <w:tcW w:w="3402" w:type="dxa"/>
            <w:vAlign w:val="center"/>
          </w:tcPr>
          <w:p w14:paraId="0683D35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土地租赁时间</w:t>
            </w:r>
          </w:p>
        </w:tc>
        <w:tc>
          <w:tcPr>
            <w:tcW w:w="1843" w:type="dxa"/>
            <w:vAlign w:val="center"/>
          </w:tcPr>
          <w:p w14:paraId="36F79E8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vAlign w:val="center"/>
          </w:tcPr>
          <w:p w14:paraId="5E5CEAB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16173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751B0316"/>
        </w:tc>
        <w:tc>
          <w:tcPr>
            <w:tcW w:w="2268" w:type="dxa"/>
            <w:vAlign w:val="center"/>
          </w:tcPr>
          <w:p w14:paraId="759A9D5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vAlign w:val="center"/>
          </w:tcPr>
          <w:p w14:paraId="7EDE73D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控制成本率</w:t>
            </w:r>
          </w:p>
        </w:tc>
        <w:tc>
          <w:tcPr>
            <w:tcW w:w="3402" w:type="dxa"/>
            <w:vAlign w:val="center"/>
          </w:tcPr>
          <w:p w14:paraId="56C834C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租赁一年所需成本</w:t>
            </w:r>
          </w:p>
        </w:tc>
        <w:tc>
          <w:tcPr>
            <w:tcW w:w="1843" w:type="dxa"/>
            <w:vAlign w:val="center"/>
          </w:tcPr>
          <w:p w14:paraId="1D6400CC">
            <w:pPr>
              <w:rPr>
                <w:rFonts w:ascii="Times New Roman" w:hAnsi="Times New Roman" w:eastAsia="仿宋_GB2312" w:cs="Times New Roman"/>
              </w:rPr>
            </w:pPr>
            <w:r>
              <w:rPr>
                <w:rFonts w:hint="eastAsia" w:ascii="Times New Roman" w:hAnsi="Times New Roman" w:eastAsia="仿宋_GB2312" w:cs="Times New Roman"/>
              </w:rPr>
              <w:t>&lt;=1万元</w:t>
            </w:r>
          </w:p>
        </w:tc>
        <w:tc>
          <w:tcPr>
            <w:tcW w:w="2155" w:type="dxa"/>
            <w:vAlign w:val="center"/>
          </w:tcPr>
          <w:p w14:paraId="4AD3268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按协议约需</w:t>
            </w:r>
          </w:p>
        </w:tc>
      </w:tr>
      <w:tr w14:paraId="03B7B4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50A024FF">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vAlign w:val="center"/>
          </w:tcPr>
          <w:p w14:paraId="2FA9A6B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vAlign w:val="center"/>
          </w:tcPr>
          <w:p w14:paraId="410403C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为留置工作提供保障</w:t>
            </w:r>
          </w:p>
        </w:tc>
        <w:tc>
          <w:tcPr>
            <w:tcW w:w="3402" w:type="dxa"/>
            <w:vAlign w:val="center"/>
          </w:tcPr>
          <w:p w14:paraId="0865BA8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通过项目实施为留置工作特殊通道安全提供保障</w:t>
            </w:r>
          </w:p>
        </w:tc>
        <w:tc>
          <w:tcPr>
            <w:tcW w:w="1843" w:type="dxa"/>
            <w:vAlign w:val="center"/>
          </w:tcPr>
          <w:p w14:paraId="2FF8C89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提供保障</w:t>
            </w:r>
          </w:p>
        </w:tc>
        <w:tc>
          <w:tcPr>
            <w:tcW w:w="2155" w:type="dxa"/>
            <w:vAlign w:val="center"/>
          </w:tcPr>
          <w:p w14:paraId="43BC17B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3005AA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5E789328"/>
        </w:tc>
        <w:tc>
          <w:tcPr>
            <w:tcW w:w="2268" w:type="dxa"/>
            <w:vAlign w:val="center"/>
          </w:tcPr>
          <w:p w14:paraId="06A95AA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可持续影像指标</w:t>
            </w:r>
          </w:p>
        </w:tc>
        <w:tc>
          <w:tcPr>
            <w:tcW w:w="1985" w:type="dxa"/>
            <w:vAlign w:val="center"/>
          </w:tcPr>
          <w:p w14:paraId="211C23F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项目可持续期</w:t>
            </w:r>
          </w:p>
        </w:tc>
        <w:tc>
          <w:tcPr>
            <w:tcW w:w="3402" w:type="dxa"/>
            <w:vAlign w:val="center"/>
          </w:tcPr>
          <w:p w14:paraId="20FC368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本项目持续年限</w:t>
            </w:r>
          </w:p>
        </w:tc>
        <w:tc>
          <w:tcPr>
            <w:tcW w:w="1843" w:type="dxa"/>
            <w:vAlign w:val="center"/>
          </w:tcPr>
          <w:p w14:paraId="03598D0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长期</w:t>
            </w:r>
          </w:p>
        </w:tc>
        <w:tc>
          <w:tcPr>
            <w:tcW w:w="2155" w:type="dxa"/>
            <w:vAlign w:val="center"/>
          </w:tcPr>
          <w:p w14:paraId="4556F91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486EBF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4F27229B">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vAlign w:val="center"/>
          </w:tcPr>
          <w:p w14:paraId="29AF90A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w:t>
            </w:r>
          </w:p>
        </w:tc>
        <w:tc>
          <w:tcPr>
            <w:tcW w:w="1985" w:type="dxa"/>
            <w:vAlign w:val="center"/>
          </w:tcPr>
          <w:p w14:paraId="36AE6E3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驻点单位满意度</w:t>
            </w:r>
          </w:p>
        </w:tc>
        <w:tc>
          <w:tcPr>
            <w:tcW w:w="3402" w:type="dxa"/>
            <w:vAlign w:val="center"/>
          </w:tcPr>
          <w:p w14:paraId="40CEED8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专案组对留置通道满意度</w:t>
            </w:r>
          </w:p>
        </w:tc>
        <w:tc>
          <w:tcPr>
            <w:tcW w:w="1843" w:type="dxa"/>
            <w:vAlign w:val="center"/>
          </w:tcPr>
          <w:p w14:paraId="79E438B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vAlign w:val="center"/>
          </w:tcPr>
          <w:p w14:paraId="2525634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bl>
    <w:p w14:paraId="4DAB0340">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6.中心维修改造经费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p w14:paraId="5117B51D">
      <w:pPr>
        <w:spacing w:line="14" w:lineRule="exact"/>
        <w:ind w:firstLine="420" w:firstLineChars="200"/>
        <w:jc w:val="center"/>
        <w:rPr>
          <w:rFonts w:ascii="Times New Roman" w:hAnsi="Times New Roman" w:eastAsia="仿宋_GB2312" w:cs="Times New Roman"/>
        </w:rPr>
      </w:pPr>
    </w:p>
    <w:tbl>
      <w:tblPr>
        <w:tblStyle w:val="8"/>
        <w:tblpPr w:leftFromText="180" w:rightFromText="180" w:vertAnchor="text" w:horzAnchor="page" w:tblpX="1568" w:tblpY="59"/>
        <w:tblOverlap w:val="never"/>
        <w:tblW w:w="1406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0CA67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trPr>
        <w:tc>
          <w:tcPr>
            <w:tcW w:w="2409" w:type="dxa"/>
            <w:vAlign w:val="center"/>
          </w:tcPr>
          <w:p w14:paraId="555C1D0E">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vAlign w:val="center"/>
          </w:tcPr>
          <w:p w14:paraId="2829D57E">
            <w:pPr>
              <w:spacing w:line="300" w:lineRule="exact"/>
              <w:rPr>
                <w:rFonts w:ascii="Times New Roman" w:hAnsi="Times New Roman" w:eastAsia="仿宋_GB2312" w:cs="Times New Roman"/>
              </w:rPr>
            </w:pPr>
            <w:r>
              <w:rPr>
                <w:rFonts w:hint="eastAsia" w:ascii="Times New Roman" w:hAnsi="Times New Roman" w:eastAsia="仿宋_GB2312" w:cs="Times New Roman"/>
              </w:rPr>
              <w:t>通过项目的开展实现充分保障中心设备设施正常运转，保障中省市纪委留置办案工作顺利完成。</w:t>
            </w:r>
          </w:p>
        </w:tc>
      </w:tr>
      <w:tr w14:paraId="68FD8C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trPr>
        <w:tc>
          <w:tcPr>
            <w:tcW w:w="2409" w:type="dxa"/>
            <w:vAlign w:val="center"/>
          </w:tcPr>
          <w:p w14:paraId="6630F6E9">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vAlign w:val="center"/>
          </w:tcPr>
          <w:p w14:paraId="4C254B9C">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vAlign w:val="center"/>
          </w:tcPr>
          <w:p w14:paraId="31768F91">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vAlign w:val="center"/>
          </w:tcPr>
          <w:p w14:paraId="580AE724">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vAlign w:val="center"/>
          </w:tcPr>
          <w:p w14:paraId="7D70D9DF">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vAlign w:val="center"/>
          </w:tcPr>
          <w:p w14:paraId="2829431D">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1DB27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restart"/>
            <w:vAlign w:val="center"/>
          </w:tcPr>
          <w:p w14:paraId="29B0C03B">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vAlign w:val="center"/>
          </w:tcPr>
          <w:p w14:paraId="2C301E0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vAlign w:val="center"/>
          </w:tcPr>
          <w:p w14:paraId="75B1AFD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保障区域</w:t>
            </w:r>
          </w:p>
        </w:tc>
        <w:tc>
          <w:tcPr>
            <w:tcW w:w="3402" w:type="dxa"/>
            <w:vAlign w:val="center"/>
          </w:tcPr>
          <w:p w14:paraId="0CA14D8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日常运转保障的建筑面积</w:t>
            </w:r>
          </w:p>
        </w:tc>
        <w:tc>
          <w:tcPr>
            <w:tcW w:w="1843" w:type="dxa"/>
            <w:vAlign w:val="center"/>
          </w:tcPr>
          <w:p w14:paraId="189E74A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860平米</w:t>
            </w:r>
          </w:p>
        </w:tc>
        <w:tc>
          <w:tcPr>
            <w:tcW w:w="2155" w:type="dxa"/>
            <w:vAlign w:val="center"/>
          </w:tcPr>
          <w:p w14:paraId="155BC6B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房本</w:t>
            </w:r>
          </w:p>
        </w:tc>
      </w:tr>
      <w:tr w14:paraId="0E18CC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continue"/>
            <w:vAlign w:val="center"/>
          </w:tcPr>
          <w:p w14:paraId="58413E3B"/>
        </w:tc>
        <w:tc>
          <w:tcPr>
            <w:tcW w:w="2268" w:type="dxa"/>
            <w:vAlign w:val="center"/>
          </w:tcPr>
          <w:p w14:paraId="7B5C708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vAlign w:val="center"/>
          </w:tcPr>
          <w:p w14:paraId="6E41320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工程质量合格率</w:t>
            </w:r>
          </w:p>
        </w:tc>
        <w:tc>
          <w:tcPr>
            <w:tcW w:w="3402" w:type="dxa"/>
            <w:vAlign w:val="center"/>
          </w:tcPr>
          <w:p w14:paraId="5C06CC1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一次性验收合格率</w:t>
            </w:r>
          </w:p>
        </w:tc>
        <w:tc>
          <w:tcPr>
            <w:tcW w:w="1843" w:type="dxa"/>
            <w:vAlign w:val="center"/>
          </w:tcPr>
          <w:p w14:paraId="6D1EB796">
            <w:pPr>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vAlign w:val="center"/>
          </w:tcPr>
          <w:p w14:paraId="1473698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34064E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continue"/>
            <w:vAlign w:val="center"/>
          </w:tcPr>
          <w:p w14:paraId="326766F7"/>
        </w:tc>
        <w:tc>
          <w:tcPr>
            <w:tcW w:w="2268" w:type="dxa"/>
            <w:vAlign w:val="center"/>
          </w:tcPr>
          <w:p w14:paraId="58D3EF7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vAlign w:val="center"/>
          </w:tcPr>
          <w:p w14:paraId="3C9FE1E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完成时间</w:t>
            </w:r>
          </w:p>
        </w:tc>
        <w:tc>
          <w:tcPr>
            <w:tcW w:w="3402" w:type="dxa"/>
            <w:vAlign w:val="center"/>
          </w:tcPr>
          <w:p w14:paraId="237A06F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施工是否按期完成</w:t>
            </w:r>
          </w:p>
        </w:tc>
        <w:tc>
          <w:tcPr>
            <w:tcW w:w="1843" w:type="dxa"/>
            <w:vAlign w:val="center"/>
          </w:tcPr>
          <w:p w14:paraId="227AF0A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2021年6月</w:t>
            </w:r>
          </w:p>
        </w:tc>
        <w:tc>
          <w:tcPr>
            <w:tcW w:w="2155" w:type="dxa"/>
            <w:vAlign w:val="center"/>
          </w:tcPr>
          <w:p w14:paraId="1BEF729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7B211E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continue"/>
            <w:vAlign w:val="center"/>
          </w:tcPr>
          <w:p w14:paraId="6A2C20D2"/>
        </w:tc>
        <w:tc>
          <w:tcPr>
            <w:tcW w:w="2268" w:type="dxa"/>
            <w:vAlign w:val="center"/>
          </w:tcPr>
          <w:p w14:paraId="16EE721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vAlign w:val="center"/>
          </w:tcPr>
          <w:p w14:paraId="244E58A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资金成本</w:t>
            </w:r>
          </w:p>
        </w:tc>
        <w:tc>
          <w:tcPr>
            <w:tcW w:w="3402" w:type="dxa"/>
            <w:vAlign w:val="center"/>
          </w:tcPr>
          <w:p w14:paraId="5597541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成本控制率</w:t>
            </w:r>
          </w:p>
        </w:tc>
        <w:tc>
          <w:tcPr>
            <w:tcW w:w="1843" w:type="dxa"/>
            <w:vAlign w:val="center"/>
          </w:tcPr>
          <w:p w14:paraId="36FD8AF8">
            <w:pPr>
              <w:rPr>
                <w:rFonts w:ascii="Times New Roman" w:hAnsi="Times New Roman" w:eastAsia="仿宋_GB2312" w:cs="Times New Roman"/>
              </w:rPr>
            </w:pPr>
            <w:r>
              <w:rPr>
                <w:rFonts w:hint="eastAsia" w:ascii="Times New Roman" w:hAnsi="Times New Roman" w:eastAsia="仿宋_GB2312" w:cs="Times New Roman"/>
              </w:rPr>
              <w:t>&lt;0.08万元/天</w:t>
            </w:r>
          </w:p>
        </w:tc>
        <w:tc>
          <w:tcPr>
            <w:tcW w:w="2155" w:type="dxa"/>
            <w:vAlign w:val="center"/>
          </w:tcPr>
          <w:p w14:paraId="6AAFC4C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按支出情况约需</w:t>
            </w:r>
          </w:p>
        </w:tc>
      </w:tr>
      <w:tr w14:paraId="5951D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restart"/>
            <w:vAlign w:val="center"/>
          </w:tcPr>
          <w:p w14:paraId="4DEE8EB5">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vAlign w:val="center"/>
          </w:tcPr>
          <w:p w14:paraId="2CC1073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vAlign w:val="center"/>
          </w:tcPr>
          <w:p w14:paraId="2ACC950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改善办案安全状况及生活工作环境</w:t>
            </w:r>
          </w:p>
        </w:tc>
        <w:tc>
          <w:tcPr>
            <w:tcW w:w="3402" w:type="dxa"/>
            <w:vAlign w:val="center"/>
          </w:tcPr>
          <w:p w14:paraId="2FB40A1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满足办案安全及办案人员生活环境需求</w:t>
            </w:r>
          </w:p>
        </w:tc>
        <w:tc>
          <w:tcPr>
            <w:tcW w:w="1843" w:type="dxa"/>
            <w:vAlign w:val="center"/>
          </w:tcPr>
          <w:p w14:paraId="622CC90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满足需求</w:t>
            </w:r>
          </w:p>
        </w:tc>
        <w:tc>
          <w:tcPr>
            <w:tcW w:w="2155" w:type="dxa"/>
            <w:vAlign w:val="center"/>
          </w:tcPr>
          <w:p w14:paraId="2D79EBF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5098C1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continue"/>
            <w:vAlign w:val="center"/>
          </w:tcPr>
          <w:p w14:paraId="23851A6F"/>
        </w:tc>
        <w:tc>
          <w:tcPr>
            <w:tcW w:w="2268" w:type="dxa"/>
            <w:vAlign w:val="center"/>
          </w:tcPr>
          <w:p w14:paraId="3FABF63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可持续影像指标</w:t>
            </w:r>
          </w:p>
        </w:tc>
        <w:tc>
          <w:tcPr>
            <w:tcW w:w="1985" w:type="dxa"/>
            <w:vAlign w:val="center"/>
          </w:tcPr>
          <w:p w14:paraId="25E78DD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项目可持续期</w:t>
            </w:r>
          </w:p>
        </w:tc>
        <w:tc>
          <w:tcPr>
            <w:tcW w:w="3402" w:type="dxa"/>
            <w:vAlign w:val="center"/>
          </w:tcPr>
          <w:p w14:paraId="3B948AB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本项目持续年限</w:t>
            </w:r>
          </w:p>
        </w:tc>
        <w:tc>
          <w:tcPr>
            <w:tcW w:w="1843" w:type="dxa"/>
            <w:vAlign w:val="center"/>
          </w:tcPr>
          <w:p w14:paraId="0C59F4B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长期使用</w:t>
            </w:r>
          </w:p>
        </w:tc>
        <w:tc>
          <w:tcPr>
            <w:tcW w:w="2155" w:type="dxa"/>
            <w:vAlign w:val="center"/>
          </w:tcPr>
          <w:p w14:paraId="6B2589A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r w14:paraId="2F0950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Align w:val="center"/>
          </w:tcPr>
          <w:p w14:paraId="2F0F3CD9">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vAlign w:val="center"/>
          </w:tcPr>
          <w:p w14:paraId="2F698DE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w:t>
            </w:r>
          </w:p>
        </w:tc>
        <w:tc>
          <w:tcPr>
            <w:tcW w:w="1985" w:type="dxa"/>
            <w:vAlign w:val="center"/>
          </w:tcPr>
          <w:p w14:paraId="023632F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驻中心人员满意度</w:t>
            </w:r>
          </w:p>
        </w:tc>
        <w:tc>
          <w:tcPr>
            <w:tcW w:w="3402" w:type="dxa"/>
            <w:vAlign w:val="center"/>
          </w:tcPr>
          <w:p w14:paraId="29EF9EE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驻中心人员满意度</w:t>
            </w:r>
          </w:p>
        </w:tc>
        <w:tc>
          <w:tcPr>
            <w:tcW w:w="1843" w:type="dxa"/>
            <w:vAlign w:val="center"/>
          </w:tcPr>
          <w:p w14:paraId="58447D5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&gt;=95%</w:t>
            </w:r>
          </w:p>
        </w:tc>
        <w:tc>
          <w:tcPr>
            <w:tcW w:w="2155" w:type="dxa"/>
            <w:vAlign w:val="center"/>
          </w:tcPr>
          <w:p w14:paraId="3D6ABF3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w:t>
            </w:r>
          </w:p>
        </w:tc>
      </w:tr>
    </w:tbl>
    <w:p w14:paraId="32417469">
      <w:pPr>
        <w:autoSpaceDE w:val="0"/>
        <w:autoSpaceDN w:val="0"/>
        <w:adjustRightInd w:val="0"/>
        <w:spacing w:line="584" w:lineRule="exact"/>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60258526">
      <w:pPr>
        <w:spacing w:line="584"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w:t>
      </w:r>
      <w:r>
        <w:rPr>
          <w:rFonts w:hint="eastAsia" w:ascii="Times New Roman" w:hAnsi="Times New Roman" w:eastAsia="仿宋_GB2312" w:cs="Times New Roman"/>
          <w:sz w:val="32"/>
          <w:szCs w:val="32"/>
        </w:rPr>
        <w:t>廊坊市纪委旧州管理中心</w:t>
      </w:r>
      <w:r>
        <w:rPr>
          <w:rFonts w:ascii="Times New Roman" w:hAnsi="Times New Roman" w:eastAsia="仿宋_GB2312" w:cs="Times New Roman"/>
          <w:sz w:val="32"/>
          <w:szCs w:val="24"/>
        </w:rPr>
        <w:t>安排政府采购预算</w:t>
      </w:r>
      <w:r>
        <w:rPr>
          <w:rFonts w:hint="eastAsia" w:ascii="Times New Roman" w:hAnsi="Times New Roman" w:eastAsia="仿宋_GB2312" w:cs="Times New Roman"/>
          <w:sz w:val="32"/>
          <w:szCs w:val="24"/>
        </w:rPr>
        <w:t>416.88</w:t>
      </w:r>
      <w:r>
        <w:rPr>
          <w:rFonts w:ascii="Times New Roman" w:hAnsi="Times New Roman" w:eastAsia="仿宋_GB2312" w:cs="Times New Roman"/>
          <w:sz w:val="32"/>
          <w:szCs w:val="24"/>
        </w:rPr>
        <w:t>万元。具体内容见下表。</w:t>
      </w:r>
    </w:p>
    <w:bookmarkEnd w:id="1"/>
    <w:p w14:paraId="7EDC91FC">
      <w:pPr>
        <w:spacing w:line="584" w:lineRule="exact"/>
        <w:jc w:val="left"/>
        <w:outlineLvl w:val="0"/>
        <w:rPr>
          <w:rFonts w:ascii="Times New Roman" w:hAnsi="Times New Roman" w:eastAsia="仿宋_GB2312" w:cs="Times New Roman"/>
        </w:rPr>
      </w:pPr>
    </w:p>
    <w:p w14:paraId="4B078A06">
      <w:pPr>
        <w:jc w:val="center"/>
        <w:outlineLvl w:val="1"/>
        <w:rPr>
          <w:rFonts w:ascii="Times New Roman" w:hAnsi="Times New Roman" w:cs="Times New Roman"/>
          <w:sz w:val="32"/>
        </w:rPr>
      </w:pPr>
      <w:bookmarkStart w:id="2" w:name="_Toc64920910"/>
      <w:r>
        <w:rPr>
          <w:rFonts w:hint="eastAsia" w:ascii="方正小标宋_GBK" w:eastAsia="方正小标宋_GBK" w:cs="Times New Roman"/>
          <w:sz w:val="32"/>
        </w:rPr>
        <w:t>单位政府采购预算</w:t>
      </w:r>
      <w:bookmarkEnd w:id="2"/>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782"/>
        <w:gridCol w:w="1032"/>
        <w:gridCol w:w="1134"/>
        <w:gridCol w:w="1134"/>
        <w:gridCol w:w="1134"/>
        <w:gridCol w:w="1134"/>
        <w:gridCol w:w="1134"/>
        <w:gridCol w:w="1134"/>
      </w:tblGrid>
      <w:tr w14:paraId="5E3BA1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vAlign w:val="center"/>
          </w:tcPr>
          <w:p w14:paraId="4AD7FD87">
            <w:pPr>
              <w:spacing w:line="300" w:lineRule="exact"/>
              <w:jc w:val="left"/>
              <w:rPr>
                <w:rFonts w:ascii="方正小标宋_GBK" w:eastAsia="方正小标宋_GBK" w:cs="Times New Roman"/>
                <w:sz w:val="24"/>
              </w:rPr>
            </w:pPr>
            <w:r>
              <w:rPr>
                <w:rFonts w:hint="eastAsia" w:ascii="方正小标宋_GBK" w:eastAsia="方正小标宋_GBK"/>
                <w:sz w:val="24"/>
              </w:rPr>
              <w:t>廊坊市纪委旧州管理中心</w:t>
            </w:r>
          </w:p>
        </w:tc>
        <w:tc>
          <w:tcPr>
            <w:tcW w:w="6804" w:type="dxa"/>
            <w:gridSpan w:val="6"/>
            <w:tcBorders>
              <w:top w:val="single" w:color="FFFFFF" w:sz="6" w:space="0"/>
              <w:left w:val="single" w:color="FFFFFF" w:sz="6" w:space="0"/>
              <w:right w:val="single" w:color="FFFFFF" w:sz="6" w:space="0"/>
            </w:tcBorders>
            <w:vAlign w:val="center"/>
          </w:tcPr>
          <w:p w14:paraId="09194B20">
            <w:pPr>
              <w:spacing w:line="300" w:lineRule="exact"/>
              <w:jc w:val="right"/>
              <w:rPr>
                <w:rFonts w:ascii="方正书宋_GBK" w:eastAsia="方正书宋_GBK" w:cs="Times New Roman"/>
                <w:sz w:val="24"/>
              </w:rPr>
            </w:pPr>
            <w:r>
              <w:rPr>
                <w:rFonts w:ascii="方正书宋_GBK" w:eastAsia="方正书宋_GBK" w:cs="Times New Roman"/>
                <w:sz w:val="24"/>
              </w:rPr>
              <w:t>单位：万元</w:t>
            </w:r>
          </w:p>
        </w:tc>
      </w:tr>
      <w:tr w14:paraId="140EE3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vAlign w:val="center"/>
          </w:tcPr>
          <w:p w14:paraId="737D9C17">
            <w:pPr>
              <w:spacing w:line="300" w:lineRule="exact"/>
              <w:jc w:val="center"/>
              <w:rPr>
                <w:rFonts w:ascii="方正书宋_GBK" w:eastAsia="方正书宋_GBK" w:cs="Times New Roman"/>
                <w:b/>
              </w:rPr>
            </w:pPr>
            <w:r>
              <w:rPr>
                <w:rFonts w:ascii="方正书宋_GBK" w:eastAsia="方正书宋_GBK" w:cs="Times New Roman"/>
                <w:b/>
              </w:rPr>
              <w:t>政府采购项目来源</w:t>
            </w:r>
          </w:p>
        </w:tc>
        <w:tc>
          <w:tcPr>
            <w:tcW w:w="1531" w:type="dxa"/>
            <w:vMerge w:val="restart"/>
            <w:vAlign w:val="center"/>
          </w:tcPr>
          <w:p w14:paraId="38FF18C8">
            <w:pPr>
              <w:spacing w:line="300" w:lineRule="exact"/>
              <w:jc w:val="center"/>
              <w:rPr>
                <w:rFonts w:ascii="方正书宋_GBK" w:eastAsia="方正书宋_GBK" w:cs="Times New Roman"/>
                <w:b/>
              </w:rPr>
            </w:pPr>
            <w:r>
              <w:rPr>
                <w:rFonts w:ascii="方正书宋_GBK" w:eastAsia="方正书宋_GBK" w:cs="Times New Roman"/>
                <w:b/>
              </w:rPr>
              <w:t>采购物品名称</w:t>
            </w:r>
          </w:p>
        </w:tc>
        <w:tc>
          <w:tcPr>
            <w:tcW w:w="1531" w:type="dxa"/>
            <w:vMerge w:val="restart"/>
            <w:vAlign w:val="center"/>
          </w:tcPr>
          <w:p w14:paraId="6AF77CDC">
            <w:pPr>
              <w:spacing w:line="300" w:lineRule="exact"/>
              <w:jc w:val="center"/>
              <w:rPr>
                <w:rFonts w:ascii="方正书宋_GBK" w:eastAsia="方正书宋_GBK" w:cs="Times New Roman"/>
                <w:b/>
              </w:rPr>
            </w:pPr>
            <w:r>
              <w:rPr>
                <w:rFonts w:ascii="方正书宋_GBK" w:eastAsia="方正书宋_GBK" w:cs="Times New Roman"/>
                <w:b/>
              </w:rPr>
              <w:t>政府采购目录序号</w:t>
            </w:r>
          </w:p>
        </w:tc>
        <w:tc>
          <w:tcPr>
            <w:tcW w:w="709" w:type="dxa"/>
            <w:vMerge w:val="restart"/>
            <w:vAlign w:val="center"/>
          </w:tcPr>
          <w:p w14:paraId="7E226B99">
            <w:pPr>
              <w:spacing w:line="300" w:lineRule="exact"/>
              <w:jc w:val="center"/>
              <w:rPr>
                <w:rFonts w:ascii="方正书宋_GBK" w:eastAsia="方正书宋_GBK" w:cs="Times New Roman"/>
                <w:b/>
              </w:rPr>
            </w:pPr>
            <w:r>
              <w:rPr>
                <w:rFonts w:ascii="方正书宋_GBK" w:eastAsia="方正书宋_GBK" w:cs="Times New Roman"/>
                <w:b/>
              </w:rPr>
              <w:t>计量  单位</w:t>
            </w:r>
          </w:p>
        </w:tc>
        <w:tc>
          <w:tcPr>
            <w:tcW w:w="782" w:type="dxa"/>
            <w:vMerge w:val="restart"/>
            <w:vAlign w:val="center"/>
          </w:tcPr>
          <w:p w14:paraId="649ABBB4">
            <w:pPr>
              <w:spacing w:line="300" w:lineRule="exact"/>
              <w:jc w:val="center"/>
              <w:rPr>
                <w:rFonts w:ascii="方正书宋_GBK" w:eastAsia="方正书宋_GBK" w:cs="Times New Roman"/>
                <w:b/>
              </w:rPr>
            </w:pPr>
            <w:r>
              <w:rPr>
                <w:rFonts w:ascii="方正书宋_GBK" w:eastAsia="方正书宋_GBK" w:cs="Times New Roman"/>
                <w:b/>
              </w:rPr>
              <w:t>数量</w:t>
            </w:r>
          </w:p>
        </w:tc>
        <w:tc>
          <w:tcPr>
            <w:tcW w:w="1032" w:type="dxa"/>
            <w:vMerge w:val="restart"/>
            <w:vAlign w:val="center"/>
          </w:tcPr>
          <w:p w14:paraId="21F45690">
            <w:pPr>
              <w:spacing w:line="300" w:lineRule="exact"/>
              <w:jc w:val="center"/>
              <w:rPr>
                <w:rFonts w:ascii="方正书宋_GBK" w:eastAsia="方正书宋_GBK" w:cs="Times New Roman"/>
                <w:b/>
              </w:rPr>
            </w:pPr>
            <w:r>
              <w:rPr>
                <w:rFonts w:ascii="方正书宋_GBK" w:eastAsia="方正书宋_GBK" w:cs="Times New Roman"/>
                <w:b/>
              </w:rPr>
              <w:t>单价</w:t>
            </w:r>
          </w:p>
        </w:tc>
        <w:tc>
          <w:tcPr>
            <w:tcW w:w="6804" w:type="dxa"/>
            <w:gridSpan w:val="6"/>
            <w:vAlign w:val="center"/>
          </w:tcPr>
          <w:p w14:paraId="78520384">
            <w:pPr>
              <w:spacing w:line="300" w:lineRule="exact"/>
              <w:jc w:val="center"/>
              <w:rPr>
                <w:rFonts w:ascii="方正书宋_GBK" w:eastAsia="方正书宋_GBK" w:cs="Times New Roman"/>
                <w:b/>
              </w:rPr>
            </w:pPr>
            <w:r>
              <w:rPr>
                <w:rFonts w:ascii="方正书宋_GBK" w:eastAsia="方正书宋_GBK" w:cs="Times New Roman"/>
                <w:b/>
              </w:rPr>
              <w:t>政府采购金额（当年部门预算安排资金）</w:t>
            </w:r>
          </w:p>
        </w:tc>
      </w:tr>
      <w:tr w14:paraId="7E2FC9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vAlign w:val="center"/>
          </w:tcPr>
          <w:p w14:paraId="7DCC8C4E">
            <w:pPr>
              <w:spacing w:line="300" w:lineRule="exact"/>
              <w:jc w:val="center"/>
              <w:rPr>
                <w:rFonts w:ascii="方正书宋_GBK" w:eastAsia="方正书宋_GBK" w:cs="Times New Roman"/>
                <w:b/>
              </w:rPr>
            </w:pPr>
            <w:r>
              <w:rPr>
                <w:rFonts w:ascii="方正书宋_GBK" w:eastAsia="方正书宋_GBK" w:cs="Times New Roman"/>
                <w:b/>
              </w:rPr>
              <w:t>项目名称</w:t>
            </w:r>
          </w:p>
        </w:tc>
        <w:tc>
          <w:tcPr>
            <w:tcW w:w="1134" w:type="dxa"/>
            <w:vAlign w:val="center"/>
          </w:tcPr>
          <w:p w14:paraId="29AC9D17">
            <w:pPr>
              <w:spacing w:line="300" w:lineRule="exact"/>
              <w:jc w:val="center"/>
              <w:rPr>
                <w:rFonts w:ascii="方正书宋_GBK" w:eastAsia="方正书宋_GBK" w:cs="Times New Roman"/>
                <w:b/>
              </w:rPr>
            </w:pPr>
            <w:r>
              <w:rPr>
                <w:rFonts w:ascii="方正书宋_GBK" w:eastAsia="方正书宋_GBK" w:cs="Times New Roman"/>
                <w:b/>
              </w:rPr>
              <w:t>预算资金</w:t>
            </w:r>
          </w:p>
        </w:tc>
        <w:tc>
          <w:tcPr>
            <w:tcW w:w="1531" w:type="dxa"/>
            <w:vMerge w:val="continue"/>
            <w:vAlign w:val="center"/>
          </w:tcPr>
          <w:p w14:paraId="6E97E97A"/>
        </w:tc>
        <w:tc>
          <w:tcPr>
            <w:tcW w:w="1531" w:type="dxa"/>
            <w:vMerge w:val="continue"/>
            <w:vAlign w:val="center"/>
          </w:tcPr>
          <w:p w14:paraId="3086B3A9"/>
        </w:tc>
        <w:tc>
          <w:tcPr>
            <w:tcW w:w="709" w:type="dxa"/>
            <w:vMerge w:val="continue"/>
            <w:vAlign w:val="center"/>
          </w:tcPr>
          <w:p w14:paraId="3DB2D1F7"/>
        </w:tc>
        <w:tc>
          <w:tcPr>
            <w:tcW w:w="782" w:type="dxa"/>
            <w:vMerge w:val="continue"/>
            <w:vAlign w:val="center"/>
          </w:tcPr>
          <w:p w14:paraId="2EF3096C"/>
        </w:tc>
        <w:tc>
          <w:tcPr>
            <w:tcW w:w="1032" w:type="dxa"/>
            <w:vMerge w:val="continue"/>
            <w:vAlign w:val="center"/>
          </w:tcPr>
          <w:p w14:paraId="22FA63D8"/>
        </w:tc>
        <w:tc>
          <w:tcPr>
            <w:tcW w:w="1134" w:type="dxa"/>
            <w:vAlign w:val="center"/>
          </w:tcPr>
          <w:p w14:paraId="7884B247">
            <w:pPr>
              <w:spacing w:line="300" w:lineRule="exact"/>
              <w:jc w:val="center"/>
              <w:rPr>
                <w:rFonts w:ascii="方正书宋_GBK" w:eastAsia="方正书宋_GBK" w:cs="Times New Roman"/>
                <w:b/>
              </w:rPr>
            </w:pPr>
            <w:r>
              <w:rPr>
                <w:rFonts w:ascii="方正书宋_GBK" w:eastAsia="方正书宋_GBK" w:cs="Times New Roman"/>
                <w:b/>
              </w:rPr>
              <w:t>合计</w:t>
            </w:r>
          </w:p>
        </w:tc>
        <w:tc>
          <w:tcPr>
            <w:tcW w:w="1134" w:type="dxa"/>
            <w:vAlign w:val="center"/>
          </w:tcPr>
          <w:p w14:paraId="6E77F79A">
            <w:pPr>
              <w:spacing w:line="300" w:lineRule="exact"/>
              <w:jc w:val="center"/>
              <w:rPr>
                <w:rFonts w:ascii="方正书宋_GBK" w:eastAsia="方正书宋_GBK" w:cs="Times New Roman"/>
                <w:b/>
              </w:rPr>
            </w:pPr>
            <w:r>
              <w:rPr>
                <w:rFonts w:ascii="方正书宋_GBK" w:eastAsia="方正书宋_GBK" w:cs="Times New Roman"/>
                <w:b/>
              </w:rPr>
              <w:t>一般公共预算拨款</w:t>
            </w:r>
          </w:p>
        </w:tc>
        <w:tc>
          <w:tcPr>
            <w:tcW w:w="1134" w:type="dxa"/>
            <w:vAlign w:val="center"/>
          </w:tcPr>
          <w:p w14:paraId="19746621">
            <w:pPr>
              <w:spacing w:line="300" w:lineRule="exact"/>
              <w:jc w:val="center"/>
              <w:rPr>
                <w:rFonts w:ascii="方正书宋_GBK" w:eastAsia="方正书宋_GBK" w:cs="Times New Roman"/>
                <w:b/>
              </w:rPr>
            </w:pPr>
            <w:r>
              <w:rPr>
                <w:rFonts w:ascii="方正书宋_GBK" w:eastAsia="方正书宋_GBK" w:cs="Times New Roman"/>
                <w:b/>
              </w:rPr>
              <w:t>基金预算拨款</w:t>
            </w:r>
          </w:p>
        </w:tc>
        <w:tc>
          <w:tcPr>
            <w:tcW w:w="1134" w:type="dxa"/>
            <w:vAlign w:val="center"/>
          </w:tcPr>
          <w:p w14:paraId="2BE3EFA2">
            <w:pPr>
              <w:spacing w:line="300" w:lineRule="exact"/>
              <w:jc w:val="center"/>
              <w:rPr>
                <w:rFonts w:ascii="方正书宋_GBK" w:eastAsia="方正书宋_GBK" w:cs="Times New Roman"/>
                <w:b/>
              </w:rPr>
            </w:pPr>
            <w:r>
              <w:rPr>
                <w:rFonts w:ascii="方正书宋_GBK" w:eastAsia="方正书宋_GBK" w:cs="Times New Roman"/>
                <w:b/>
              </w:rPr>
              <w:t>国有资本经营预算拨款</w:t>
            </w:r>
          </w:p>
        </w:tc>
        <w:tc>
          <w:tcPr>
            <w:tcW w:w="1134" w:type="dxa"/>
            <w:vAlign w:val="center"/>
          </w:tcPr>
          <w:p w14:paraId="66250450">
            <w:pPr>
              <w:spacing w:line="300" w:lineRule="exact"/>
              <w:jc w:val="center"/>
              <w:rPr>
                <w:rFonts w:ascii="方正书宋_GBK" w:eastAsia="方正书宋_GBK" w:cs="Times New Roman"/>
                <w:b/>
              </w:rPr>
            </w:pPr>
            <w:r>
              <w:rPr>
                <w:rFonts w:ascii="方正书宋_GBK" w:eastAsia="方正书宋_GBK" w:cs="Times New Roman"/>
                <w:b/>
              </w:rPr>
              <w:t>财政专户核拨</w:t>
            </w:r>
          </w:p>
        </w:tc>
        <w:tc>
          <w:tcPr>
            <w:tcW w:w="1134" w:type="dxa"/>
            <w:vAlign w:val="center"/>
          </w:tcPr>
          <w:p w14:paraId="399CB0ED">
            <w:pPr>
              <w:spacing w:line="300" w:lineRule="exact"/>
              <w:jc w:val="center"/>
              <w:rPr>
                <w:rFonts w:ascii="方正书宋_GBK" w:eastAsia="方正书宋_GBK" w:cs="Times New Roman"/>
                <w:b/>
              </w:rPr>
            </w:pPr>
            <w:r>
              <w:rPr>
                <w:rFonts w:ascii="方正书宋_GBK" w:eastAsia="方正书宋_GBK" w:cs="Times New Roman"/>
                <w:b/>
              </w:rPr>
              <w:t>单位资金</w:t>
            </w:r>
          </w:p>
        </w:tc>
      </w:tr>
      <w:tr w14:paraId="03A6CA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260B9EED">
            <w:pPr>
              <w:spacing w:line="300" w:lineRule="exact"/>
              <w:jc w:val="center"/>
              <w:rPr>
                <w:rFonts w:ascii="方正书宋_GBK" w:eastAsia="方正书宋_GBK" w:cs="Times New Roman"/>
                <w:b/>
              </w:rPr>
            </w:pPr>
            <w:r>
              <w:rPr>
                <w:rFonts w:ascii="方正书宋_GBK" w:eastAsia="方正书宋_GBK" w:cs="Times New Roman"/>
                <w:b/>
              </w:rPr>
              <w:t>合  计</w:t>
            </w:r>
          </w:p>
        </w:tc>
        <w:tc>
          <w:tcPr>
            <w:tcW w:w="1134" w:type="dxa"/>
            <w:vAlign w:val="center"/>
          </w:tcPr>
          <w:p w14:paraId="7E746BFF">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1376.45</w:t>
            </w:r>
          </w:p>
        </w:tc>
        <w:tc>
          <w:tcPr>
            <w:tcW w:w="1531" w:type="dxa"/>
            <w:vAlign w:val="center"/>
          </w:tcPr>
          <w:p w14:paraId="76E7D9EE">
            <w:pPr>
              <w:spacing w:line="520" w:lineRule="exact"/>
              <w:jc w:val="right"/>
              <w:rPr>
                <w:rFonts w:ascii="Times New Roman" w:hAnsi="Times New Roman" w:eastAsia="仿宋_GB2312" w:cs="Times New Roman"/>
              </w:rPr>
            </w:pPr>
          </w:p>
        </w:tc>
        <w:tc>
          <w:tcPr>
            <w:tcW w:w="1531" w:type="dxa"/>
            <w:vAlign w:val="center"/>
          </w:tcPr>
          <w:p w14:paraId="2BEBFF4C">
            <w:pPr>
              <w:spacing w:line="520" w:lineRule="exact"/>
              <w:jc w:val="right"/>
              <w:rPr>
                <w:rFonts w:ascii="Times New Roman" w:hAnsi="Times New Roman" w:eastAsia="仿宋_GB2312" w:cs="Times New Roman"/>
              </w:rPr>
            </w:pPr>
          </w:p>
        </w:tc>
        <w:tc>
          <w:tcPr>
            <w:tcW w:w="709" w:type="dxa"/>
            <w:vAlign w:val="center"/>
          </w:tcPr>
          <w:p w14:paraId="554D8BE1">
            <w:pPr>
              <w:spacing w:line="520" w:lineRule="exact"/>
              <w:jc w:val="right"/>
              <w:rPr>
                <w:rFonts w:ascii="Times New Roman" w:hAnsi="Times New Roman" w:eastAsia="仿宋_GB2312" w:cs="Times New Roman"/>
              </w:rPr>
            </w:pPr>
          </w:p>
        </w:tc>
        <w:tc>
          <w:tcPr>
            <w:tcW w:w="782" w:type="dxa"/>
            <w:vAlign w:val="center"/>
          </w:tcPr>
          <w:p w14:paraId="51722F85">
            <w:pPr>
              <w:spacing w:line="520" w:lineRule="exact"/>
              <w:jc w:val="right"/>
              <w:rPr>
                <w:rFonts w:ascii="Times New Roman" w:hAnsi="Times New Roman" w:eastAsia="仿宋_GB2312" w:cs="Times New Roman"/>
              </w:rPr>
            </w:pPr>
          </w:p>
        </w:tc>
        <w:tc>
          <w:tcPr>
            <w:tcW w:w="1032" w:type="dxa"/>
            <w:vAlign w:val="center"/>
          </w:tcPr>
          <w:p w14:paraId="3935A55A">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416.88</w:t>
            </w:r>
          </w:p>
        </w:tc>
        <w:tc>
          <w:tcPr>
            <w:tcW w:w="1134" w:type="dxa"/>
            <w:vAlign w:val="center"/>
          </w:tcPr>
          <w:p w14:paraId="2FD6DCCB">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416.88</w:t>
            </w:r>
          </w:p>
        </w:tc>
        <w:tc>
          <w:tcPr>
            <w:tcW w:w="1134" w:type="dxa"/>
            <w:vAlign w:val="center"/>
          </w:tcPr>
          <w:p w14:paraId="7BED9461">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416.88</w:t>
            </w:r>
          </w:p>
        </w:tc>
        <w:tc>
          <w:tcPr>
            <w:tcW w:w="1134" w:type="dxa"/>
            <w:vAlign w:val="center"/>
          </w:tcPr>
          <w:p w14:paraId="72266DEB">
            <w:pPr>
              <w:spacing w:line="300" w:lineRule="exact"/>
              <w:jc w:val="right"/>
              <w:rPr>
                <w:rFonts w:ascii="方正书宋_GBK" w:eastAsia="方正书宋_GBK" w:cs="Times New Roman"/>
                <w:b/>
              </w:rPr>
            </w:pPr>
          </w:p>
        </w:tc>
        <w:tc>
          <w:tcPr>
            <w:tcW w:w="1134" w:type="dxa"/>
            <w:vAlign w:val="center"/>
          </w:tcPr>
          <w:p w14:paraId="75A1EA2E">
            <w:pPr>
              <w:spacing w:line="300" w:lineRule="exact"/>
              <w:jc w:val="right"/>
              <w:rPr>
                <w:rFonts w:ascii="方正书宋_GBK" w:eastAsia="方正书宋_GBK" w:cs="Times New Roman"/>
                <w:b/>
              </w:rPr>
            </w:pPr>
          </w:p>
        </w:tc>
        <w:tc>
          <w:tcPr>
            <w:tcW w:w="1134" w:type="dxa"/>
            <w:vAlign w:val="center"/>
          </w:tcPr>
          <w:p w14:paraId="72205D3A">
            <w:pPr>
              <w:spacing w:line="300" w:lineRule="exact"/>
              <w:jc w:val="right"/>
              <w:rPr>
                <w:rFonts w:ascii="方正书宋_GBK" w:eastAsia="方正书宋_GBK" w:cs="Times New Roman"/>
                <w:b/>
              </w:rPr>
            </w:pPr>
          </w:p>
        </w:tc>
        <w:tc>
          <w:tcPr>
            <w:tcW w:w="1134" w:type="dxa"/>
            <w:vAlign w:val="center"/>
          </w:tcPr>
          <w:p w14:paraId="797FDF0B">
            <w:pPr>
              <w:spacing w:line="300" w:lineRule="exact"/>
              <w:jc w:val="right"/>
              <w:rPr>
                <w:rFonts w:ascii="方正书宋_GBK" w:eastAsia="方正书宋_GBK" w:cs="Times New Roman"/>
                <w:b/>
              </w:rPr>
            </w:pPr>
          </w:p>
        </w:tc>
      </w:tr>
      <w:tr w14:paraId="5641C9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2F639CCB">
            <w:pPr>
              <w:spacing w:line="520" w:lineRule="exact"/>
              <w:jc w:val="left"/>
              <w:rPr>
                <w:rFonts w:ascii="Times New Roman" w:hAnsi="Times New Roman" w:eastAsia="仿宋_GB2312" w:cs="Times New Roman"/>
              </w:rPr>
            </w:pPr>
            <w:r>
              <w:rPr>
                <w:rFonts w:hint="eastAsia" w:ascii="Times New Roman" w:hAnsi="Times New Roman" w:eastAsia="仿宋_GB2312" w:cs="Times New Roman"/>
              </w:rPr>
              <w:t>办案楼改造经费</w:t>
            </w:r>
          </w:p>
        </w:tc>
        <w:tc>
          <w:tcPr>
            <w:tcW w:w="1134" w:type="dxa"/>
            <w:vAlign w:val="center"/>
          </w:tcPr>
          <w:p w14:paraId="211DB8EA">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334.28</w:t>
            </w:r>
          </w:p>
        </w:tc>
        <w:tc>
          <w:tcPr>
            <w:tcW w:w="1531" w:type="dxa"/>
            <w:vAlign w:val="center"/>
          </w:tcPr>
          <w:p w14:paraId="0336ED62">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房屋修缮</w:t>
            </w:r>
          </w:p>
        </w:tc>
        <w:tc>
          <w:tcPr>
            <w:tcW w:w="1531" w:type="dxa"/>
            <w:vAlign w:val="center"/>
          </w:tcPr>
          <w:p w14:paraId="0A2B5F54">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B0801</w:t>
            </w:r>
          </w:p>
        </w:tc>
        <w:tc>
          <w:tcPr>
            <w:tcW w:w="709" w:type="dxa"/>
            <w:vAlign w:val="center"/>
          </w:tcPr>
          <w:p w14:paraId="0BE8523C">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项</w:t>
            </w:r>
          </w:p>
        </w:tc>
        <w:tc>
          <w:tcPr>
            <w:tcW w:w="782" w:type="dxa"/>
            <w:vAlign w:val="center"/>
          </w:tcPr>
          <w:p w14:paraId="581618C3">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1032" w:type="dxa"/>
            <w:vAlign w:val="center"/>
          </w:tcPr>
          <w:p w14:paraId="060F49C4">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334.28</w:t>
            </w:r>
          </w:p>
        </w:tc>
        <w:tc>
          <w:tcPr>
            <w:tcW w:w="1134" w:type="dxa"/>
            <w:vAlign w:val="center"/>
          </w:tcPr>
          <w:p w14:paraId="7AB59F3F">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334.28</w:t>
            </w:r>
          </w:p>
        </w:tc>
        <w:tc>
          <w:tcPr>
            <w:tcW w:w="1134" w:type="dxa"/>
            <w:vAlign w:val="center"/>
          </w:tcPr>
          <w:p w14:paraId="204BDD95">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334.28</w:t>
            </w:r>
          </w:p>
        </w:tc>
        <w:tc>
          <w:tcPr>
            <w:tcW w:w="1134" w:type="dxa"/>
            <w:vAlign w:val="center"/>
          </w:tcPr>
          <w:p w14:paraId="0A6CE1BC">
            <w:pPr>
              <w:spacing w:line="300" w:lineRule="exact"/>
              <w:jc w:val="right"/>
              <w:rPr>
                <w:rFonts w:ascii="方正书宋_GBK" w:eastAsia="方正书宋_GBK" w:cs="Times New Roman"/>
                <w:b/>
              </w:rPr>
            </w:pPr>
          </w:p>
        </w:tc>
        <w:tc>
          <w:tcPr>
            <w:tcW w:w="1134" w:type="dxa"/>
            <w:vAlign w:val="center"/>
          </w:tcPr>
          <w:p w14:paraId="27E81A05">
            <w:pPr>
              <w:spacing w:line="300" w:lineRule="exact"/>
              <w:jc w:val="right"/>
              <w:rPr>
                <w:rFonts w:ascii="方正书宋_GBK" w:eastAsia="方正书宋_GBK" w:cs="Times New Roman"/>
                <w:b/>
              </w:rPr>
            </w:pPr>
          </w:p>
        </w:tc>
        <w:tc>
          <w:tcPr>
            <w:tcW w:w="1134" w:type="dxa"/>
            <w:vAlign w:val="center"/>
          </w:tcPr>
          <w:p w14:paraId="18A4C28E">
            <w:pPr>
              <w:spacing w:line="300" w:lineRule="exact"/>
              <w:jc w:val="right"/>
              <w:rPr>
                <w:rFonts w:ascii="方正书宋_GBK" w:eastAsia="方正书宋_GBK" w:cs="Times New Roman"/>
                <w:b/>
              </w:rPr>
            </w:pPr>
          </w:p>
        </w:tc>
        <w:tc>
          <w:tcPr>
            <w:tcW w:w="1134" w:type="dxa"/>
            <w:vAlign w:val="center"/>
          </w:tcPr>
          <w:p w14:paraId="525F7ED0">
            <w:pPr>
              <w:spacing w:line="300" w:lineRule="exact"/>
              <w:jc w:val="right"/>
              <w:rPr>
                <w:rFonts w:ascii="方正书宋_GBK" w:eastAsia="方正书宋_GBK" w:cs="Times New Roman"/>
                <w:b/>
              </w:rPr>
            </w:pPr>
          </w:p>
        </w:tc>
      </w:tr>
      <w:tr w14:paraId="27B90A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31D59691">
            <w:pPr>
              <w:spacing w:line="520" w:lineRule="exact"/>
              <w:jc w:val="left"/>
              <w:rPr>
                <w:rFonts w:ascii="Times New Roman" w:hAnsi="Times New Roman" w:eastAsia="仿宋_GB2312" w:cs="Times New Roman"/>
              </w:rPr>
            </w:pPr>
            <w:r>
              <w:rPr>
                <w:rFonts w:hint="eastAsia" w:ascii="Times New Roman" w:hAnsi="Times New Roman" w:eastAsia="仿宋_GB2312" w:cs="Times New Roman"/>
              </w:rPr>
              <w:t>办案综合保障经费</w:t>
            </w:r>
          </w:p>
        </w:tc>
        <w:tc>
          <w:tcPr>
            <w:tcW w:w="1134" w:type="dxa"/>
            <w:vAlign w:val="center"/>
          </w:tcPr>
          <w:p w14:paraId="7A61E2BA">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1042.17</w:t>
            </w:r>
          </w:p>
        </w:tc>
        <w:tc>
          <w:tcPr>
            <w:tcW w:w="1531" w:type="dxa"/>
            <w:vAlign w:val="center"/>
          </w:tcPr>
          <w:p w14:paraId="39FAD8CE">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餐饮服务</w:t>
            </w:r>
          </w:p>
        </w:tc>
        <w:tc>
          <w:tcPr>
            <w:tcW w:w="1531" w:type="dxa"/>
            <w:vAlign w:val="center"/>
          </w:tcPr>
          <w:p w14:paraId="06E07B72">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C0702</w:t>
            </w:r>
          </w:p>
        </w:tc>
        <w:tc>
          <w:tcPr>
            <w:tcW w:w="709" w:type="dxa"/>
            <w:vAlign w:val="center"/>
          </w:tcPr>
          <w:p w14:paraId="2EA6BEFC">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年</w:t>
            </w:r>
          </w:p>
        </w:tc>
        <w:tc>
          <w:tcPr>
            <w:tcW w:w="782" w:type="dxa"/>
            <w:vAlign w:val="center"/>
          </w:tcPr>
          <w:p w14:paraId="37858326">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1032" w:type="dxa"/>
            <w:vAlign w:val="center"/>
          </w:tcPr>
          <w:p w14:paraId="60EAFB7B">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82.6</w:t>
            </w:r>
          </w:p>
        </w:tc>
        <w:tc>
          <w:tcPr>
            <w:tcW w:w="1134" w:type="dxa"/>
            <w:vAlign w:val="center"/>
          </w:tcPr>
          <w:p w14:paraId="4F59C03D">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82.6</w:t>
            </w:r>
          </w:p>
        </w:tc>
        <w:tc>
          <w:tcPr>
            <w:tcW w:w="1134" w:type="dxa"/>
            <w:vAlign w:val="center"/>
          </w:tcPr>
          <w:p w14:paraId="76BFF331">
            <w:pPr>
              <w:spacing w:line="520" w:lineRule="exact"/>
              <w:jc w:val="right"/>
              <w:rPr>
                <w:rFonts w:ascii="Times New Roman" w:hAnsi="Times New Roman" w:eastAsia="仿宋_GB2312" w:cs="Times New Roman"/>
              </w:rPr>
            </w:pPr>
            <w:r>
              <w:rPr>
                <w:rFonts w:hint="eastAsia" w:ascii="Times New Roman" w:hAnsi="Times New Roman" w:eastAsia="仿宋_GB2312" w:cs="Times New Roman"/>
              </w:rPr>
              <w:t>82.6</w:t>
            </w:r>
          </w:p>
        </w:tc>
        <w:tc>
          <w:tcPr>
            <w:tcW w:w="1134" w:type="dxa"/>
            <w:vAlign w:val="center"/>
          </w:tcPr>
          <w:p w14:paraId="55A4F33E">
            <w:pPr>
              <w:spacing w:line="300" w:lineRule="exact"/>
              <w:jc w:val="right"/>
              <w:rPr>
                <w:rFonts w:ascii="方正书宋_GBK" w:eastAsia="方正书宋_GBK" w:cs="Times New Roman"/>
              </w:rPr>
            </w:pPr>
          </w:p>
        </w:tc>
        <w:tc>
          <w:tcPr>
            <w:tcW w:w="1134" w:type="dxa"/>
            <w:vAlign w:val="center"/>
          </w:tcPr>
          <w:p w14:paraId="36FA3837">
            <w:pPr>
              <w:spacing w:line="300" w:lineRule="exact"/>
              <w:jc w:val="right"/>
              <w:rPr>
                <w:rFonts w:ascii="方正书宋_GBK" w:eastAsia="方正书宋_GBK" w:cs="Times New Roman"/>
              </w:rPr>
            </w:pPr>
          </w:p>
        </w:tc>
        <w:tc>
          <w:tcPr>
            <w:tcW w:w="1134" w:type="dxa"/>
            <w:vAlign w:val="center"/>
          </w:tcPr>
          <w:p w14:paraId="7CA8DCDE">
            <w:pPr>
              <w:spacing w:line="300" w:lineRule="exact"/>
              <w:jc w:val="right"/>
              <w:rPr>
                <w:rFonts w:ascii="方正书宋_GBK" w:eastAsia="方正书宋_GBK" w:cs="Times New Roman"/>
              </w:rPr>
            </w:pPr>
          </w:p>
        </w:tc>
        <w:tc>
          <w:tcPr>
            <w:tcW w:w="1134" w:type="dxa"/>
            <w:vAlign w:val="center"/>
          </w:tcPr>
          <w:p w14:paraId="5E6579D2">
            <w:pPr>
              <w:spacing w:line="300" w:lineRule="exact"/>
              <w:jc w:val="right"/>
              <w:rPr>
                <w:rFonts w:ascii="方正书宋_GBK" w:eastAsia="方正书宋_GBK" w:cs="Times New Roman"/>
              </w:rPr>
            </w:pPr>
          </w:p>
        </w:tc>
      </w:tr>
    </w:tbl>
    <w:p w14:paraId="03F37066">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720" w:num="1"/>
          <w:docGrid w:type="lines" w:linePitch="312" w:charSpace="0"/>
        </w:sectPr>
      </w:pPr>
    </w:p>
    <w:p w14:paraId="63A852C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5AEF672D">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纪委旧州管理中心</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2428.66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w:t>
      </w:r>
      <w:r>
        <w:rPr>
          <w:rFonts w:hint="eastAsia" w:ascii="Times New Roman" w:hAnsi="Times New Roman" w:eastAsia="仿宋_GB2312" w:cs="Times New Roman"/>
          <w:sz w:val="32"/>
          <w:szCs w:val="32"/>
        </w:rPr>
        <w:t>廊坊市纪委旧州管理中心</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rPr>
        <w:t>总额为96.85万元，</w:t>
      </w:r>
      <w:r>
        <w:rPr>
          <w:rFonts w:ascii="Times New Roman" w:hAnsi="Times New Roman" w:eastAsia="仿宋_GB2312" w:cs="Times New Roman"/>
          <w:sz w:val="32"/>
          <w:szCs w:val="32"/>
        </w:rPr>
        <w:t>主要为打印设备、</w:t>
      </w:r>
      <w:r>
        <w:rPr>
          <w:rFonts w:hint="eastAsia" w:ascii="Times New Roman" w:hAnsi="Times New Roman" w:eastAsia="仿宋_GB2312" w:cs="Times New Roman"/>
          <w:sz w:val="32"/>
          <w:szCs w:val="32"/>
        </w:rPr>
        <w:t>监控设备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厨房设备、会议桌</w:t>
      </w:r>
      <w:r>
        <w:rPr>
          <w:rFonts w:ascii="Times New Roman" w:hAnsi="Times New Roman" w:eastAsia="仿宋_GB2312" w:cs="Times New Roman"/>
          <w:sz w:val="32"/>
          <w:szCs w:val="32"/>
        </w:rPr>
        <w:t>等</w:t>
      </w:r>
      <w:r>
        <w:rPr>
          <w:rFonts w:hint="eastAsia" w:ascii="Times New Roman" w:hAnsi="Times New Roman" w:eastAsia="仿宋_GB2312" w:cs="Times New Roman"/>
          <w:sz w:val="32"/>
          <w:szCs w:val="32"/>
        </w:rPr>
        <w:t>。</w:t>
      </w: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14:paraId="08677E77">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vAlign w:val="center"/>
          </w:tcPr>
          <w:p w14:paraId="6574CED1">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183C936B">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vAlign w:val="center"/>
          </w:tcPr>
          <w:p w14:paraId="4186E30E">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纪委旧州管理中心</w:t>
            </w:r>
          </w:p>
        </w:tc>
        <w:tc>
          <w:tcPr>
            <w:tcW w:w="5103" w:type="dxa"/>
            <w:tcBorders>
              <w:top w:val="nil"/>
              <w:left w:val="nil"/>
              <w:bottom w:val="nil"/>
              <w:right w:val="nil"/>
            </w:tcBorders>
            <w:vAlign w:val="center"/>
          </w:tcPr>
          <w:p w14:paraId="563B4F8C">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6FE98283">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vAlign w:val="center"/>
          </w:tcPr>
          <w:p w14:paraId="22D79262">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vAlign w:val="center"/>
          </w:tcPr>
          <w:p w14:paraId="035BE435">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vAlign w:val="center"/>
          </w:tcPr>
          <w:p w14:paraId="797A7F55">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001E114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33EC44B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vAlign w:val="center"/>
          </w:tcPr>
          <w:p w14:paraId="0B644B21">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vAlign w:val="center"/>
          </w:tcPr>
          <w:p w14:paraId="0C599187">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2428.66</w:t>
            </w:r>
          </w:p>
        </w:tc>
      </w:tr>
      <w:tr w14:paraId="3482C8C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67E569C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vAlign w:val="center"/>
          </w:tcPr>
          <w:p w14:paraId="6892B895">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vAlign w:val="center"/>
          </w:tcPr>
          <w:p w14:paraId="1678DC56">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7953030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1FF8F3A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vAlign w:val="center"/>
          </w:tcPr>
          <w:p w14:paraId="7FDBE35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vAlign w:val="center"/>
          </w:tcPr>
          <w:p w14:paraId="40FE5D8D">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0726493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7F034D6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vAlign w:val="center"/>
          </w:tcPr>
          <w:p w14:paraId="2B4CA6E2">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w:t>
            </w:r>
          </w:p>
        </w:tc>
        <w:tc>
          <w:tcPr>
            <w:tcW w:w="5103" w:type="dxa"/>
            <w:tcBorders>
              <w:top w:val="nil"/>
              <w:left w:val="nil"/>
              <w:bottom w:val="single" w:color="auto" w:sz="4" w:space="0"/>
              <w:right w:val="single" w:color="auto" w:sz="4" w:space="0"/>
            </w:tcBorders>
            <w:vAlign w:val="center"/>
          </w:tcPr>
          <w:p w14:paraId="762FD80B">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74.35</w:t>
            </w:r>
          </w:p>
        </w:tc>
      </w:tr>
      <w:tr w14:paraId="3F5A590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7958F3A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vAlign w:val="center"/>
          </w:tcPr>
          <w:p w14:paraId="4530384C">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w:t>
            </w:r>
          </w:p>
        </w:tc>
        <w:tc>
          <w:tcPr>
            <w:tcW w:w="5103" w:type="dxa"/>
            <w:tcBorders>
              <w:top w:val="nil"/>
              <w:left w:val="nil"/>
              <w:bottom w:val="single" w:color="auto" w:sz="4" w:space="0"/>
              <w:right w:val="single" w:color="auto" w:sz="4" w:space="0"/>
            </w:tcBorders>
            <w:vAlign w:val="center"/>
          </w:tcPr>
          <w:p w14:paraId="36DAF201">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1011.11</w:t>
            </w:r>
          </w:p>
        </w:tc>
      </w:tr>
      <w:tr w14:paraId="787C3E66">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08B2746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vAlign w:val="center"/>
          </w:tcPr>
          <w:p w14:paraId="0DC64482">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1561</w:t>
            </w:r>
          </w:p>
        </w:tc>
        <w:tc>
          <w:tcPr>
            <w:tcW w:w="5103" w:type="dxa"/>
            <w:tcBorders>
              <w:top w:val="nil"/>
              <w:left w:val="nil"/>
              <w:bottom w:val="single" w:color="auto" w:sz="4" w:space="0"/>
              <w:right w:val="single" w:color="auto" w:sz="4" w:space="0"/>
            </w:tcBorders>
            <w:vAlign w:val="center"/>
          </w:tcPr>
          <w:p w14:paraId="7C602A1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1343.2</w:t>
            </w:r>
          </w:p>
        </w:tc>
      </w:tr>
    </w:tbl>
    <w:p w14:paraId="30F88751">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5B0FAF8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市级</w:t>
      </w:r>
      <w:r>
        <w:rPr>
          <w:rFonts w:ascii="Times New Roman" w:hAnsi="Times New Roman" w:eastAsia="仿宋_GB2312" w:cs="Times New Roman"/>
          <w:sz w:val="32"/>
          <w:szCs w:val="32"/>
        </w:rPr>
        <w:t>财政当年拨付的资金。</w:t>
      </w:r>
    </w:p>
    <w:p w14:paraId="093F4F2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6E1E0818">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3691E25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4B6F5E1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3F21BFD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453BBF0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市级</w:t>
      </w:r>
      <w:r>
        <w:rPr>
          <w:rFonts w:ascii="Times New Roman" w:hAnsi="Times New Roman" w:eastAsia="仿宋_GB2312" w:cs="Times New Roman"/>
          <w:sz w:val="32"/>
          <w:szCs w:val="32"/>
        </w:rPr>
        <w:t>财政预算管理的“三公”经费，是指</w:t>
      </w:r>
      <w:r>
        <w:rPr>
          <w:rFonts w:hint="eastAsia" w:ascii="Times New Roman" w:hAnsi="Times New Roman" w:eastAsia="仿宋_GB2312" w:cs="Times New Roman"/>
          <w:sz w:val="32"/>
          <w:szCs w:val="32"/>
        </w:rPr>
        <w:t>市级</w:t>
      </w:r>
      <w:r>
        <w:rPr>
          <w:rFonts w:ascii="Times New Roman" w:hAnsi="Times New Roman" w:eastAsia="仿宋_GB2312" w:cs="Times New Roman"/>
          <w:sz w:val="32"/>
          <w:szCs w:val="32"/>
        </w:rPr>
        <w:t>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941E61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1925DC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0415B52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4B67B65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2CDF8919">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廊坊市纪委旧州管理中心</w:t>
      </w:r>
      <w:r>
        <w:rPr>
          <w:rFonts w:ascii="Times New Roman" w:hAnsi="Times New Roman" w:eastAsia="仿宋_GB2312" w:cs="Times New Roman"/>
          <w:sz w:val="32"/>
          <w:szCs w:val="32"/>
        </w:rPr>
        <w:t>无其他需要说明的事项。</w:t>
      </w:r>
    </w:p>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FFA7D">
    <w:pPr>
      <w:pStyle w:val="3"/>
      <w:jc w:val="center"/>
    </w:pPr>
    <w:r>
      <w:rPr>
        <w:rFonts w:hint="eastAsia"/>
      </w:rPr>
      <w:t>-</w:t>
    </w:r>
    <w:r>
      <w:fldChar w:fldCharType="begin"/>
    </w:r>
    <w:r>
      <w:instrText xml:space="preserve">PAGE   \* MERGEFORMAT</w:instrText>
    </w:r>
    <w:r>
      <w:fldChar w:fldCharType="separate"/>
    </w:r>
    <w:r>
      <w:rPr>
        <w:lang w:val="zh-CN"/>
      </w:rPr>
      <w:t>3</w:t>
    </w:r>
    <w:r>
      <w:rPr>
        <w:lang w:val="zh-CN"/>
      </w:rPr>
      <w:fldChar w:fldCharType="end"/>
    </w:r>
    <w:r>
      <w:rPr>
        <w:rFonts w:hint="eastAsia"/>
      </w:rPr>
      <w:t>-</w:t>
    </w:r>
  </w:p>
  <w:p w14:paraId="43523075">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47CC"/>
    <w:rsid w:val="00136D27"/>
    <w:rsid w:val="00213C8F"/>
    <w:rsid w:val="0026589A"/>
    <w:rsid w:val="002E43DA"/>
    <w:rsid w:val="002E60E6"/>
    <w:rsid w:val="003B3C1E"/>
    <w:rsid w:val="004127EB"/>
    <w:rsid w:val="00477502"/>
    <w:rsid w:val="004A5184"/>
    <w:rsid w:val="004A54AA"/>
    <w:rsid w:val="004C3A91"/>
    <w:rsid w:val="004F490E"/>
    <w:rsid w:val="004F54C0"/>
    <w:rsid w:val="00544529"/>
    <w:rsid w:val="005B6BD2"/>
    <w:rsid w:val="005D3C24"/>
    <w:rsid w:val="007021F8"/>
    <w:rsid w:val="00752701"/>
    <w:rsid w:val="00772924"/>
    <w:rsid w:val="00780FDB"/>
    <w:rsid w:val="00782075"/>
    <w:rsid w:val="007A3751"/>
    <w:rsid w:val="007D020F"/>
    <w:rsid w:val="00807BB1"/>
    <w:rsid w:val="0081478E"/>
    <w:rsid w:val="00915DC9"/>
    <w:rsid w:val="009907F2"/>
    <w:rsid w:val="00AB5352"/>
    <w:rsid w:val="00B30E07"/>
    <w:rsid w:val="00B75E8B"/>
    <w:rsid w:val="00B80935"/>
    <w:rsid w:val="00B94903"/>
    <w:rsid w:val="00B970AB"/>
    <w:rsid w:val="00BD2DCC"/>
    <w:rsid w:val="00C45489"/>
    <w:rsid w:val="00C71CAD"/>
    <w:rsid w:val="00CD1AD6"/>
    <w:rsid w:val="00CD7F63"/>
    <w:rsid w:val="00CF5C03"/>
    <w:rsid w:val="00D347CC"/>
    <w:rsid w:val="00DC2D46"/>
    <w:rsid w:val="00E0760E"/>
    <w:rsid w:val="00E63B0C"/>
    <w:rsid w:val="00F24E8C"/>
    <w:rsid w:val="01B24556"/>
    <w:rsid w:val="01F96EC8"/>
    <w:rsid w:val="02063FE0"/>
    <w:rsid w:val="024F1E56"/>
    <w:rsid w:val="02D2242F"/>
    <w:rsid w:val="02F6716B"/>
    <w:rsid w:val="0332374D"/>
    <w:rsid w:val="03CA4BC5"/>
    <w:rsid w:val="04980A96"/>
    <w:rsid w:val="04F311AF"/>
    <w:rsid w:val="05351C19"/>
    <w:rsid w:val="05DB7E28"/>
    <w:rsid w:val="05EE1047"/>
    <w:rsid w:val="0664230B"/>
    <w:rsid w:val="066E2C1A"/>
    <w:rsid w:val="06B81D95"/>
    <w:rsid w:val="0757641B"/>
    <w:rsid w:val="07934F7B"/>
    <w:rsid w:val="086552D4"/>
    <w:rsid w:val="088B2F95"/>
    <w:rsid w:val="08986A27"/>
    <w:rsid w:val="08A92545"/>
    <w:rsid w:val="08B11B50"/>
    <w:rsid w:val="08CB04FB"/>
    <w:rsid w:val="08EF5238"/>
    <w:rsid w:val="098D27B7"/>
    <w:rsid w:val="09914A41"/>
    <w:rsid w:val="0A1D5CB7"/>
    <w:rsid w:val="0A411361"/>
    <w:rsid w:val="0A4B76F2"/>
    <w:rsid w:val="0AA04BFE"/>
    <w:rsid w:val="0B0758A7"/>
    <w:rsid w:val="0B34270F"/>
    <w:rsid w:val="0B61723B"/>
    <w:rsid w:val="0BBB2DCC"/>
    <w:rsid w:val="0BEB5B1A"/>
    <w:rsid w:val="0CC25B7D"/>
    <w:rsid w:val="0CF12E49"/>
    <w:rsid w:val="0D296826"/>
    <w:rsid w:val="0D693D8C"/>
    <w:rsid w:val="0DF9367B"/>
    <w:rsid w:val="0E864564"/>
    <w:rsid w:val="0E8F73F2"/>
    <w:rsid w:val="0F8143FC"/>
    <w:rsid w:val="0FBA10DE"/>
    <w:rsid w:val="0FC64EF0"/>
    <w:rsid w:val="0FD05800"/>
    <w:rsid w:val="0FD57709"/>
    <w:rsid w:val="102E7D98"/>
    <w:rsid w:val="10B0706C"/>
    <w:rsid w:val="10BF5108"/>
    <w:rsid w:val="11193219"/>
    <w:rsid w:val="11537B7A"/>
    <w:rsid w:val="11584002"/>
    <w:rsid w:val="124064FE"/>
    <w:rsid w:val="130762C7"/>
    <w:rsid w:val="130A724C"/>
    <w:rsid w:val="133E099F"/>
    <w:rsid w:val="13C07C74"/>
    <w:rsid w:val="14453750"/>
    <w:rsid w:val="14FE0980"/>
    <w:rsid w:val="153F13EA"/>
    <w:rsid w:val="158D6F6A"/>
    <w:rsid w:val="15B648AC"/>
    <w:rsid w:val="15DC256D"/>
    <w:rsid w:val="15EA5FFF"/>
    <w:rsid w:val="16456719"/>
    <w:rsid w:val="1682657E"/>
    <w:rsid w:val="174662BC"/>
    <w:rsid w:val="17722603"/>
    <w:rsid w:val="177E1C99"/>
    <w:rsid w:val="17BF2702"/>
    <w:rsid w:val="17C57E8F"/>
    <w:rsid w:val="17CB1D98"/>
    <w:rsid w:val="1815568F"/>
    <w:rsid w:val="185309F7"/>
    <w:rsid w:val="1856197C"/>
    <w:rsid w:val="18A74BFE"/>
    <w:rsid w:val="18C80213"/>
    <w:rsid w:val="191D00C0"/>
    <w:rsid w:val="19461284"/>
    <w:rsid w:val="19E44606"/>
    <w:rsid w:val="19EA1D92"/>
    <w:rsid w:val="1A420223"/>
    <w:rsid w:val="1A896419"/>
    <w:rsid w:val="1ADC4B9E"/>
    <w:rsid w:val="1B014DDE"/>
    <w:rsid w:val="1B14057B"/>
    <w:rsid w:val="1B1D0E8B"/>
    <w:rsid w:val="1B61067A"/>
    <w:rsid w:val="1B657081"/>
    <w:rsid w:val="1B784A1C"/>
    <w:rsid w:val="1BBB420C"/>
    <w:rsid w:val="1BDD21C2"/>
    <w:rsid w:val="1C163621"/>
    <w:rsid w:val="1CE407F6"/>
    <w:rsid w:val="1D0A51B3"/>
    <w:rsid w:val="1D827423"/>
    <w:rsid w:val="1DC53368"/>
    <w:rsid w:val="1E042E4C"/>
    <w:rsid w:val="1E184B8C"/>
    <w:rsid w:val="1F1C3919"/>
    <w:rsid w:val="1F46255F"/>
    <w:rsid w:val="1F6B3698"/>
    <w:rsid w:val="207167C9"/>
    <w:rsid w:val="20963186"/>
    <w:rsid w:val="20B736BA"/>
    <w:rsid w:val="21186BD7"/>
    <w:rsid w:val="212A5BF7"/>
    <w:rsid w:val="21376286"/>
    <w:rsid w:val="214D162F"/>
    <w:rsid w:val="21C9227E"/>
    <w:rsid w:val="22ED6B5D"/>
    <w:rsid w:val="23370256"/>
    <w:rsid w:val="2363459D"/>
    <w:rsid w:val="237657BC"/>
    <w:rsid w:val="238D53E2"/>
    <w:rsid w:val="23B76226"/>
    <w:rsid w:val="254E2E44"/>
    <w:rsid w:val="25506347"/>
    <w:rsid w:val="255E30DE"/>
    <w:rsid w:val="2598673B"/>
    <w:rsid w:val="25B5026A"/>
    <w:rsid w:val="25F35B50"/>
    <w:rsid w:val="26004E66"/>
    <w:rsid w:val="26EC15EB"/>
    <w:rsid w:val="26F7797C"/>
    <w:rsid w:val="27107221"/>
    <w:rsid w:val="271A0E36"/>
    <w:rsid w:val="27364EE3"/>
    <w:rsid w:val="275D2BA4"/>
    <w:rsid w:val="284E7F2E"/>
    <w:rsid w:val="28792077"/>
    <w:rsid w:val="28840408"/>
    <w:rsid w:val="28A14135"/>
    <w:rsid w:val="28E9232B"/>
    <w:rsid w:val="29BF6B0B"/>
    <w:rsid w:val="29E0703F"/>
    <w:rsid w:val="29E10344"/>
    <w:rsid w:val="2A093A87"/>
    <w:rsid w:val="2A3B1CD8"/>
    <w:rsid w:val="2A3D1958"/>
    <w:rsid w:val="2B6B7E4B"/>
    <w:rsid w:val="2C31308C"/>
    <w:rsid w:val="2CF134CA"/>
    <w:rsid w:val="2D2C202A"/>
    <w:rsid w:val="2D4241CE"/>
    <w:rsid w:val="2DDE1E4E"/>
    <w:rsid w:val="2DEA36E2"/>
    <w:rsid w:val="2E3624DD"/>
    <w:rsid w:val="2E9118F2"/>
    <w:rsid w:val="2F0860B8"/>
    <w:rsid w:val="2FBE6AE0"/>
    <w:rsid w:val="2FFB21C9"/>
    <w:rsid w:val="30232088"/>
    <w:rsid w:val="306C3781"/>
    <w:rsid w:val="30C12E8B"/>
    <w:rsid w:val="314978EC"/>
    <w:rsid w:val="31511475"/>
    <w:rsid w:val="31B46F9B"/>
    <w:rsid w:val="31E34267"/>
    <w:rsid w:val="31F36A80"/>
    <w:rsid w:val="32601632"/>
    <w:rsid w:val="332735FA"/>
    <w:rsid w:val="336A5368"/>
    <w:rsid w:val="33D8341D"/>
    <w:rsid w:val="33EF3043"/>
    <w:rsid w:val="341A3513"/>
    <w:rsid w:val="34217095"/>
    <w:rsid w:val="342C2EA8"/>
    <w:rsid w:val="34AB11F7"/>
    <w:rsid w:val="35270B41"/>
    <w:rsid w:val="356928AF"/>
    <w:rsid w:val="356E6D37"/>
    <w:rsid w:val="356F0F35"/>
    <w:rsid w:val="35AC461D"/>
    <w:rsid w:val="35AC681C"/>
    <w:rsid w:val="35B73253"/>
    <w:rsid w:val="35F13A8D"/>
    <w:rsid w:val="3618174E"/>
    <w:rsid w:val="361913CE"/>
    <w:rsid w:val="36291668"/>
    <w:rsid w:val="366F435B"/>
    <w:rsid w:val="369E4EAA"/>
    <w:rsid w:val="36B85A54"/>
    <w:rsid w:val="36FC7442"/>
    <w:rsid w:val="379E1FAB"/>
    <w:rsid w:val="38C500B3"/>
    <w:rsid w:val="39A00D1B"/>
    <w:rsid w:val="39E96B90"/>
    <w:rsid w:val="3A8E5120"/>
    <w:rsid w:val="3AA627C7"/>
    <w:rsid w:val="3ABD23EC"/>
    <w:rsid w:val="3AE96733"/>
    <w:rsid w:val="3B0372DD"/>
    <w:rsid w:val="3B43394A"/>
    <w:rsid w:val="3B4D4259"/>
    <w:rsid w:val="3BAD60C9"/>
    <w:rsid w:val="3BCB12A4"/>
    <w:rsid w:val="3C333252"/>
    <w:rsid w:val="3C3A2BDD"/>
    <w:rsid w:val="3C9776F3"/>
    <w:rsid w:val="3D3675FD"/>
    <w:rsid w:val="3DB412E1"/>
    <w:rsid w:val="3E266F05"/>
    <w:rsid w:val="3E315296"/>
    <w:rsid w:val="3E5E28E2"/>
    <w:rsid w:val="3F934EDE"/>
    <w:rsid w:val="3FD55947"/>
    <w:rsid w:val="403027DE"/>
    <w:rsid w:val="408F27F7"/>
    <w:rsid w:val="409C408B"/>
    <w:rsid w:val="40D27DE8"/>
    <w:rsid w:val="41022B36"/>
    <w:rsid w:val="416050CE"/>
    <w:rsid w:val="41643AD4"/>
    <w:rsid w:val="421A5B81"/>
    <w:rsid w:val="42325426"/>
    <w:rsid w:val="430125FC"/>
    <w:rsid w:val="434652EE"/>
    <w:rsid w:val="43942E6F"/>
    <w:rsid w:val="43981875"/>
    <w:rsid w:val="43AF5C17"/>
    <w:rsid w:val="440D1834"/>
    <w:rsid w:val="44214C49"/>
    <w:rsid w:val="442E3F67"/>
    <w:rsid w:val="446866CB"/>
    <w:rsid w:val="4469414C"/>
    <w:rsid w:val="449A1098"/>
    <w:rsid w:val="44DF1B8D"/>
    <w:rsid w:val="45023046"/>
    <w:rsid w:val="451D1671"/>
    <w:rsid w:val="45643FE4"/>
    <w:rsid w:val="45A837D4"/>
    <w:rsid w:val="45BC2474"/>
    <w:rsid w:val="46CE6E39"/>
    <w:rsid w:val="46EA50E5"/>
    <w:rsid w:val="471A5C34"/>
    <w:rsid w:val="47560017"/>
    <w:rsid w:val="47652830"/>
    <w:rsid w:val="48365107"/>
    <w:rsid w:val="499A49CE"/>
    <w:rsid w:val="49A17BDC"/>
    <w:rsid w:val="49AA71E7"/>
    <w:rsid w:val="49B06B72"/>
    <w:rsid w:val="4A205F2C"/>
    <w:rsid w:val="4A4A12EF"/>
    <w:rsid w:val="4A7D2A42"/>
    <w:rsid w:val="4A8920D8"/>
    <w:rsid w:val="4B3E507F"/>
    <w:rsid w:val="4B4C7C18"/>
    <w:rsid w:val="4B51629E"/>
    <w:rsid w:val="4BE56B11"/>
    <w:rsid w:val="4CDC3826"/>
    <w:rsid w:val="4CE0222C"/>
    <w:rsid w:val="4D295EA4"/>
    <w:rsid w:val="4D3806BD"/>
    <w:rsid w:val="4DE904E0"/>
    <w:rsid w:val="4E7874FD"/>
    <w:rsid w:val="4E925476"/>
    <w:rsid w:val="4F7769ED"/>
    <w:rsid w:val="4F917597"/>
    <w:rsid w:val="4F932A9A"/>
    <w:rsid w:val="4FAA26BF"/>
    <w:rsid w:val="4FAD6EC7"/>
    <w:rsid w:val="500E23E4"/>
    <w:rsid w:val="501036E9"/>
    <w:rsid w:val="50175272"/>
    <w:rsid w:val="504F0C4F"/>
    <w:rsid w:val="5110328B"/>
    <w:rsid w:val="51324AC5"/>
    <w:rsid w:val="51BF4329"/>
    <w:rsid w:val="52185CBC"/>
    <w:rsid w:val="522030C9"/>
    <w:rsid w:val="526E44CD"/>
    <w:rsid w:val="527F6965"/>
    <w:rsid w:val="528B5FFB"/>
    <w:rsid w:val="52D62BF7"/>
    <w:rsid w:val="52D82877"/>
    <w:rsid w:val="52E26A0A"/>
    <w:rsid w:val="52F1599F"/>
    <w:rsid w:val="532E5804"/>
    <w:rsid w:val="534741B0"/>
    <w:rsid w:val="535A53CF"/>
    <w:rsid w:val="53A15B43"/>
    <w:rsid w:val="53D57297"/>
    <w:rsid w:val="53F10DC5"/>
    <w:rsid w:val="53FD7C77"/>
    <w:rsid w:val="54411E49"/>
    <w:rsid w:val="545974F0"/>
    <w:rsid w:val="54EB4860"/>
    <w:rsid w:val="55587413"/>
    <w:rsid w:val="55893465"/>
    <w:rsid w:val="55A92695"/>
    <w:rsid w:val="55CF0356"/>
    <w:rsid w:val="56CB3A71"/>
    <w:rsid w:val="56E23696"/>
    <w:rsid w:val="56F75BB2"/>
    <w:rsid w:val="57212282"/>
    <w:rsid w:val="572C6094"/>
    <w:rsid w:val="57CF589D"/>
    <w:rsid w:val="57F944E3"/>
    <w:rsid w:val="58676D16"/>
    <w:rsid w:val="58A65901"/>
    <w:rsid w:val="58D802CE"/>
    <w:rsid w:val="58DC4756"/>
    <w:rsid w:val="5905591A"/>
    <w:rsid w:val="590A1DA2"/>
    <w:rsid w:val="5A0C4E48"/>
    <w:rsid w:val="5A0F5DCC"/>
    <w:rsid w:val="5A19415E"/>
    <w:rsid w:val="5A20736C"/>
    <w:rsid w:val="5A687760"/>
    <w:rsid w:val="5A833B8D"/>
    <w:rsid w:val="5A8A0F99"/>
    <w:rsid w:val="5ADC1C9D"/>
    <w:rsid w:val="5B3B333C"/>
    <w:rsid w:val="5B4638CB"/>
    <w:rsid w:val="5BB70707"/>
    <w:rsid w:val="5C767840"/>
    <w:rsid w:val="5C8F2968"/>
    <w:rsid w:val="5CAE321D"/>
    <w:rsid w:val="5CEE6205"/>
    <w:rsid w:val="5D2F6C6E"/>
    <w:rsid w:val="5D6E585A"/>
    <w:rsid w:val="5E086952"/>
    <w:rsid w:val="5E5C1C5F"/>
    <w:rsid w:val="5E7F5697"/>
    <w:rsid w:val="5EA558D6"/>
    <w:rsid w:val="5ECA6A10"/>
    <w:rsid w:val="5F4A27E1"/>
    <w:rsid w:val="5F7836B0"/>
    <w:rsid w:val="5FD15044"/>
    <w:rsid w:val="60B8623B"/>
    <w:rsid w:val="612E74FF"/>
    <w:rsid w:val="614B102D"/>
    <w:rsid w:val="620E3DBB"/>
    <w:rsid w:val="621E4888"/>
    <w:rsid w:val="623644AE"/>
    <w:rsid w:val="626207F5"/>
    <w:rsid w:val="62643CF8"/>
    <w:rsid w:val="632D4A46"/>
    <w:rsid w:val="63364050"/>
    <w:rsid w:val="63415C65"/>
    <w:rsid w:val="634C61F4"/>
    <w:rsid w:val="6437077B"/>
    <w:rsid w:val="645779AB"/>
    <w:rsid w:val="646060BC"/>
    <w:rsid w:val="6489147F"/>
    <w:rsid w:val="64B435C8"/>
    <w:rsid w:val="65164566"/>
    <w:rsid w:val="6584299C"/>
    <w:rsid w:val="6585261B"/>
    <w:rsid w:val="659F31C5"/>
    <w:rsid w:val="65A044CA"/>
    <w:rsid w:val="66325FB7"/>
    <w:rsid w:val="6666770B"/>
    <w:rsid w:val="67192A32"/>
    <w:rsid w:val="671962B5"/>
    <w:rsid w:val="672B1A53"/>
    <w:rsid w:val="67737C48"/>
    <w:rsid w:val="67826BDE"/>
    <w:rsid w:val="679641A1"/>
    <w:rsid w:val="67A24F14"/>
    <w:rsid w:val="681419D0"/>
    <w:rsid w:val="686D205F"/>
    <w:rsid w:val="68B150D2"/>
    <w:rsid w:val="68E0239E"/>
    <w:rsid w:val="69282789"/>
    <w:rsid w:val="692C4A1B"/>
    <w:rsid w:val="694677C3"/>
    <w:rsid w:val="694A3FCB"/>
    <w:rsid w:val="695A4266"/>
    <w:rsid w:val="698044A5"/>
    <w:rsid w:val="69EB5D53"/>
    <w:rsid w:val="69EF255B"/>
    <w:rsid w:val="6A5B510D"/>
    <w:rsid w:val="6AAF1314"/>
    <w:rsid w:val="6AFA5F10"/>
    <w:rsid w:val="6B0A3FAC"/>
    <w:rsid w:val="6B896A79"/>
    <w:rsid w:val="6BD35BF3"/>
    <w:rsid w:val="6BDD3F84"/>
    <w:rsid w:val="6BF22C25"/>
    <w:rsid w:val="6C327292"/>
    <w:rsid w:val="6CBF2379"/>
    <w:rsid w:val="6CE1032F"/>
    <w:rsid w:val="6D0A36F2"/>
    <w:rsid w:val="6D8433BC"/>
    <w:rsid w:val="6D9745DB"/>
    <w:rsid w:val="6DEC1AE6"/>
    <w:rsid w:val="6E095596"/>
    <w:rsid w:val="6E47566F"/>
    <w:rsid w:val="6E732CC4"/>
    <w:rsid w:val="6F02382D"/>
    <w:rsid w:val="6F2B6BEF"/>
    <w:rsid w:val="6FA8783E"/>
    <w:rsid w:val="6FAC3CC5"/>
    <w:rsid w:val="6FD5763E"/>
    <w:rsid w:val="70337422"/>
    <w:rsid w:val="704D5DCD"/>
    <w:rsid w:val="70597661"/>
    <w:rsid w:val="70D624AE"/>
    <w:rsid w:val="7119421C"/>
    <w:rsid w:val="71AD6C8E"/>
    <w:rsid w:val="71BF242C"/>
    <w:rsid w:val="71C730BB"/>
    <w:rsid w:val="71DD525F"/>
    <w:rsid w:val="7237336F"/>
    <w:rsid w:val="72D1356D"/>
    <w:rsid w:val="737407F8"/>
    <w:rsid w:val="73C572FE"/>
    <w:rsid w:val="73E752B4"/>
    <w:rsid w:val="73ED71BD"/>
    <w:rsid w:val="741D578E"/>
    <w:rsid w:val="74597B71"/>
    <w:rsid w:val="7468238A"/>
    <w:rsid w:val="74884E3D"/>
    <w:rsid w:val="74D202D2"/>
    <w:rsid w:val="75306550"/>
    <w:rsid w:val="755B2C17"/>
    <w:rsid w:val="759365F4"/>
    <w:rsid w:val="75DF53EF"/>
    <w:rsid w:val="761F61D8"/>
    <w:rsid w:val="763A2285"/>
    <w:rsid w:val="7647739D"/>
    <w:rsid w:val="77771C8D"/>
    <w:rsid w:val="77F34E5A"/>
    <w:rsid w:val="77F65DDE"/>
    <w:rsid w:val="78237BA7"/>
    <w:rsid w:val="785E0C86"/>
    <w:rsid w:val="788A0850"/>
    <w:rsid w:val="792606CF"/>
    <w:rsid w:val="79EE0117"/>
    <w:rsid w:val="79FA77AD"/>
    <w:rsid w:val="79FF03B2"/>
    <w:rsid w:val="7A055B3E"/>
    <w:rsid w:val="7A4778AC"/>
    <w:rsid w:val="7A82098B"/>
    <w:rsid w:val="7AAC5052"/>
    <w:rsid w:val="7B13027A"/>
    <w:rsid w:val="7B2C0E24"/>
    <w:rsid w:val="7B9E45DB"/>
    <w:rsid w:val="7BF97273"/>
    <w:rsid w:val="7C4363ED"/>
    <w:rsid w:val="7C6E4CB3"/>
    <w:rsid w:val="7C73113B"/>
    <w:rsid w:val="7CAE2219"/>
    <w:rsid w:val="7CC80845"/>
    <w:rsid w:val="7D366C7B"/>
    <w:rsid w:val="7D741FE3"/>
    <w:rsid w:val="7EC16401"/>
    <w:rsid w:val="7EF45957"/>
    <w:rsid w:val="7F5027ED"/>
    <w:rsid w:val="7F785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nhideWhenUsed="0" w:uiPriority="0" w:semiHidden="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nhideWhenUsed="0"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uiPriority w:val="0"/>
    <w:rPr>
      <w:rFonts w:ascii="Times New Roman" w:hAnsi="Times New Roman" w:cs="Times New Roman"/>
      <w:szCs w:val="24"/>
    </w:rPr>
  </w:style>
  <w:style w:type="paragraph" w:styleId="6">
    <w:name w:val="footnote text"/>
    <w:basedOn w:val="1"/>
    <w:uiPriority w:val="0"/>
    <w:pPr>
      <w:snapToGrid w:val="0"/>
      <w:jc w:val="left"/>
    </w:pPr>
    <w:rPr>
      <w:rFonts w:cs="Times New Roman"/>
      <w:sz w:val="18"/>
      <w:szCs w:val="18"/>
    </w:rPr>
  </w:style>
  <w:style w:type="paragraph" w:styleId="7">
    <w:name w:val="toc 2"/>
    <w:basedOn w:val="1"/>
    <w:next w:val="1"/>
    <w:uiPriority w:val="0"/>
    <w:pPr>
      <w:ind w:left="200" w:leftChars="200"/>
    </w:pPr>
    <w:rPr>
      <w:rFonts w:ascii="Times New Roman" w:hAnsi="Times New Roman" w:cs="Times New Roman"/>
      <w:szCs w:val="24"/>
    </w:rPr>
  </w:style>
  <w:style w:type="character" w:styleId="10">
    <w:name w:val="footnote reference"/>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2">
    <w:name w:val="font11"/>
    <w:qFormat/>
    <w:uiPriority w:val="0"/>
    <w:rPr>
      <w:rFonts w:ascii="仿宋_GB2312" w:eastAsia="仿宋_GB2312" w:cs="仿宋_GB2312"/>
      <w:color w:val="000000"/>
      <w:sz w:val="18"/>
      <w:szCs w:val="18"/>
      <w:u w:val="none"/>
    </w:rPr>
  </w:style>
  <w:style w:type="character" w:customStyle="1" w:styleId="13">
    <w:name w:val="font112"/>
    <w:qFormat/>
    <w:uiPriority w:val="0"/>
    <w:rPr>
      <w:rFonts w:hint="eastAsia" w:ascii="宋体" w:hAnsi="宋体" w:eastAsia="宋体" w:cs="宋体"/>
      <w:color w:val="000000"/>
      <w:sz w:val="18"/>
      <w:szCs w:val="18"/>
      <w:u w:val="none"/>
    </w:rPr>
  </w:style>
  <w:style w:type="character" w:customStyle="1" w:styleId="14">
    <w:name w:val="font141"/>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4143</Words>
  <Characters>4399</Characters>
  <Lines>50</Lines>
  <Paragraphs>14</Paragraphs>
  <TotalTime>4293308450</TotalTime>
  <ScaleCrop>false</ScaleCrop>
  <LinksUpToDate>false</LinksUpToDate>
  <CharactersWithSpaces>4464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2021-03-05T04:41:00Z</dcterms:created>
  <dc:creator>guest</dc:creator>
  <cp:lastModifiedBy>BianL</cp:lastModifiedBy>
  <cp:lastPrinted>2018-01-30T07:12:00Z</cp:lastPrinted>
  <dcterms:modified xsi:type="dcterms:W3CDTF">2021-03-05T09:44:11Z</dcterms:modified>
  <dc:title>廊坊市纪委旧州管理中心</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eyJoZGlkIjoiZmY5NWQxY2YwYjNiOWFiZTFhMWQ1YWJmNzAxNWU0MmEifQ==</vt:lpwstr>
  </property>
  <property fmtid="{D5CDD505-2E9C-101B-9397-08002B2CF9AE}" pid="4" name="ICV">
    <vt:lpwstr>89CD3E02D0CC4AC491B63B6CB15B592D_12</vt:lpwstr>
  </property>
</Properties>
</file>