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262644">
      <w:pPr>
        <w:spacing w:line="584" w:lineRule="exact"/>
        <w:ind w:firstLine="880" w:firstLineChars="200"/>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廊坊市</w:t>
      </w:r>
      <w:r>
        <w:rPr>
          <w:rFonts w:hint="eastAsia" w:ascii="Times New Roman" w:hAnsi="Times New Roman" w:eastAsia="方正小标宋简体" w:cs="Times New Roman"/>
          <w:sz w:val="44"/>
          <w:szCs w:val="44"/>
        </w:rPr>
        <w:t>档案馆</w:t>
      </w:r>
      <w:r>
        <w:rPr>
          <w:rFonts w:ascii="Times New Roman" w:hAnsi="Times New Roman" w:eastAsia="方正小标宋简体" w:cs="Times New Roman"/>
          <w:sz w:val="44"/>
          <w:szCs w:val="44"/>
        </w:rPr>
        <w:t>20</w:t>
      </w:r>
      <w:r>
        <w:rPr>
          <w:rFonts w:hint="eastAsia" w:ascii="Times New Roman" w:hAnsi="Times New Roman" w:eastAsia="方正小标宋简体" w:cs="Times New Roman"/>
          <w:sz w:val="44"/>
          <w:szCs w:val="44"/>
        </w:rPr>
        <w:t>23</w:t>
      </w:r>
      <w:r>
        <w:rPr>
          <w:rFonts w:ascii="Times New Roman" w:hAnsi="Times New Roman" w:eastAsia="方正小标宋简体" w:cs="Times New Roman"/>
          <w:sz w:val="44"/>
          <w:szCs w:val="44"/>
        </w:rPr>
        <w:t>年</w:t>
      </w:r>
      <w:r>
        <w:rPr>
          <w:rFonts w:hint="eastAsia" w:ascii="Times New Roman" w:hAnsi="Times New Roman" w:eastAsia="方正小标宋简体" w:cs="Times New Roman"/>
          <w:sz w:val="44"/>
          <w:szCs w:val="44"/>
        </w:rPr>
        <w:t>单位</w:t>
      </w:r>
      <w:r>
        <w:rPr>
          <w:rFonts w:ascii="Times New Roman" w:hAnsi="Times New Roman" w:eastAsia="方正小标宋简体" w:cs="Times New Roman"/>
          <w:sz w:val="44"/>
          <w:szCs w:val="44"/>
        </w:rPr>
        <w:t>预算信息公开</w:t>
      </w:r>
      <w:r>
        <w:rPr>
          <w:rFonts w:hint="eastAsia" w:ascii="Times New Roman" w:hAnsi="Times New Roman" w:eastAsia="方正小标宋简体" w:cs="Times New Roman"/>
          <w:sz w:val="44"/>
          <w:szCs w:val="44"/>
        </w:rPr>
        <w:t>情况说明</w:t>
      </w:r>
    </w:p>
    <w:p w14:paraId="6B67E854">
      <w:pPr>
        <w:spacing w:line="584" w:lineRule="exact"/>
        <w:ind w:firstLine="880" w:firstLineChars="200"/>
        <w:jc w:val="center"/>
        <w:rPr>
          <w:rFonts w:ascii="Times New Roman" w:hAnsi="Times New Roman" w:eastAsia="仿宋_GB2312" w:cs="Times New Roman"/>
          <w:sz w:val="44"/>
          <w:szCs w:val="44"/>
        </w:rPr>
      </w:pPr>
    </w:p>
    <w:p w14:paraId="1CE3E82E">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按照《中华人民共和国预算法》、《中华人民共和国预算法实施条例》、《地方预决算公开操作规程》和《河北省省级预算公开办法》规定，现将廊坊市</w:t>
      </w:r>
      <w:r>
        <w:rPr>
          <w:rFonts w:hint="eastAsia" w:ascii="Times New Roman" w:hAnsi="Times New Roman" w:eastAsia="仿宋_GB2312" w:cs="Times New Roman"/>
          <w:sz w:val="32"/>
          <w:szCs w:val="32"/>
        </w:rPr>
        <w:t>档案馆</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单位</w:t>
      </w:r>
      <w:r>
        <w:rPr>
          <w:rFonts w:ascii="Times New Roman" w:hAnsi="Times New Roman" w:eastAsia="仿宋_GB2312" w:cs="Times New Roman"/>
          <w:sz w:val="32"/>
          <w:szCs w:val="32"/>
        </w:rPr>
        <w:t>预算</w:t>
      </w:r>
      <w:r>
        <w:rPr>
          <w:rFonts w:hint="eastAsia" w:ascii="Times New Roman" w:hAnsi="Times New Roman" w:eastAsia="仿宋_GB2312" w:cs="Times New Roman"/>
          <w:sz w:val="32"/>
          <w:szCs w:val="32"/>
        </w:rPr>
        <w:t>信息</w:t>
      </w:r>
      <w:r>
        <w:rPr>
          <w:rFonts w:ascii="Times New Roman" w:hAnsi="Times New Roman" w:eastAsia="仿宋_GB2312" w:cs="Times New Roman"/>
          <w:sz w:val="32"/>
          <w:szCs w:val="32"/>
        </w:rPr>
        <w:t>公开如下：</w:t>
      </w:r>
    </w:p>
    <w:p w14:paraId="3A52C200">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一、</w:t>
      </w:r>
      <w:r>
        <w:rPr>
          <w:rFonts w:hint="eastAsia" w:ascii="Times New Roman" w:hAnsi="黑体" w:eastAsia="黑体" w:cs="Times New Roman"/>
          <w:sz w:val="32"/>
          <w:szCs w:val="32"/>
        </w:rPr>
        <w:t>单位</w:t>
      </w:r>
      <w:r>
        <w:rPr>
          <w:rFonts w:ascii="Times New Roman" w:hAnsi="黑体" w:eastAsia="黑体" w:cs="Times New Roman"/>
          <w:sz w:val="32"/>
          <w:szCs w:val="32"/>
        </w:rPr>
        <w:t>职责及机构设置情况</w:t>
      </w:r>
    </w:p>
    <w:p w14:paraId="55DC031E">
      <w:pPr>
        <w:spacing w:line="584" w:lineRule="exact"/>
        <w:ind w:firstLine="643" w:firstLineChars="200"/>
        <w:rPr>
          <w:rFonts w:ascii="Times New Roman" w:hAnsi="Times New Roman" w:eastAsia="楷体_GB2312" w:cs="Times New Roman"/>
          <w:b/>
          <w:sz w:val="32"/>
          <w:szCs w:val="32"/>
        </w:rPr>
      </w:pPr>
      <w:r>
        <w:rPr>
          <w:rFonts w:hint="eastAsia" w:ascii="Times New Roman" w:hAnsi="Times New Roman" w:eastAsia="楷体_GB2312" w:cs="Times New Roman"/>
          <w:b/>
          <w:sz w:val="32"/>
          <w:szCs w:val="32"/>
        </w:rPr>
        <w:t>单位</w:t>
      </w:r>
      <w:r>
        <w:rPr>
          <w:rFonts w:ascii="Times New Roman" w:hAnsi="Times New Roman" w:eastAsia="楷体_GB2312" w:cs="Times New Roman"/>
          <w:b/>
          <w:sz w:val="32"/>
          <w:szCs w:val="32"/>
        </w:rPr>
        <w:t>职责：</w:t>
      </w:r>
    </w:p>
    <w:p w14:paraId="0B611B7B">
      <w:pPr>
        <w:pStyle w:val="23"/>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贯彻执行国家、省和市有关档案管理的法律、法规、规章。</w:t>
      </w:r>
    </w:p>
    <w:p w14:paraId="47A1B20E">
      <w:pPr>
        <w:pStyle w:val="23"/>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集中统一管理市直机关各历史时期的档案</w:t>
      </w:r>
      <w:r>
        <w:rPr>
          <w:rFonts w:hint="eastAsia" w:ascii="Times New Roman" w:hAnsi="Times New Roman" w:eastAsia="仿宋_GB2312" w:cs="Times New Roman"/>
          <w:sz w:val="32"/>
          <w:szCs w:val="32"/>
        </w:rPr>
        <w:tab/>
      </w:r>
      <w:r>
        <w:rPr>
          <w:rFonts w:hint="eastAsia" w:ascii="Times New Roman" w:hAnsi="Times New Roman" w:eastAsia="仿宋_GB2312" w:cs="Times New Roman"/>
          <w:sz w:val="32"/>
          <w:szCs w:val="32"/>
        </w:rPr>
        <w:t>资料，保守党和国家机密，维护档案完整，确保档案资料安全。</w:t>
      </w:r>
    </w:p>
    <w:p w14:paraId="38419D8E">
      <w:pPr>
        <w:pStyle w:val="23"/>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接收市委、市人大、市政府、市政协、市纪委监委及市直各机关、单位应进馆的档案资料。</w:t>
      </w:r>
    </w:p>
    <w:p w14:paraId="680081C8">
      <w:pPr>
        <w:pStyle w:val="23"/>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征集散存在社会上对国家和社会有保存价值的珍贵档案资料。</w:t>
      </w:r>
    </w:p>
    <w:p w14:paraId="07B04A2E">
      <w:pPr>
        <w:pStyle w:val="23"/>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负责馆藏档案资料的整理、编目、鉴定、统计和技术保护工作。</w:t>
      </w:r>
    </w:p>
    <w:p w14:paraId="3F4E3BD0">
      <w:pPr>
        <w:pStyle w:val="23"/>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依法开放档案，为党和政府及社会各方面提供利用服务。</w:t>
      </w:r>
    </w:p>
    <w:p w14:paraId="28B0AE93">
      <w:pPr>
        <w:pStyle w:val="23"/>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承担政府公开信息的收集、管理和集中查阅工作。</w:t>
      </w:r>
    </w:p>
    <w:p w14:paraId="0110DF81">
      <w:pPr>
        <w:pStyle w:val="23"/>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开发档案信息资源，开展档案史料编研出版、展览陈列和社会教育活动。</w:t>
      </w:r>
    </w:p>
    <w:p w14:paraId="0F34C2EF">
      <w:pPr>
        <w:pStyle w:val="23"/>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运用现代化技术手段，开展馆藏档案信息化建设。</w:t>
      </w:r>
    </w:p>
    <w:p w14:paraId="4A9E0134">
      <w:pPr>
        <w:pStyle w:val="23"/>
        <w:numPr>
          <w:ilvl w:val="0"/>
          <w:numId w:val="1"/>
        </w:numPr>
        <w:spacing w:line="584" w:lineRule="exact"/>
        <w:ind w:firstLineChars="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完成市委交办的其他任务。</w:t>
      </w:r>
    </w:p>
    <w:p w14:paraId="71AA30DC">
      <w:pPr>
        <w:autoSpaceDE w:val="0"/>
        <w:autoSpaceDN w:val="0"/>
        <w:adjustRightInd w:val="0"/>
        <w:spacing w:line="584" w:lineRule="exact"/>
        <w:ind w:firstLine="630" w:firstLineChars="196"/>
        <w:jc w:val="left"/>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14:paraId="68A13B34">
      <w:pPr>
        <w:spacing w:line="584" w:lineRule="exact"/>
        <w:jc w:val="center"/>
        <w:outlineLvl w:val="0"/>
        <w:rPr>
          <w:rFonts w:ascii="Times New Roman" w:hAnsi="Times New Roman" w:eastAsia="仿宋_GB2312" w:cs="Times New Roman"/>
          <w:b/>
          <w:sz w:val="32"/>
          <w:szCs w:val="24"/>
        </w:rPr>
      </w:pPr>
      <w:r>
        <w:rPr>
          <w:rFonts w:hint="eastAsia" w:ascii="Times New Roman" w:hAnsi="Times New Roman" w:eastAsia="仿宋_GB2312" w:cs="Times New Roman"/>
          <w:b/>
          <w:sz w:val="32"/>
          <w:szCs w:val="24"/>
        </w:rPr>
        <w:t>单位</w:t>
      </w:r>
      <w:r>
        <w:rPr>
          <w:rFonts w:ascii="Times New Roman" w:hAnsi="Times New Roman" w:eastAsia="仿宋_GB2312" w:cs="Times New Roman"/>
          <w:b/>
          <w:sz w:val="32"/>
          <w:szCs w:val="24"/>
        </w:rPr>
        <w:t>机构设置情况</w:t>
      </w:r>
    </w:p>
    <w:tbl>
      <w:tblPr>
        <w:tblStyle w:val="8"/>
        <w:tblW w:w="100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163"/>
        <w:gridCol w:w="1568"/>
        <w:gridCol w:w="1569"/>
        <w:gridCol w:w="3707"/>
      </w:tblGrid>
      <w:tr w14:paraId="4AC3C0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26" w:hRule="atLeast"/>
          <w:tblHeader/>
          <w:jc w:val="center"/>
        </w:trPr>
        <w:tc>
          <w:tcPr>
            <w:tcW w:w="3163" w:type="dxa"/>
            <w:vMerge w:val="restart"/>
            <w:shd w:val="clear" w:color="auto" w:fill="auto"/>
            <w:vAlign w:val="center"/>
          </w:tcPr>
          <w:p w14:paraId="3BAE1C10">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单位名称</w:t>
            </w:r>
          </w:p>
        </w:tc>
        <w:tc>
          <w:tcPr>
            <w:tcW w:w="1568" w:type="dxa"/>
            <w:vMerge w:val="restart"/>
            <w:shd w:val="clear" w:color="auto" w:fill="auto"/>
            <w:vAlign w:val="center"/>
          </w:tcPr>
          <w:p w14:paraId="7FB80014">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单位性质</w:t>
            </w:r>
          </w:p>
        </w:tc>
        <w:tc>
          <w:tcPr>
            <w:tcW w:w="1569" w:type="dxa"/>
            <w:vMerge w:val="restart"/>
            <w:shd w:val="clear" w:color="auto" w:fill="auto"/>
            <w:vAlign w:val="center"/>
          </w:tcPr>
          <w:p w14:paraId="060E02EA">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单位规格</w:t>
            </w:r>
          </w:p>
        </w:tc>
        <w:tc>
          <w:tcPr>
            <w:tcW w:w="3707" w:type="dxa"/>
            <w:vMerge w:val="restart"/>
            <w:shd w:val="clear" w:color="auto" w:fill="auto"/>
            <w:vAlign w:val="center"/>
          </w:tcPr>
          <w:p w14:paraId="3CFCE16A">
            <w:pPr>
              <w:spacing w:line="584" w:lineRule="exact"/>
              <w:jc w:val="center"/>
              <w:rPr>
                <w:rFonts w:ascii="Times New Roman" w:hAnsi="Times New Roman" w:eastAsia="仿宋_GB2312" w:cs="Times New Roman"/>
                <w:b/>
                <w:szCs w:val="24"/>
              </w:rPr>
            </w:pPr>
            <w:r>
              <w:rPr>
                <w:rFonts w:ascii="Times New Roman" w:hAnsi="Times New Roman" w:eastAsia="仿宋_GB2312" w:cs="Times New Roman"/>
                <w:b/>
                <w:szCs w:val="24"/>
              </w:rPr>
              <w:t>经费保障形式</w:t>
            </w:r>
          </w:p>
        </w:tc>
      </w:tr>
      <w:tr w14:paraId="13F7D5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3163" w:type="dxa"/>
            <w:vMerge w:val="continue"/>
            <w:shd w:val="clear" w:color="auto" w:fill="auto"/>
            <w:vAlign w:val="center"/>
          </w:tcPr>
          <w:p w14:paraId="3F972302">
            <w:pPr>
              <w:spacing w:line="584" w:lineRule="exact"/>
              <w:jc w:val="left"/>
              <w:outlineLvl w:val="0"/>
              <w:rPr>
                <w:rFonts w:ascii="Times New Roman" w:hAnsi="Times New Roman" w:eastAsia="仿宋_GB2312" w:cs="Times New Roman"/>
                <w:szCs w:val="24"/>
              </w:rPr>
            </w:pPr>
          </w:p>
        </w:tc>
        <w:tc>
          <w:tcPr>
            <w:tcW w:w="1568" w:type="dxa"/>
            <w:vMerge w:val="continue"/>
            <w:shd w:val="clear" w:color="auto" w:fill="auto"/>
            <w:vAlign w:val="center"/>
          </w:tcPr>
          <w:p w14:paraId="0FEB8528">
            <w:pPr>
              <w:spacing w:line="584" w:lineRule="exact"/>
              <w:jc w:val="left"/>
              <w:outlineLvl w:val="0"/>
              <w:rPr>
                <w:rFonts w:ascii="Times New Roman" w:hAnsi="Times New Roman" w:eastAsia="仿宋_GB2312" w:cs="Times New Roman"/>
                <w:szCs w:val="24"/>
              </w:rPr>
            </w:pPr>
          </w:p>
        </w:tc>
        <w:tc>
          <w:tcPr>
            <w:tcW w:w="1569" w:type="dxa"/>
            <w:vMerge w:val="continue"/>
            <w:shd w:val="clear" w:color="auto" w:fill="auto"/>
            <w:vAlign w:val="center"/>
          </w:tcPr>
          <w:p w14:paraId="46B4E241">
            <w:pPr>
              <w:spacing w:line="584" w:lineRule="exact"/>
              <w:jc w:val="left"/>
              <w:outlineLvl w:val="0"/>
              <w:rPr>
                <w:rFonts w:ascii="Times New Roman" w:hAnsi="Times New Roman" w:eastAsia="仿宋_GB2312" w:cs="Times New Roman"/>
                <w:szCs w:val="24"/>
              </w:rPr>
            </w:pPr>
          </w:p>
        </w:tc>
        <w:tc>
          <w:tcPr>
            <w:tcW w:w="3707" w:type="dxa"/>
            <w:vMerge w:val="continue"/>
            <w:shd w:val="clear" w:color="auto" w:fill="auto"/>
            <w:vAlign w:val="center"/>
          </w:tcPr>
          <w:p w14:paraId="711AD544">
            <w:pPr>
              <w:spacing w:line="584" w:lineRule="exact"/>
              <w:jc w:val="left"/>
              <w:outlineLvl w:val="0"/>
              <w:rPr>
                <w:rFonts w:ascii="Times New Roman" w:hAnsi="Times New Roman" w:eastAsia="仿宋_GB2312" w:cs="Times New Roman"/>
                <w:szCs w:val="24"/>
              </w:rPr>
            </w:pPr>
          </w:p>
        </w:tc>
      </w:tr>
      <w:tr w14:paraId="0F1E88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092" w:hRule="atLeast"/>
          <w:jc w:val="center"/>
        </w:trPr>
        <w:tc>
          <w:tcPr>
            <w:tcW w:w="3163" w:type="dxa"/>
            <w:shd w:val="clear" w:color="auto" w:fill="auto"/>
            <w:vAlign w:val="center"/>
          </w:tcPr>
          <w:p w14:paraId="04499888">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廊坊市档案馆</w:t>
            </w:r>
          </w:p>
        </w:tc>
        <w:tc>
          <w:tcPr>
            <w:tcW w:w="1568" w:type="dxa"/>
            <w:shd w:val="clear" w:color="auto" w:fill="auto"/>
            <w:vAlign w:val="center"/>
          </w:tcPr>
          <w:p w14:paraId="66F4CBAB">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全额事业</w:t>
            </w:r>
          </w:p>
        </w:tc>
        <w:tc>
          <w:tcPr>
            <w:tcW w:w="1569" w:type="dxa"/>
            <w:shd w:val="clear" w:color="auto" w:fill="auto"/>
            <w:vAlign w:val="center"/>
          </w:tcPr>
          <w:p w14:paraId="08956FB7">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正处级</w:t>
            </w:r>
          </w:p>
        </w:tc>
        <w:tc>
          <w:tcPr>
            <w:tcW w:w="3707" w:type="dxa"/>
            <w:shd w:val="clear" w:color="auto" w:fill="auto"/>
            <w:vAlign w:val="center"/>
          </w:tcPr>
          <w:p w14:paraId="43B76430">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rPr>
              <w:t>财政性资金基本保证</w:t>
            </w:r>
          </w:p>
        </w:tc>
      </w:tr>
    </w:tbl>
    <w:p w14:paraId="23656820">
      <w:pPr>
        <w:spacing w:line="584"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二、</w:t>
      </w:r>
      <w:r>
        <w:rPr>
          <w:rFonts w:hint="eastAsia" w:ascii="Times New Roman" w:hAnsi="黑体" w:eastAsia="黑体" w:cs="Times New Roman"/>
          <w:sz w:val="32"/>
          <w:szCs w:val="32"/>
        </w:rPr>
        <w:t>单位</w:t>
      </w:r>
      <w:r>
        <w:rPr>
          <w:rFonts w:ascii="Times New Roman" w:hAnsi="黑体" w:eastAsia="黑体" w:cs="Times New Roman"/>
          <w:sz w:val="32"/>
          <w:szCs w:val="32"/>
        </w:rPr>
        <w:t>预算安排的总体情况</w:t>
      </w:r>
    </w:p>
    <w:p w14:paraId="59AC766C">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w:t>
      </w:r>
      <w:r>
        <w:rPr>
          <w:rFonts w:hint="eastAsia" w:ascii="Times New Roman" w:hAnsi="Times New Roman" w:eastAsia="仿宋_GB2312" w:cs="Times New Roman"/>
          <w:sz w:val="32"/>
          <w:szCs w:val="32"/>
        </w:rPr>
        <w:t>单位</w:t>
      </w:r>
      <w:r>
        <w:rPr>
          <w:rFonts w:ascii="Times New Roman" w:hAnsi="Times New Roman" w:eastAsia="仿宋_GB2312" w:cs="Times New Roman"/>
          <w:sz w:val="32"/>
          <w:szCs w:val="32"/>
        </w:rPr>
        <w:t>预算的编制实行综合预算制度，即全部收入和支出都反映在预算中。</w:t>
      </w:r>
    </w:p>
    <w:p w14:paraId="46EC6062">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1、收入说明</w:t>
      </w:r>
    </w:p>
    <w:p w14:paraId="439CC2D3">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反映本</w:t>
      </w:r>
      <w:r>
        <w:rPr>
          <w:rFonts w:hint="eastAsia" w:ascii="Times New Roman" w:hAnsi="Times New Roman" w:eastAsia="仿宋_GB2312" w:cs="Times New Roman"/>
          <w:sz w:val="32"/>
          <w:szCs w:val="32"/>
        </w:rPr>
        <w:t>单位</w:t>
      </w:r>
      <w:r>
        <w:rPr>
          <w:rFonts w:ascii="Times New Roman" w:hAnsi="Times New Roman" w:eastAsia="仿宋_GB2312" w:cs="Times New Roman"/>
          <w:sz w:val="32"/>
          <w:szCs w:val="32"/>
        </w:rPr>
        <w:t>当年全部收入。20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年预算收入</w:t>
      </w:r>
      <w:r>
        <w:rPr>
          <w:rFonts w:hint="eastAsia" w:ascii="Times New Roman" w:hAnsi="Times New Roman" w:eastAsia="仿宋_GB2312" w:cs="Times New Roman"/>
          <w:sz w:val="32"/>
          <w:szCs w:val="32"/>
        </w:rPr>
        <w:t>814.39</w:t>
      </w:r>
      <w:r>
        <w:rPr>
          <w:rFonts w:ascii="Times New Roman" w:hAnsi="Times New Roman" w:eastAsia="仿宋_GB2312" w:cs="Times New Roman"/>
          <w:sz w:val="32"/>
          <w:szCs w:val="32"/>
        </w:rPr>
        <w:t>万元，其中：一般公共预算收入</w:t>
      </w:r>
      <w:r>
        <w:rPr>
          <w:rFonts w:hint="eastAsia" w:ascii="Times New Roman" w:hAnsi="Times New Roman" w:eastAsia="仿宋_GB2312" w:cs="Times New Roman"/>
          <w:sz w:val="32"/>
          <w:szCs w:val="32"/>
        </w:rPr>
        <w:t>814.39</w:t>
      </w:r>
      <w:r>
        <w:rPr>
          <w:rFonts w:ascii="Times New Roman" w:hAnsi="Times New Roman" w:eastAsia="仿宋_GB2312" w:cs="Times New Roman"/>
          <w:sz w:val="32"/>
          <w:szCs w:val="32"/>
        </w:rPr>
        <w:t>万元，基金预算收入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万元，财政专户核拨收入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万元，其他来源收入</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上年结转</w:t>
      </w:r>
      <w:r>
        <w:rPr>
          <w:rFonts w:hint="eastAsia" w:ascii="Times New Roman" w:hAnsi="Times New Roman" w:eastAsia="仿宋_GB2312" w:cs="Times New Roman"/>
          <w:sz w:val="32"/>
          <w:szCs w:val="32"/>
        </w:rPr>
        <w:t>0万元</w:t>
      </w:r>
      <w:r>
        <w:rPr>
          <w:rFonts w:ascii="Times New Roman" w:hAnsi="Times New Roman" w:eastAsia="仿宋_GB2312" w:cs="Times New Roman"/>
          <w:sz w:val="32"/>
          <w:szCs w:val="32"/>
        </w:rPr>
        <w:t>。</w:t>
      </w:r>
    </w:p>
    <w:p w14:paraId="6546AB0B">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2、支出说明</w:t>
      </w:r>
    </w:p>
    <w:p w14:paraId="45D8303E">
      <w:pPr>
        <w:ind w:firstLine="640" w:firstLineChars="200"/>
        <w:rPr>
          <w:rFonts w:ascii="宋体" w:hAnsi="宋体" w:eastAsia="宋体" w:cs="宋体"/>
          <w:color w:val="000000"/>
          <w:kern w:val="0"/>
          <w:sz w:val="20"/>
          <w:szCs w:val="20"/>
        </w:rPr>
      </w:pPr>
      <w:r>
        <w:rPr>
          <w:rFonts w:ascii="Times New Roman" w:hAnsi="Times New Roman" w:eastAsia="仿宋_GB2312" w:cs="Times New Roman"/>
          <w:sz w:val="32"/>
          <w:szCs w:val="32"/>
        </w:rPr>
        <w:t>收支预算总表支出栏、基本支出表、项目支出表按经济分类和支出功能分类科目编制，反映廊坊市</w:t>
      </w:r>
      <w:r>
        <w:rPr>
          <w:rFonts w:hint="eastAsia" w:ascii="Times New Roman" w:hAnsi="Times New Roman" w:eastAsia="仿宋_GB2312" w:cs="Times New Roman"/>
          <w:sz w:val="32"/>
          <w:szCs w:val="32"/>
        </w:rPr>
        <w:t>档案馆本级2023</w:t>
      </w:r>
      <w:r>
        <w:rPr>
          <w:rFonts w:ascii="Times New Roman" w:hAnsi="Times New Roman" w:eastAsia="仿宋_GB2312" w:cs="Times New Roman"/>
          <w:sz w:val="32"/>
          <w:szCs w:val="32"/>
        </w:rPr>
        <w:t>年度</w:t>
      </w:r>
      <w:r>
        <w:rPr>
          <w:rFonts w:hint="eastAsia" w:ascii="Times New Roman" w:hAnsi="Times New Roman" w:eastAsia="仿宋_GB2312" w:cs="Times New Roman"/>
          <w:sz w:val="32"/>
          <w:szCs w:val="32"/>
        </w:rPr>
        <w:t>单位</w:t>
      </w:r>
      <w:r>
        <w:rPr>
          <w:rFonts w:ascii="Times New Roman" w:hAnsi="Times New Roman" w:eastAsia="仿宋_GB2312" w:cs="Times New Roman"/>
          <w:sz w:val="32"/>
          <w:szCs w:val="32"/>
        </w:rPr>
        <w:t>预算中支出预算的总体情况。20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年支出预算</w:t>
      </w:r>
      <w:r>
        <w:rPr>
          <w:rFonts w:hint="eastAsia" w:ascii="Times New Roman" w:hAnsi="Times New Roman" w:eastAsia="仿宋_GB2312" w:cs="Times New Roman"/>
          <w:sz w:val="32"/>
          <w:szCs w:val="32"/>
        </w:rPr>
        <w:t>814.39</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rPr>
        <w:t>594.39</w:t>
      </w:r>
      <w:r>
        <w:rPr>
          <w:rFonts w:ascii="Times New Roman" w:hAnsi="Times New Roman" w:eastAsia="仿宋_GB2312" w:cs="Times New Roman"/>
          <w:sz w:val="32"/>
          <w:szCs w:val="32"/>
        </w:rPr>
        <w:t>万元，包括人员类项目经费</w:t>
      </w:r>
      <w:r>
        <w:rPr>
          <w:rFonts w:hint="eastAsia" w:ascii="Times New Roman" w:hAnsi="Times New Roman" w:eastAsia="仿宋_GB2312" w:cs="Times New Roman"/>
          <w:sz w:val="32"/>
          <w:szCs w:val="32"/>
        </w:rPr>
        <w:t>541.6</w:t>
      </w:r>
      <w:r>
        <w:rPr>
          <w:rFonts w:ascii="Times New Roman" w:hAnsi="Times New Roman" w:eastAsia="仿宋_GB2312" w:cs="Times New Roman"/>
          <w:sz w:val="32"/>
          <w:szCs w:val="32"/>
        </w:rPr>
        <w:t>万元和</w:t>
      </w:r>
      <w:r>
        <w:rPr>
          <w:rFonts w:hint="eastAsia" w:ascii="Times New Roman" w:hAnsi="Times New Roman" w:eastAsia="仿宋_GB2312" w:cs="Times New Roman"/>
          <w:sz w:val="32"/>
          <w:szCs w:val="32"/>
        </w:rPr>
        <w:t>运转类</w:t>
      </w:r>
      <w:r>
        <w:rPr>
          <w:rFonts w:ascii="Times New Roman" w:hAnsi="Times New Roman" w:eastAsia="仿宋_GB2312" w:cs="Times New Roman"/>
          <w:sz w:val="32"/>
          <w:szCs w:val="32"/>
        </w:rPr>
        <w:t>公用项目经费</w:t>
      </w:r>
      <w:r>
        <w:rPr>
          <w:rFonts w:hint="eastAsia" w:ascii="Times New Roman" w:hAnsi="Times New Roman" w:eastAsia="仿宋_GB2312" w:cs="Times New Roman"/>
          <w:sz w:val="32"/>
          <w:szCs w:val="32"/>
        </w:rPr>
        <w:t>52.79</w:t>
      </w:r>
      <w:r>
        <w:rPr>
          <w:rFonts w:ascii="Times New Roman" w:hAnsi="Times New Roman" w:eastAsia="仿宋_GB2312" w:cs="Times New Roman"/>
          <w:sz w:val="32"/>
          <w:szCs w:val="32"/>
        </w:rPr>
        <w:t>万元；运转类其他及特定目标类项目支出</w:t>
      </w:r>
      <w:r>
        <w:rPr>
          <w:rFonts w:hint="eastAsia" w:ascii="Times New Roman" w:hAnsi="Times New Roman" w:eastAsia="仿宋_GB2312" w:cs="Times New Roman"/>
          <w:sz w:val="32"/>
          <w:szCs w:val="32"/>
        </w:rPr>
        <w:t>220</w:t>
      </w:r>
      <w:r>
        <w:rPr>
          <w:rFonts w:ascii="Times New Roman" w:hAnsi="Times New Roman" w:eastAsia="仿宋_GB2312" w:cs="Times New Roman"/>
          <w:sz w:val="32"/>
          <w:szCs w:val="32"/>
        </w:rPr>
        <w:t>万元，包括本级支出</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主要为</w:t>
      </w:r>
      <w:r>
        <w:rPr>
          <w:rFonts w:hint="eastAsia" w:ascii="Times New Roman" w:hAnsi="Times New Roman" w:eastAsia="仿宋_GB2312" w:cs="Times New Roman"/>
          <w:sz w:val="32"/>
          <w:szCs w:val="32"/>
        </w:rPr>
        <w:t>档案馆运行保障经费</w:t>
      </w:r>
      <w:r>
        <w:rPr>
          <w:rFonts w:ascii="Times New Roman" w:hAnsi="Times New Roman" w:eastAsia="仿宋_GB2312" w:cs="Times New Roman"/>
          <w:sz w:val="32"/>
          <w:szCs w:val="32"/>
        </w:rPr>
        <w:t>、</w:t>
      </w:r>
      <w:r>
        <w:rPr>
          <w:rFonts w:hint="eastAsia" w:ascii="仿宋_GB2312" w:hAnsi="宋体" w:eastAsia="仿宋_GB2312" w:cs="宋体"/>
          <w:color w:val="000000"/>
          <w:kern w:val="0"/>
          <w:sz w:val="32"/>
          <w:szCs w:val="32"/>
        </w:rPr>
        <w:t>市档案馆搬迁加固改造及设备购置资金（尾款）。</w:t>
      </w:r>
    </w:p>
    <w:p w14:paraId="4B227411">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3、比上年增减情况</w:t>
      </w:r>
    </w:p>
    <w:p w14:paraId="6B6137CD">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年预算收支安排</w:t>
      </w:r>
      <w:r>
        <w:rPr>
          <w:rFonts w:hint="eastAsia" w:ascii="Times New Roman" w:hAnsi="Times New Roman" w:eastAsia="仿宋_GB2312" w:cs="Times New Roman"/>
          <w:sz w:val="32"/>
          <w:szCs w:val="32"/>
        </w:rPr>
        <w:t>814.39</w:t>
      </w:r>
      <w:r>
        <w:rPr>
          <w:rFonts w:ascii="Times New Roman" w:hAnsi="Times New Roman" w:eastAsia="仿宋_GB2312" w:cs="Times New Roman"/>
          <w:sz w:val="32"/>
          <w:szCs w:val="32"/>
        </w:rPr>
        <w:t>万元，较20</w:t>
      </w:r>
      <w:r>
        <w:rPr>
          <w:rFonts w:hint="eastAsia" w:ascii="Times New Roman" w:hAnsi="Times New Roman" w:eastAsia="仿宋_GB2312" w:cs="Times New Roman"/>
          <w:sz w:val="32"/>
          <w:szCs w:val="32"/>
        </w:rPr>
        <w:t>22</w:t>
      </w:r>
      <w:r>
        <w:rPr>
          <w:rFonts w:ascii="Times New Roman" w:hAnsi="Times New Roman" w:eastAsia="仿宋_GB2312" w:cs="Times New Roman"/>
          <w:sz w:val="32"/>
          <w:szCs w:val="32"/>
        </w:rPr>
        <w:t>年预算减少</w:t>
      </w:r>
      <w:r>
        <w:rPr>
          <w:rFonts w:hint="eastAsia" w:ascii="Times New Roman" w:hAnsi="Times New Roman" w:eastAsia="仿宋_GB2312" w:cs="Times New Roman"/>
          <w:sz w:val="32"/>
          <w:szCs w:val="32"/>
        </w:rPr>
        <w:t>1256.1</w:t>
      </w:r>
      <w:r>
        <w:rPr>
          <w:rFonts w:ascii="Times New Roman" w:hAnsi="Times New Roman" w:eastAsia="仿宋_GB2312" w:cs="Times New Roman"/>
          <w:sz w:val="32"/>
          <w:szCs w:val="32"/>
        </w:rPr>
        <w:t>万元，其中：基本支出增加</w:t>
      </w:r>
      <w:r>
        <w:rPr>
          <w:rFonts w:hint="eastAsia" w:ascii="Times New Roman" w:hAnsi="Times New Roman" w:eastAsia="仿宋_GB2312" w:cs="Times New Roman"/>
          <w:sz w:val="32"/>
          <w:szCs w:val="32"/>
        </w:rPr>
        <w:t>42.43</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人员经费</w:t>
      </w:r>
      <w:r>
        <w:rPr>
          <w:rFonts w:ascii="Times New Roman" w:hAnsi="Times New Roman" w:eastAsia="仿宋_GB2312" w:cs="Times New Roman"/>
          <w:sz w:val="32"/>
          <w:szCs w:val="32"/>
        </w:rPr>
        <w:t>支出；项目支出减少</w:t>
      </w:r>
      <w:r>
        <w:rPr>
          <w:rFonts w:hint="eastAsia" w:ascii="Times New Roman" w:hAnsi="Times New Roman" w:eastAsia="仿宋_GB2312" w:cs="Times New Roman"/>
          <w:sz w:val="32"/>
          <w:szCs w:val="32"/>
        </w:rPr>
        <w:t>1298.53</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rPr>
        <w:t>特殊目标类</w:t>
      </w:r>
      <w:r>
        <w:rPr>
          <w:rFonts w:ascii="Times New Roman" w:hAnsi="Times New Roman" w:eastAsia="仿宋_GB2312" w:cs="Times New Roman"/>
          <w:sz w:val="32"/>
          <w:szCs w:val="32"/>
        </w:rPr>
        <w:t>项目支出。</w:t>
      </w:r>
    </w:p>
    <w:p w14:paraId="41068513">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三、机关运行经费安排情况</w:t>
      </w:r>
    </w:p>
    <w:p w14:paraId="764E1D87">
      <w:pPr>
        <w:autoSpaceDE w:val="0"/>
        <w:autoSpaceDN w:val="0"/>
        <w:adjustRightInd w:val="0"/>
        <w:spacing w:line="584" w:lineRule="exact"/>
        <w:ind w:left="198"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年，我</w:t>
      </w:r>
      <w:r>
        <w:rPr>
          <w:rFonts w:hint="eastAsia" w:ascii="Times New Roman" w:hAnsi="Times New Roman" w:eastAsia="仿宋_GB2312" w:cs="Times New Roman"/>
          <w:sz w:val="32"/>
          <w:szCs w:val="32"/>
        </w:rPr>
        <w:t>馆</w:t>
      </w:r>
      <w:r>
        <w:rPr>
          <w:rFonts w:ascii="Times New Roman" w:hAnsi="Times New Roman" w:eastAsia="仿宋_GB2312" w:cs="Times New Roman"/>
          <w:sz w:val="32"/>
          <w:szCs w:val="32"/>
        </w:rPr>
        <w:t>机关运行经费共计安排</w:t>
      </w:r>
      <w:r>
        <w:rPr>
          <w:rFonts w:hint="eastAsia" w:ascii="Times New Roman" w:hAnsi="Times New Roman" w:eastAsia="仿宋_GB2312" w:cs="Times New Roman"/>
          <w:sz w:val="32"/>
          <w:szCs w:val="32"/>
        </w:rPr>
        <w:t>52.79</w:t>
      </w:r>
      <w:r>
        <w:rPr>
          <w:rFonts w:ascii="Times New Roman" w:hAnsi="Times New Roman" w:eastAsia="仿宋_GB2312" w:cs="Times New Roman"/>
          <w:sz w:val="32"/>
          <w:szCs w:val="32"/>
        </w:rPr>
        <w:t>万元，主要用于</w:t>
      </w:r>
      <w:r>
        <w:rPr>
          <w:rFonts w:hint="eastAsia" w:ascii="Times New Roman" w:hAnsi="Times New Roman" w:eastAsia="仿宋_GB2312" w:cs="Times New Roman"/>
          <w:sz w:val="32"/>
          <w:szCs w:val="32"/>
        </w:rPr>
        <w:t>档案馆</w:t>
      </w:r>
      <w:r>
        <w:rPr>
          <w:rFonts w:ascii="Times New Roman" w:hAnsi="Times New Roman" w:eastAsia="仿宋_GB2312" w:cs="Times New Roman"/>
          <w:sz w:val="32"/>
          <w:szCs w:val="32"/>
        </w:rPr>
        <w:t>办公区的日常维修、办公用房水电费、办公用房取暖费、办公用房物业管理费等日常运行支出。</w:t>
      </w:r>
    </w:p>
    <w:p w14:paraId="69990C2A">
      <w:pPr>
        <w:autoSpaceDE w:val="0"/>
        <w:autoSpaceDN w:val="0"/>
        <w:adjustRightInd w:val="0"/>
        <w:spacing w:line="584" w:lineRule="exact"/>
        <w:ind w:firstLine="630" w:firstLineChars="196"/>
        <w:jc w:val="left"/>
        <w:rPr>
          <w:rFonts w:ascii="Times New Roman" w:hAnsi="Times New Roman" w:eastAsia="仿宋_GB2312" w:cs="Times New Roman"/>
          <w:b/>
          <w:sz w:val="32"/>
          <w:szCs w:val="32"/>
        </w:rPr>
      </w:pPr>
      <w:r>
        <w:rPr>
          <w:rFonts w:ascii="Times New Roman" w:hAnsi="Times New Roman" w:eastAsia="仿宋_GB2312" w:cs="Times New Roman"/>
          <w:b/>
          <w:sz w:val="32"/>
          <w:szCs w:val="32"/>
        </w:rPr>
        <w:t>四、财政拨款“三公”经费预算情况及增减变化原因</w:t>
      </w:r>
    </w:p>
    <w:p w14:paraId="64B2F1F1">
      <w:pPr>
        <w:autoSpaceDE w:val="0"/>
        <w:autoSpaceDN w:val="0"/>
        <w:adjustRightInd w:val="0"/>
        <w:spacing w:line="584" w:lineRule="exact"/>
        <w:ind w:left="197" w:leftChars="94"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23</w:t>
      </w:r>
      <w:r>
        <w:rPr>
          <w:rFonts w:ascii="Times New Roman" w:hAnsi="Times New Roman" w:eastAsia="仿宋_GB2312" w:cs="Times New Roman"/>
          <w:sz w:val="32"/>
          <w:szCs w:val="32"/>
        </w:rPr>
        <w:t>年，我</w:t>
      </w:r>
      <w:r>
        <w:rPr>
          <w:rFonts w:hint="eastAsia" w:ascii="Times New Roman" w:hAnsi="Times New Roman" w:eastAsia="仿宋_GB2312" w:cs="Times New Roman"/>
          <w:sz w:val="32"/>
          <w:szCs w:val="32"/>
        </w:rPr>
        <w:t>馆</w:t>
      </w:r>
      <w:r>
        <w:rPr>
          <w:rFonts w:ascii="Times New Roman" w:hAnsi="Times New Roman" w:eastAsia="仿宋_GB2312" w:cs="Times New Roman"/>
          <w:sz w:val="32"/>
          <w:szCs w:val="32"/>
        </w:rPr>
        <w:t>财政拨款“三公”经费预算安排</w:t>
      </w:r>
      <w:r>
        <w:rPr>
          <w:rFonts w:hint="eastAsia" w:ascii="Times New Roman" w:hAnsi="Times New Roman" w:eastAsia="仿宋_GB2312" w:cs="Times New Roman"/>
          <w:sz w:val="32"/>
          <w:szCs w:val="32"/>
        </w:rPr>
        <w:t>2.51</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万元；公务用车购置及运维费</w:t>
      </w:r>
      <w:r>
        <w:rPr>
          <w:rFonts w:hint="eastAsia" w:ascii="Times New Roman" w:hAnsi="Times New Roman" w:eastAsia="仿宋_GB2312" w:cs="Times New Roman"/>
          <w:sz w:val="32"/>
          <w:szCs w:val="32"/>
        </w:rPr>
        <w:t>2.19</w:t>
      </w:r>
      <w:r>
        <w:rPr>
          <w:rFonts w:ascii="Times New Roman" w:hAnsi="Times New Roman" w:eastAsia="仿宋_GB2312" w:cs="Times New Roman"/>
          <w:sz w:val="32"/>
          <w:szCs w:val="32"/>
        </w:rPr>
        <w:t>万元（其中：公务用车购置费为</w:t>
      </w:r>
      <w:r>
        <w:rPr>
          <w:rFonts w:hint="eastAsia" w:ascii="Times New Roman" w:hAnsi="Times New Roman" w:eastAsia="仿宋_GB2312" w:cs="Times New Roman"/>
          <w:sz w:val="32"/>
          <w:szCs w:val="32"/>
        </w:rPr>
        <w:t>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rPr>
        <w:t>2.19</w:t>
      </w:r>
      <w:r>
        <w:rPr>
          <w:rFonts w:ascii="Times New Roman" w:hAnsi="Times New Roman" w:eastAsia="仿宋_GB2312" w:cs="Times New Roman"/>
          <w:sz w:val="32"/>
          <w:szCs w:val="32"/>
        </w:rPr>
        <w:t>万元)；公务接待费</w:t>
      </w:r>
      <w:r>
        <w:rPr>
          <w:rFonts w:hint="eastAsia" w:ascii="Times New Roman" w:hAnsi="Times New Roman" w:eastAsia="仿宋_GB2312" w:cs="Times New Roman"/>
          <w:sz w:val="32"/>
          <w:szCs w:val="32"/>
        </w:rPr>
        <w:t>0.32</w:t>
      </w:r>
      <w:r>
        <w:rPr>
          <w:rFonts w:ascii="Times New Roman" w:hAnsi="Times New Roman" w:eastAsia="仿宋_GB2312" w:cs="Times New Roman"/>
          <w:sz w:val="32"/>
          <w:szCs w:val="32"/>
        </w:rPr>
        <w:t>万元。与20</w:t>
      </w:r>
      <w:r>
        <w:rPr>
          <w:rFonts w:hint="eastAsia" w:ascii="Times New Roman" w:hAnsi="Times New Roman" w:eastAsia="仿宋_GB2312" w:cs="Times New Roman"/>
          <w:sz w:val="32"/>
          <w:szCs w:val="32"/>
        </w:rPr>
        <w:t>22</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相比</w:t>
      </w:r>
      <w:r>
        <w:rPr>
          <w:rFonts w:ascii="Times New Roman" w:hAnsi="Times New Roman" w:eastAsia="仿宋_GB2312" w:cs="Times New Roman"/>
          <w:sz w:val="32"/>
          <w:szCs w:val="32"/>
        </w:rPr>
        <w:t>持</w:t>
      </w:r>
      <w:r>
        <w:rPr>
          <w:rFonts w:hint="eastAsia" w:ascii="Times New Roman" w:hAnsi="Times New Roman" w:eastAsia="仿宋_GB2312" w:cs="Times New Roman"/>
          <w:sz w:val="32"/>
          <w:szCs w:val="32"/>
        </w:rPr>
        <w:t>平，无增减变化。其中，</w:t>
      </w:r>
      <w:r>
        <w:rPr>
          <w:rFonts w:ascii="Times New Roman" w:hAnsi="Times New Roman" w:eastAsia="仿宋_GB2312" w:cs="Times New Roman"/>
          <w:sz w:val="32"/>
          <w:szCs w:val="32"/>
        </w:rPr>
        <w:t>公务用车购置及运维费</w:t>
      </w:r>
      <w:r>
        <w:rPr>
          <w:rFonts w:hint="eastAsia" w:ascii="Times New Roman" w:hAnsi="Times New Roman" w:eastAsia="仿宋_GB2312" w:cs="Times New Roman"/>
          <w:sz w:val="32"/>
          <w:szCs w:val="32"/>
        </w:rPr>
        <w:t>与上年持平，无增减变化</w:t>
      </w:r>
      <w:r>
        <w:rPr>
          <w:rFonts w:ascii="Times New Roman" w:hAnsi="Times New Roman" w:eastAsia="仿宋_GB2312" w:cs="Times New Roman"/>
          <w:sz w:val="32"/>
          <w:szCs w:val="32"/>
        </w:rPr>
        <w:t>；公务接待费</w:t>
      </w:r>
      <w:r>
        <w:rPr>
          <w:rFonts w:hint="eastAsia" w:ascii="Times New Roman" w:hAnsi="Times New Roman" w:eastAsia="仿宋_GB2312" w:cs="Times New Roman"/>
          <w:sz w:val="32"/>
          <w:szCs w:val="32"/>
        </w:rPr>
        <w:t>0.32</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与20</w:t>
      </w:r>
      <w:r>
        <w:rPr>
          <w:rFonts w:hint="eastAsia" w:ascii="Times New Roman" w:hAnsi="Times New Roman" w:eastAsia="仿宋_GB2312" w:cs="Times New Roman"/>
          <w:sz w:val="32"/>
          <w:szCs w:val="32"/>
        </w:rPr>
        <w:t>22</w:t>
      </w:r>
      <w:r>
        <w:rPr>
          <w:rFonts w:ascii="Times New Roman" w:hAnsi="Times New Roman" w:eastAsia="仿宋_GB2312" w:cs="Times New Roman"/>
          <w:sz w:val="32"/>
          <w:szCs w:val="32"/>
        </w:rPr>
        <w:t>年相比持平，无增减变化。</w:t>
      </w:r>
    </w:p>
    <w:p w14:paraId="25AAE4F2">
      <w:pPr>
        <w:spacing w:line="584" w:lineRule="exact"/>
        <w:ind w:firstLine="640" w:firstLineChars="200"/>
        <w:rPr>
          <w:rFonts w:ascii="Times New Roman" w:hAnsi="黑体" w:eastAsia="黑体" w:cs="Times New Roman"/>
          <w:sz w:val="32"/>
          <w:szCs w:val="32"/>
        </w:rPr>
      </w:pPr>
      <w:r>
        <w:rPr>
          <w:rFonts w:ascii="Times New Roman" w:hAnsi="黑体" w:eastAsia="黑体" w:cs="Times New Roman"/>
          <w:sz w:val="32"/>
          <w:szCs w:val="32"/>
        </w:rPr>
        <w:t>五、预算绩效信息</w:t>
      </w:r>
    </w:p>
    <w:p w14:paraId="733AE7A4">
      <w:pPr>
        <w:spacing w:line="584" w:lineRule="exact"/>
        <w:ind w:firstLine="640" w:firstLineChars="200"/>
        <w:rPr>
          <w:rFonts w:ascii="Times New Roman" w:hAnsi="黑体" w:eastAsia="黑体" w:cs="Times New Roman"/>
          <w:sz w:val="32"/>
          <w:szCs w:val="32"/>
        </w:rPr>
      </w:pPr>
      <w:r>
        <w:rPr>
          <w:rFonts w:hint="eastAsia" w:ascii="Times New Roman" w:hAnsi="黑体" w:eastAsia="黑体" w:cs="Times New Roman"/>
          <w:sz w:val="32"/>
          <w:szCs w:val="32"/>
        </w:rPr>
        <w:t>第一部分单位整体绩效目标</w:t>
      </w:r>
    </w:p>
    <w:p w14:paraId="78C5EAB1">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（一）总体绩效目标</w:t>
      </w:r>
    </w:p>
    <w:p w14:paraId="72DA76A6">
      <w:pPr>
        <w:spacing w:line="584" w:lineRule="exact"/>
        <w:ind w:firstLine="640" w:firstLineChars="200"/>
        <w:rPr>
          <w:rFonts w:ascii="仿宋_GB2312" w:eastAsia="仿宋_GB2312" w:cs="Times New Roman"/>
          <w:sz w:val="32"/>
          <w:szCs w:val="32"/>
        </w:rPr>
      </w:pPr>
      <w:r>
        <w:rPr>
          <w:rFonts w:hint="eastAsia" w:ascii="仿宋_GB2312" w:eastAsia="仿宋_GB2312" w:cs="Times New Roman"/>
          <w:sz w:val="32"/>
          <w:szCs w:val="32"/>
        </w:rPr>
        <w:t>深入贯彻落实党的二十大和习近平新时代中国特色社会主义思想</w:t>
      </w:r>
      <w:bookmarkStart w:id="2" w:name="_GoBack"/>
      <w:bookmarkEnd w:id="2"/>
      <w:r>
        <w:rPr>
          <w:rFonts w:hint="eastAsia" w:ascii="仿宋_GB2312" w:eastAsia="仿宋_GB2312" w:cs="Times New Roman"/>
          <w:sz w:val="32"/>
          <w:szCs w:val="32"/>
        </w:rPr>
        <w:t>，以习近平总书记系列重要讲话精神为指导，坚定不移地把“为党管档、为国守史、为民服务”的职责落实到每一项具体的档案工作任务中，增强档案意识，实现档案文化价值，扎实推进各级档案馆（室）建设，完善档案资源管理制度，加快档案信息化建设。我馆在2023年市档案馆的搬迁加固改造及设备购置资金项目中完成改造档案馆总建筑面积5500平方米，其中档案资料库房建筑面积1600平方米。扎实做好档案安全与修复管理工作，保证国家档案资源得到高质量的安全修复及有效使用。</w:t>
      </w:r>
    </w:p>
    <w:p w14:paraId="4540582D">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（二）分项绩效目标</w:t>
      </w:r>
    </w:p>
    <w:p w14:paraId="2687F937">
      <w:pPr>
        <w:spacing w:line="584" w:lineRule="exact"/>
        <w:ind w:firstLine="640" w:firstLineChars="200"/>
        <w:rPr>
          <w:rFonts w:ascii="仿宋_GB2312" w:eastAsia="仿宋_GB2312" w:cs="Times New Roman"/>
          <w:sz w:val="32"/>
          <w:szCs w:val="32"/>
        </w:rPr>
      </w:pPr>
      <w:r>
        <w:rPr>
          <w:rFonts w:hint="eastAsia" w:ascii="仿宋_GB2312" w:eastAsia="仿宋_GB2312" w:cs="Times New Roman"/>
          <w:sz w:val="32"/>
          <w:szCs w:val="32"/>
        </w:rPr>
        <w:t>1、推进各级档案馆（室）建设</w:t>
      </w:r>
    </w:p>
    <w:p w14:paraId="514ACB4E">
      <w:pPr>
        <w:spacing w:line="584" w:lineRule="exact"/>
        <w:ind w:firstLine="640" w:firstLineChars="200"/>
        <w:rPr>
          <w:rFonts w:ascii="仿宋_GB2312" w:eastAsia="仿宋_GB2312" w:cs="Times New Roman"/>
          <w:sz w:val="32"/>
          <w:szCs w:val="32"/>
        </w:rPr>
      </w:pPr>
      <w:r>
        <w:rPr>
          <w:rFonts w:hint="eastAsia" w:ascii="仿宋_GB2312" w:eastAsia="仿宋_GB2312" w:cs="Times New Roman"/>
          <w:sz w:val="32"/>
          <w:szCs w:val="32"/>
        </w:rPr>
        <w:t>绩效目标：通过实施市档案馆的搬迁加固改造及设备购置资金项目，加快存量档案数字化和增量档案电子化步伐，逐步形成以数字资源为基础、安全管理为保障的数字档案资源管理利用体系。</w:t>
      </w:r>
    </w:p>
    <w:p w14:paraId="7AA9F681">
      <w:pPr>
        <w:spacing w:line="584" w:lineRule="exact"/>
        <w:ind w:firstLine="640" w:firstLineChars="200"/>
        <w:rPr>
          <w:rFonts w:ascii="仿宋_GB2312" w:eastAsia="仿宋_GB2312" w:cs="Times New Roman"/>
          <w:sz w:val="32"/>
          <w:szCs w:val="32"/>
        </w:rPr>
      </w:pPr>
      <w:r>
        <w:rPr>
          <w:rFonts w:hint="eastAsia" w:ascii="仿宋_GB2312" w:eastAsia="仿宋_GB2312" w:cs="Times New Roman"/>
          <w:sz w:val="32"/>
          <w:szCs w:val="32"/>
        </w:rPr>
        <w:t>绩效指标：通过实施市档案馆的搬迁加固改造及设备购置资金项目，完成改造档案馆总建筑面积5500平米，档案资料库房建筑面积1600平米，档案馆加固改造合格率达到100%，完成及时率达到90%以上。</w:t>
      </w:r>
    </w:p>
    <w:p w14:paraId="68FBB5A7">
      <w:pPr>
        <w:spacing w:line="584" w:lineRule="exact"/>
        <w:ind w:firstLine="640" w:firstLineChars="200"/>
        <w:rPr>
          <w:rFonts w:ascii="仿宋_GB2312" w:eastAsia="仿宋_GB2312" w:cs="Times New Roman"/>
          <w:sz w:val="32"/>
          <w:szCs w:val="32"/>
        </w:rPr>
      </w:pPr>
      <w:r>
        <w:rPr>
          <w:rFonts w:hint="eastAsia" w:ascii="仿宋_GB2312" w:eastAsia="仿宋_GB2312" w:cs="Times New Roman"/>
          <w:sz w:val="32"/>
          <w:szCs w:val="32"/>
        </w:rPr>
        <w:t>2、保障档案的接收及保管安全有序</w:t>
      </w:r>
    </w:p>
    <w:p w14:paraId="1E760F94">
      <w:pPr>
        <w:spacing w:line="584" w:lineRule="exact"/>
        <w:ind w:firstLine="640" w:firstLineChars="200"/>
        <w:rPr>
          <w:rFonts w:ascii="仿宋_GB2312" w:eastAsia="仿宋_GB2312" w:cs="Times New Roman"/>
          <w:sz w:val="32"/>
          <w:szCs w:val="32"/>
        </w:rPr>
      </w:pPr>
      <w:r>
        <w:rPr>
          <w:rFonts w:hint="eastAsia" w:ascii="仿宋_GB2312" w:eastAsia="仿宋_GB2312" w:cs="Times New Roman"/>
          <w:sz w:val="32"/>
          <w:szCs w:val="32"/>
        </w:rPr>
        <w:t>绩效目标：及时接收各级部门送存的档案资料，严格进行档案资料的存储及安全管理，加强档案保管场地的维护，确保档案馆日常工作的有序进行。</w:t>
      </w:r>
    </w:p>
    <w:p w14:paraId="751C37C3">
      <w:pPr>
        <w:spacing w:line="584" w:lineRule="exact"/>
        <w:ind w:firstLine="640" w:firstLineChars="200"/>
        <w:rPr>
          <w:rFonts w:ascii="仿宋_GB2312" w:eastAsia="仿宋_GB2312" w:cs="Times New Roman"/>
          <w:sz w:val="32"/>
          <w:szCs w:val="32"/>
        </w:rPr>
      </w:pPr>
      <w:r>
        <w:rPr>
          <w:rFonts w:hint="eastAsia" w:ascii="仿宋_GB2312" w:eastAsia="仿宋_GB2312" w:cs="Times New Roman"/>
          <w:sz w:val="32"/>
          <w:szCs w:val="32"/>
        </w:rPr>
        <w:t>绩效指标：严格执行档案接收及存储制度，文书档案保管工作覆盖197个单位，保管册数达到99000卷；定期进行防火防虫等安全防护管控，计划2023年购置防虫药盒及防霉药盒30盒，为档案资料的存储提供安全保障。</w:t>
      </w:r>
    </w:p>
    <w:p w14:paraId="3EC8D053">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（三）工作保障措施</w:t>
      </w:r>
    </w:p>
    <w:p w14:paraId="222E9A3C">
      <w:pPr>
        <w:spacing w:line="584" w:lineRule="exact"/>
        <w:ind w:firstLine="640" w:firstLineChars="200"/>
        <w:rPr>
          <w:rFonts w:ascii="仿宋_GB2312" w:eastAsia="仿宋_GB2312" w:cs="Times New Roman"/>
          <w:sz w:val="32"/>
          <w:szCs w:val="32"/>
        </w:rPr>
      </w:pPr>
      <w:r>
        <w:rPr>
          <w:rFonts w:hint="eastAsia" w:ascii="仿宋_GB2312" w:eastAsia="仿宋_GB2312" w:cs="Times New Roman"/>
          <w:sz w:val="32"/>
          <w:szCs w:val="32"/>
        </w:rPr>
        <w:t>（一）完善制度建设。根据我馆2022年工作总结及经验归纳，制定完善的预算绩效管理制度、财务管理制度、资产管理制度、工作保障制度等，为全年预算绩效目标的实现奠定制度基础。</w:t>
      </w:r>
    </w:p>
    <w:p w14:paraId="4AE2AF0A">
      <w:pPr>
        <w:spacing w:line="584" w:lineRule="exact"/>
        <w:ind w:firstLine="640" w:firstLineChars="200"/>
        <w:rPr>
          <w:rFonts w:ascii="仿宋_GB2312" w:eastAsia="仿宋_GB2312" w:cs="Times New Roman"/>
          <w:sz w:val="32"/>
          <w:szCs w:val="32"/>
        </w:rPr>
      </w:pPr>
      <w:r>
        <w:rPr>
          <w:rFonts w:hint="eastAsia" w:ascii="仿宋_GB2312" w:eastAsia="仿宋_GB2312" w:cs="Times New Roman"/>
          <w:sz w:val="32"/>
          <w:szCs w:val="32"/>
        </w:rPr>
        <w:t>（二）加强支出管理。根据财政局文件要求，通过优化支出结构、编细编实预算、加快履行政府采购手续、尽快启动项目、及时支付资金、做到6月底支出60%，10月底支出90%，确保支出进度达标。</w:t>
      </w:r>
    </w:p>
    <w:p w14:paraId="3DC32DCE">
      <w:pPr>
        <w:spacing w:line="584" w:lineRule="exact"/>
        <w:ind w:firstLine="640" w:firstLineChars="200"/>
        <w:rPr>
          <w:rFonts w:ascii="仿宋_GB2312" w:eastAsia="仿宋_GB2312" w:cs="Times New Roman"/>
          <w:sz w:val="32"/>
          <w:szCs w:val="32"/>
        </w:rPr>
      </w:pPr>
      <w:r>
        <w:rPr>
          <w:rFonts w:hint="eastAsia" w:ascii="仿宋_GB2312" w:eastAsia="仿宋_GB2312" w:cs="Times New Roman"/>
          <w:sz w:val="32"/>
          <w:szCs w:val="32"/>
        </w:rPr>
        <w:t>（三）加强绩效运行监控。根据财政局预算绩效办文件要求，及时开展绩效运行监控，发现问题及时采取措施，确保绩效目标如期保质实现。</w:t>
      </w:r>
    </w:p>
    <w:p w14:paraId="3EFF6F29">
      <w:pPr>
        <w:spacing w:line="584" w:lineRule="exact"/>
        <w:ind w:firstLine="640" w:firstLineChars="200"/>
        <w:rPr>
          <w:rFonts w:ascii="仿宋_GB2312" w:eastAsia="仿宋_GB2312" w:cs="Times New Roman"/>
          <w:sz w:val="32"/>
          <w:szCs w:val="32"/>
        </w:rPr>
      </w:pPr>
      <w:r>
        <w:rPr>
          <w:rFonts w:hint="eastAsia" w:ascii="仿宋_GB2312" w:eastAsia="仿宋_GB2312" w:cs="Times New Roman"/>
          <w:sz w:val="32"/>
          <w:szCs w:val="32"/>
        </w:rPr>
        <w:t>（四）做好绩效自评。根据财政局预算绩效办文件要求，及时开展上年度部门预算绩效自评和重点评价工作，对评价中发现的问题及时整改，调整优化支出结构，提高财政资金使用效益。</w:t>
      </w:r>
    </w:p>
    <w:p w14:paraId="374DA792">
      <w:pPr>
        <w:spacing w:line="584" w:lineRule="exact"/>
        <w:ind w:firstLine="640" w:firstLineChars="200"/>
        <w:rPr>
          <w:rFonts w:ascii="仿宋_GB2312" w:eastAsia="仿宋_GB2312" w:cs="Times New Roman"/>
          <w:sz w:val="32"/>
          <w:szCs w:val="32"/>
        </w:rPr>
      </w:pPr>
      <w:r>
        <w:rPr>
          <w:rFonts w:hint="eastAsia" w:ascii="仿宋_GB2312" w:eastAsia="仿宋_GB2312" w:cs="Times New Roman"/>
          <w:sz w:val="32"/>
          <w:szCs w:val="32"/>
        </w:rPr>
        <w:t>（五）规范财务资产管理。为了规范资产管理，加强和完善资产管理制度、财务管理制度，严格按照资产审批程序进行使用和报废处置管理，做到支出合理，物尽其用，做好资产系统的使用及一体化平台记账工作，做到账实相符。</w:t>
      </w:r>
    </w:p>
    <w:p w14:paraId="03563870">
      <w:pPr>
        <w:spacing w:line="584" w:lineRule="exact"/>
        <w:ind w:firstLine="640" w:firstLineChars="200"/>
        <w:rPr>
          <w:rFonts w:ascii="仿宋_GB2312" w:eastAsia="仿宋_GB2312" w:cs="Times New Roman"/>
          <w:sz w:val="32"/>
          <w:szCs w:val="32"/>
        </w:rPr>
      </w:pPr>
      <w:r>
        <w:rPr>
          <w:rFonts w:hint="eastAsia" w:ascii="仿宋_GB2312" w:eastAsia="仿宋_GB2312" w:cs="Times New Roman"/>
          <w:sz w:val="32"/>
          <w:szCs w:val="32"/>
        </w:rPr>
        <w:t>（六）加强内部监督。为了完善工作监管机制，加强内部监督制度建设，对绩效运行情况、重大支出决策、资产处置及其他重要经济业务事项的决策和执行进行督导，对会计资料一年进行一次内部审计，并配合做好审计、财政监督等外部监督工作，确保财政资金安全有效。</w:t>
      </w:r>
    </w:p>
    <w:p w14:paraId="55AC28FC">
      <w:pPr>
        <w:spacing w:line="584" w:lineRule="exact"/>
        <w:ind w:firstLine="640" w:firstLineChars="200"/>
        <w:rPr>
          <w:rFonts w:ascii="仿宋_GB2312" w:eastAsia="仿宋_GB2312" w:cs="Times New Roman"/>
          <w:sz w:val="32"/>
          <w:szCs w:val="32"/>
        </w:rPr>
      </w:pPr>
      <w:r>
        <w:rPr>
          <w:rFonts w:hint="eastAsia" w:ascii="仿宋_GB2312" w:eastAsia="仿宋_GB2312" w:cs="Times New Roman"/>
          <w:sz w:val="32"/>
          <w:szCs w:val="32"/>
        </w:rPr>
        <w:t>（七）加强宣传培训调研等。根据单位实际情况，加强人员培训，提高本单位职工业务素质；加强调研，提高优化财政资金配置、提高资金使用效益；加大宣传力度，强化预算绩效管理意识，促进预算绩效管理水平进一步提升。</w:t>
      </w:r>
    </w:p>
    <w:p w14:paraId="012D14C6">
      <w:pPr>
        <w:overflowPunct w:val="0"/>
        <w:adjustRightInd w:val="0"/>
        <w:snapToGrid w:val="0"/>
        <w:spacing w:afterLines="50" w:line="584" w:lineRule="exact"/>
        <w:ind w:firstLine="630" w:firstLineChars="196"/>
        <w:jc w:val="left"/>
        <w:rPr>
          <w:rFonts w:ascii="楷体_GB2312" w:eastAsia="楷体_GB2312" w:cs="Times New Roman"/>
          <w:b/>
          <w:sz w:val="32"/>
          <w:szCs w:val="32"/>
        </w:rPr>
      </w:pPr>
      <w:r>
        <w:rPr>
          <w:rFonts w:hint="eastAsia" w:ascii="楷体_GB2312" w:eastAsia="楷体_GB2312" w:cs="Times New Roman"/>
          <w:b/>
          <w:sz w:val="32"/>
          <w:szCs w:val="32"/>
        </w:rPr>
        <w:t>（四）单位整体支出绩效指标</w:t>
      </w:r>
    </w:p>
    <w:tbl>
      <w:tblPr>
        <w:tblStyle w:val="8"/>
        <w:tblW w:w="139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558"/>
        <w:gridCol w:w="729"/>
        <w:gridCol w:w="2835"/>
        <w:gridCol w:w="2977"/>
        <w:gridCol w:w="3685"/>
        <w:gridCol w:w="567"/>
        <w:gridCol w:w="709"/>
        <w:gridCol w:w="567"/>
        <w:gridCol w:w="1276"/>
      </w:tblGrid>
      <w:tr w14:paraId="63FD3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26" w:hRule="atLeast"/>
          <w:tblHeader/>
        </w:trPr>
        <w:tc>
          <w:tcPr>
            <w:tcW w:w="558" w:type="dxa"/>
            <w:vMerge w:val="restart"/>
            <w:tcBorders>
              <w:tl2br w:val="nil"/>
              <w:tr2bl w:val="nil"/>
            </w:tcBorders>
            <w:vAlign w:val="center"/>
          </w:tcPr>
          <w:p w14:paraId="55D61CE7">
            <w:pPr>
              <w:widowControl/>
              <w:adjustRightInd w:val="0"/>
              <w:snapToGrid w:val="0"/>
              <w:spacing w:line="584" w:lineRule="exact"/>
              <w:jc w:val="center"/>
              <w:rPr>
                <w:rFonts w:ascii="方正书宋_GBK" w:eastAsia="方正书宋_GBK"/>
                <w:b/>
              </w:rPr>
            </w:pPr>
            <w:r>
              <w:rPr>
                <w:rFonts w:ascii="方正书宋_GBK" w:eastAsia="方正书宋_GBK"/>
                <w:b/>
              </w:rPr>
              <w:t>一级指标</w:t>
            </w:r>
          </w:p>
        </w:tc>
        <w:tc>
          <w:tcPr>
            <w:tcW w:w="729" w:type="dxa"/>
            <w:vMerge w:val="restart"/>
            <w:tcBorders>
              <w:tl2br w:val="nil"/>
              <w:tr2bl w:val="nil"/>
            </w:tcBorders>
            <w:vAlign w:val="center"/>
          </w:tcPr>
          <w:p w14:paraId="58EFB67A">
            <w:pPr>
              <w:widowControl/>
              <w:adjustRightInd w:val="0"/>
              <w:snapToGrid w:val="0"/>
              <w:spacing w:line="584" w:lineRule="exact"/>
              <w:jc w:val="center"/>
              <w:rPr>
                <w:rFonts w:ascii="方正书宋_GBK" w:eastAsia="方正书宋_GBK"/>
                <w:b/>
              </w:rPr>
            </w:pPr>
            <w:r>
              <w:rPr>
                <w:rFonts w:ascii="方正书宋_GBK" w:eastAsia="方正书宋_GBK"/>
                <w:b/>
              </w:rPr>
              <w:t>二级</w:t>
            </w:r>
          </w:p>
          <w:p w14:paraId="6DF9F770">
            <w:pPr>
              <w:widowControl/>
              <w:adjustRightInd w:val="0"/>
              <w:snapToGrid w:val="0"/>
              <w:spacing w:line="584" w:lineRule="exact"/>
              <w:jc w:val="center"/>
              <w:rPr>
                <w:rFonts w:ascii="方正书宋_GBK" w:eastAsia="方正书宋_GBK"/>
                <w:b/>
              </w:rPr>
            </w:pPr>
            <w:r>
              <w:rPr>
                <w:rFonts w:ascii="方正书宋_GBK" w:eastAsia="方正书宋_GBK"/>
                <w:b/>
              </w:rPr>
              <w:t>指标</w:t>
            </w:r>
          </w:p>
        </w:tc>
        <w:tc>
          <w:tcPr>
            <w:tcW w:w="2835" w:type="dxa"/>
            <w:vMerge w:val="restart"/>
            <w:tcBorders>
              <w:tl2br w:val="nil"/>
              <w:tr2bl w:val="nil"/>
            </w:tcBorders>
            <w:vAlign w:val="center"/>
          </w:tcPr>
          <w:p w14:paraId="43AAA137">
            <w:pPr>
              <w:widowControl/>
              <w:adjustRightInd w:val="0"/>
              <w:snapToGrid w:val="0"/>
              <w:spacing w:line="584" w:lineRule="exact"/>
              <w:jc w:val="center"/>
              <w:rPr>
                <w:rFonts w:ascii="方正书宋_GBK" w:eastAsia="方正书宋_GBK"/>
                <w:b/>
              </w:rPr>
            </w:pPr>
            <w:r>
              <w:rPr>
                <w:rFonts w:ascii="方正书宋_GBK" w:eastAsia="方正书宋_GBK"/>
                <w:b/>
              </w:rPr>
              <w:t>三级</w:t>
            </w:r>
          </w:p>
          <w:p w14:paraId="0E81AF41">
            <w:pPr>
              <w:widowControl/>
              <w:adjustRightInd w:val="0"/>
              <w:snapToGrid w:val="0"/>
              <w:spacing w:line="584" w:lineRule="exact"/>
              <w:jc w:val="center"/>
              <w:rPr>
                <w:rFonts w:ascii="方正书宋_GBK" w:eastAsia="方正书宋_GBK"/>
                <w:b/>
              </w:rPr>
            </w:pPr>
            <w:r>
              <w:rPr>
                <w:rFonts w:ascii="方正书宋_GBK" w:eastAsia="方正书宋_GBK"/>
                <w:b/>
              </w:rPr>
              <w:t>指标</w:t>
            </w:r>
          </w:p>
        </w:tc>
        <w:tc>
          <w:tcPr>
            <w:tcW w:w="2977" w:type="dxa"/>
            <w:vMerge w:val="restart"/>
            <w:tcBorders>
              <w:tl2br w:val="nil"/>
              <w:tr2bl w:val="nil"/>
            </w:tcBorders>
            <w:vAlign w:val="center"/>
          </w:tcPr>
          <w:p w14:paraId="5C91C042">
            <w:pPr>
              <w:widowControl/>
              <w:adjustRightInd w:val="0"/>
              <w:snapToGrid w:val="0"/>
              <w:spacing w:line="584" w:lineRule="exact"/>
              <w:jc w:val="center"/>
              <w:rPr>
                <w:rFonts w:ascii="方正书宋_GBK" w:eastAsia="方正书宋_GBK"/>
                <w:b/>
              </w:rPr>
            </w:pPr>
            <w:r>
              <w:rPr>
                <w:rFonts w:ascii="方正书宋_GBK" w:eastAsia="方正书宋_GBK"/>
                <w:b/>
              </w:rPr>
              <w:t>评（扣）分标准</w:t>
            </w:r>
          </w:p>
        </w:tc>
        <w:tc>
          <w:tcPr>
            <w:tcW w:w="3685" w:type="dxa"/>
            <w:vMerge w:val="restart"/>
            <w:tcBorders>
              <w:tl2br w:val="nil"/>
              <w:tr2bl w:val="nil"/>
            </w:tcBorders>
            <w:vAlign w:val="center"/>
          </w:tcPr>
          <w:p w14:paraId="006AA61D">
            <w:pPr>
              <w:widowControl/>
              <w:adjustRightInd w:val="0"/>
              <w:snapToGrid w:val="0"/>
              <w:spacing w:line="584" w:lineRule="exact"/>
              <w:jc w:val="center"/>
              <w:rPr>
                <w:rFonts w:ascii="方正书宋_GBK" w:eastAsia="方正书宋_GBK"/>
                <w:b/>
              </w:rPr>
            </w:pPr>
            <w:r>
              <w:rPr>
                <w:rFonts w:ascii="方正书宋_GBK" w:eastAsia="方正书宋_GBK"/>
                <w:b/>
              </w:rPr>
              <w:t>绩效指标</w:t>
            </w:r>
          </w:p>
          <w:p w14:paraId="7CAAB48A">
            <w:pPr>
              <w:widowControl/>
              <w:adjustRightInd w:val="0"/>
              <w:snapToGrid w:val="0"/>
              <w:spacing w:line="584" w:lineRule="exact"/>
              <w:jc w:val="center"/>
              <w:rPr>
                <w:rFonts w:ascii="方正书宋_GBK" w:eastAsia="方正书宋_GBK"/>
                <w:b/>
              </w:rPr>
            </w:pPr>
            <w:r>
              <w:rPr>
                <w:rFonts w:ascii="方正书宋_GBK" w:eastAsia="方正书宋_GBK"/>
                <w:b/>
              </w:rPr>
              <w:t>描述</w:t>
            </w:r>
          </w:p>
        </w:tc>
        <w:tc>
          <w:tcPr>
            <w:tcW w:w="1843" w:type="dxa"/>
            <w:gridSpan w:val="3"/>
            <w:tcBorders>
              <w:tl2br w:val="nil"/>
              <w:tr2bl w:val="nil"/>
            </w:tcBorders>
            <w:vAlign w:val="center"/>
          </w:tcPr>
          <w:p w14:paraId="26A69967">
            <w:pPr>
              <w:widowControl/>
              <w:adjustRightInd w:val="0"/>
              <w:snapToGrid w:val="0"/>
              <w:spacing w:line="584" w:lineRule="exact"/>
              <w:jc w:val="center"/>
              <w:rPr>
                <w:rFonts w:ascii="方正书宋_GBK" w:eastAsia="方正书宋_GBK"/>
                <w:b/>
              </w:rPr>
            </w:pPr>
            <w:r>
              <w:rPr>
                <w:rFonts w:ascii="方正书宋_GBK" w:eastAsia="方正书宋_GBK"/>
                <w:b/>
              </w:rPr>
              <w:t>指标值</w:t>
            </w:r>
          </w:p>
        </w:tc>
        <w:tc>
          <w:tcPr>
            <w:tcW w:w="1276" w:type="dxa"/>
            <w:vMerge w:val="restart"/>
            <w:tcBorders>
              <w:tl2br w:val="nil"/>
              <w:tr2bl w:val="nil"/>
            </w:tcBorders>
            <w:vAlign w:val="center"/>
          </w:tcPr>
          <w:p w14:paraId="5D538793">
            <w:pPr>
              <w:widowControl/>
              <w:adjustRightInd w:val="0"/>
              <w:snapToGrid w:val="0"/>
              <w:spacing w:line="584" w:lineRule="exact"/>
              <w:jc w:val="center"/>
              <w:rPr>
                <w:rFonts w:ascii="方正书宋_GBK" w:eastAsia="方正书宋_GBK"/>
                <w:b/>
              </w:rPr>
            </w:pPr>
            <w:r>
              <w:rPr>
                <w:rFonts w:ascii="方正书宋_GBK" w:eastAsia="方正书宋_GBK"/>
                <w:b/>
              </w:rPr>
              <w:t>指标值</w:t>
            </w:r>
          </w:p>
          <w:p w14:paraId="0ADAFE24">
            <w:pPr>
              <w:widowControl/>
              <w:adjustRightInd w:val="0"/>
              <w:snapToGrid w:val="0"/>
              <w:spacing w:line="584" w:lineRule="exact"/>
              <w:jc w:val="center"/>
              <w:rPr>
                <w:rFonts w:ascii="方正书宋_GBK" w:eastAsia="方正书宋_GBK"/>
                <w:b/>
              </w:rPr>
            </w:pPr>
            <w:r>
              <w:rPr>
                <w:rFonts w:ascii="方正书宋_GBK" w:eastAsia="方正书宋_GBK"/>
                <w:b/>
              </w:rPr>
              <w:t>确定依据</w:t>
            </w:r>
          </w:p>
        </w:tc>
      </w:tr>
      <w:tr w14:paraId="542CD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33" w:hRule="atLeast"/>
          <w:tblHeader/>
        </w:trPr>
        <w:tc>
          <w:tcPr>
            <w:tcW w:w="558" w:type="dxa"/>
            <w:vMerge w:val="continue"/>
            <w:tcBorders>
              <w:tl2br w:val="nil"/>
              <w:tr2bl w:val="nil"/>
            </w:tcBorders>
            <w:vAlign w:val="center"/>
          </w:tcPr>
          <w:p w14:paraId="5A61DC79">
            <w:pPr>
              <w:spacing w:line="584" w:lineRule="exact"/>
            </w:pPr>
          </w:p>
        </w:tc>
        <w:tc>
          <w:tcPr>
            <w:tcW w:w="729" w:type="dxa"/>
            <w:vMerge w:val="continue"/>
            <w:tcBorders>
              <w:tl2br w:val="nil"/>
              <w:tr2bl w:val="nil"/>
            </w:tcBorders>
            <w:vAlign w:val="center"/>
          </w:tcPr>
          <w:p w14:paraId="3D175123">
            <w:pPr>
              <w:spacing w:line="584" w:lineRule="exact"/>
            </w:pPr>
          </w:p>
        </w:tc>
        <w:tc>
          <w:tcPr>
            <w:tcW w:w="2835" w:type="dxa"/>
            <w:vMerge w:val="continue"/>
            <w:tcBorders>
              <w:tl2br w:val="nil"/>
              <w:tr2bl w:val="nil"/>
            </w:tcBorders>
            <w:vAlign w:val="center"/>
          </w:tcPr>
          <w:p w14:paraId="3E187B80">
            <w:pPr>
              <w:spacing w:line="584" w:lineRule="exact"/>
            </w:pPr>
          </w:p>
        </w:tc>
        <w:tc>
          <w:tcPr>
            <w:tcW w:w="2977" w:type="dxa"/>
            <w:vMerge w:val="continue"/>
            <w:tcBorders>
              <w:tl2br w:val="nil"/>
              <w:tr2bl w:val="nil"/>
            </w:tcBorders>
            <w:vAlign w:val="center"/>
          </w:tcPr>
          <w:p w14:paraId="78654926">
            <w:pPr>
              <w:spacing w:line="584" w:lineRule="exact"/>
            </w:pPr>
          </w:p>
        </w:tc>
        <w:tc>
          <w:tcPr>
            <w:tcW w:w="3685" w:type="dxa"/>
            <w:vMerge w:val="continue"/>
            <w:tcBorders>
              <w:tl2br w:val="nil"/>
              <w:tr2bl w:val="nil"/>
            </w:tcBorders>
            <w:vAlign w:val="center"/>
          </w:tcPr>
          <w:p w14:paraId="4141E5F4">
            <w:pPr>
              <w:spacing w:line="584" w:lineRule="exact"/>
            </w:pPr>
          </w:p>
        </w:tc>
        <w:tc>
          <w:tcPr>
            <w:tcW w:w="567" w:type="dxa"/>
            <w:tcBorders>
              <w:tl2br w:val="nil"/>
              <w:tr2bl w:val="nil"/>
            </w:tcBorders>
            <w:vAlign w:val="center"/>
          </w:tcPr>
          <w:p w14:paraId="27BFDFBD">
            <w:pPr>
              <w:widowControl/>
              <w:adjustRightInd w:val="0"/>
              <w:snapToGrid w:val="0"/>
              <w:spacing w:line="584" w:lineRule="exact"/>
              <w:jc w:val="center"/>
              <w:rPr>
                <w:rFonts w:ascii="方正书宋_GBK" w:eastAsia="方正书宋_GBK"/>
                <w:b/>
              </w:rPr>
            </w:pPr>
            <w:r>
              <w:rPr>
                <w:rFonts w:ascii="方正书宋_GBK" w:eastAsia="方正书宋_GBK"/>
                <w:b/>
              </w:rPr>
              <w:t>符号</w:t>
            </w:r>
          </w:p>
        </w:tc>
        <w:tc>
          <w:tcPr>
            <w:tcW w:w="709" w:type="dxa"/>
            <w:tcBorders>
              <w:tl2br w:val="nil"/>
              <w:tr2bl w:val="nil"/>
            </w:tcBorders>
            <w:vAlign w:val="center"/>
          </w:tcPr>
          <w:p w14:paraId="65EC01C5">
            <w:pPr>
              <w:widowControl/>
              <w:adjustRightInd w:val="0"/>
              <w:snapToGrid w:val="0"/>
              <w:spacing w:line="584" w:lineRule="exact"/>
              <w:jc w:val="center"/>
              <w:rPr>
                <w:rFonts w:ascii="方正书宋_GBK" w:eastAsia="方正书宋_GBK"/>
                <w:b/>
              </w:rPr>
            </w:pPr>
            <w:r>
              <w:rPr>
                <w:rFonts w:ascii="方正书宋_GBK" w:eastAsia="方正书宋_GBK"/>
                <w:b/>
              </w:rPr>
              <w:t>值</w:t>
            </w:r>
          </w:p>
        </w:tc>
        <w:tc>
          <w:tcPr>
            <w:tcW w:w="567" w:type="dxa"/>
            <w:tcBorders>
              <w:tl2br w:val="nil"/>
              <w:tr2bl w:val="nil"/>
            </w:tcBorders>
            <w:vAlign w:val="center"/>
          </w:tcPr>
          <w:p w14:paraId="776F43C8">
            <w:pPr>
              <w:widowControl/>
              <w:adjustRightInd w:val="0"/>
              <w:snapToGrid w:val="0"/>
              <w:spacing w:line="584" w:lineRule="exact"/>
              <w:jc w:val="center"/>
              <w:rPr>
                <w:rFonts w:ascii="方正书宋_GBK" w:eastAsia="方正书宋_GBK"/>
                <w:b/>
              </w:rPr>
            </w:pPr>
            <w:r>
              <w:rPr>
                <w:rFonts w:ascii="方正书宋_GBK" w:eastAsia="方正书宋_GBK"/>
                <w:b/>
              </w:rPr>
              <w:t>单位</w:t>
            </w:r>
          </w:p>
        </w:tc>
        <w:tc>
          <w:tcPr>
            <w:tcW w:w="1276" w:type="dxa"/>
            <w:vMerge w:val="continue"/>
            <w:tcBorders>
              <w:tl2br w:val="nil"/>
              <w:tr2bl w:val="nil"/>
            </w:tcBorders>
            <w:vAlign w:val="center"/>
          </w:tcPr>
          <w:p w14:paraId="4D4BFC6A">
            <w:pPr>
              <w:spacing w:line="584" w:lineRule="exact"/>
            </w:pPr>
          </w:p>
        </w:tc>
      </w:tr>
      <w:tr w14:paraId="029A0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94" w:hRule="atLeast"/>
        </w:trPr>
        <w:tc>
          <w:tcPr>
            <w:tcW w:w="558" w:type="dxa"/>
            <w:vMerge w:val="restart"/>
            <w:tcBorders>
              <w:tl2br w:val="nil"/>
              <w:tr2bl w:val="nil"/>
            </w:tcBorders>
            <w:vAlign w:val="center"/>
          </w:tcPr>
          <w:p w14:paraId="2B3081A6">
            <w:pPr>
              <w:widowControl/>
              <w:adjustRightInd w:val="0"/>
              <w:snapToGrid w:val="0"/>
              <w:spacing w:line="584" w:lineRule="exact"/>
              <w:jc w:val="center"/>
              <w:rPr>
                <w:rFonts w:ascii="仿宋_GB2312" w:eastAsia="仿宋_GB2312"/>
                <w:sz w:val="24"/>
                <w:szCs w:val="24"/>
              </w:rPr>
            </w:pPr>
            <w:r>
              <w:rPr>
                <w:rFonts w:hint="eastAsia" w:ascii="仿宋_GB2312" w:eastAsia="仿宋_GB2312"/>
                <w:sz w:val="24"/>
                <w:szCs w:val="24"/>
              </w:rPr>
              <w:t>部门产出</w:t>
            </w:r>
          </w:p>
        </w:tc>
        <w:tc>
          <w:tcPr>
            <w:tcW w:w="729" w:type="dxa"/>
            <w:vMerge w:val="restart"/>
            <w:tcBorders>
              <w:tl2br w:val="nil"/>
              <w:tr2bl w:val="nil"/>
            </w:tcBorders>
            <w:vAlign w:val="center"/>
          </w:tcPr>
          <w:p w14:paraId="3CC91B8D">
            <w:pPr>
              <w:widowControl/>
              <w:adjustRightInd w:val="0"/>
              <w:snapToGrid w:val="0"/>
              <w:spacing w:line="584" w:lineRule="exact"/>
              <w:jc w:val="center"/>
              <w:rPr>
                <w:rFonts w:ascii="仿宋_GB2312" w:eastAsia="仿宋_GB2312"/>
                <w:szCs w:val="21"/>
              </w:rPr>
            </w:pPr>
            <w:r>
              <w:rPr>
                <w:rFonts w:hint="eastAsia" w:ascii="仿宋_GB2312" w:eastAsia="仿宋_GB2312"/>
                <w:szCs w:val="21"/>
              </w:rPr>
              <w:t>数量</w:t>
            </w:r>
          </w:p>
        </w:tc>
        <w:tc>
          <w:tcPr>
            <w:tcW w:w="2835" w:type="dxa"/>
            <w:tcBorders>
              <w:tl2br w:val="nil"/>
              <w:tr2bl w:val="nil"/>
            </w:tcBorders>
          </w:tcPr>
          <w:p w14:paraId="2890E0DA">
            <w:pPr>
              <w:widowControl/>
              <w:adjustRightInd w:val="0"/>
              <w:snapToGrid w:val="0"/>
              <w:spacing w:line="584" w:lineRule="exact"/>
              <w:rPr>
                <w:rFonts w:ascii="仿宋_GB2312" w:eastAsia="仿宋_GB2312"/>
                <w:szCs w:val="21"/>
              </w:rPr>
            </w:pPr>
            <w:r>
              <w:rPr>
                <w:rFonts w:hint="eastAsia" w:ascii="仿宋_GB2312" w:eastAsia="仿宋_GB2312"/>
                <w:szCs w:val="21"/>
              </w:rPr>
              <w:t>改建建筑面积</w:t>
            </w:r>
          </w:p>
        </w:tc>
        <w:tc>
          <w:tcPr>
            <w:tcW w:w="2977" w:type="dxa"/>
            <w:tcBorders>
              <w:tl2br w:val="nil"/>
              <w:tr2bl w:val="nil"/>
            </w:tcBorders>
          </w:tcPr>
          <w:p w14:paraId="527CF764">
            <w:pPr>
              <w:widowControl/>
              <w:adjustRightInd w:val="0"/>
              <w:snapToGrid w:val="0"/>
              <w:spacing w:line="584" w:lineRule="exact"/>
              <w:rPr>
                <w:rFonts w:ascii="仿宋_GB2312" w:eastAsia="仿宋_GB2312"/>
                <w:szCs w:val="21"/>
              </w:rPr>
            </w:pPr>
            <w:r>
              <w:rPr>
                <w:rFonts w:hint="eastAsia" w:ascii="仿宋_GB2312" w:eastAsia="仿宋_GB2312"/>
                <w:szCs w:val="21"/>
              </w:rPr>
              <w:t>改建建筑面积每少100平米，扣分10%，低于指标值的60%不得分</w:t>
            </w:r>
          </w:p>
        </w:tc>
        <w:tc>
          <w:tcPr>
            <w:tcW w:w="3685" w:type="dxa"/>
            <w:tcBorders>
              <w:tl2br w:val="nil"/>
              <w:tr2bl w:val="nil"/>
            </w:tcBorders>
          </w:tcPr>
          <w:p w14:paraId="642715AE">
            <w:pPr>
              <w:widowControl/>
              <w:adjustRightInd w:val="0"/>
              <w:snapToGrid w:val="0"/>
              <w:spacing w:line="584" w:lineRule="exact"/>
              <w:rPr>
                <w:rFonts w:ascii="仿宋_GB2312" w:eastAsia="仿宋_GB2312"/>
                <w:szCs w:val="21"/>
              </w:rPr>
            </w:pPr>
            <w:r>
              <w:rPr>
                <w:rFonts w:hint="eastAsia" w:ascii="仿宋_GB2312" w:eastAsia="仿宋_GB2312"/>
                <w:szCs w:val="21"/>
              </w:rPr>
              <w:t>反映2023年档案馆改造的总建筑面积</w:t>
            </w:r>
          </w:p>
        </w:tc>
        <w:tc>
          <w:tcPr>
            <w:tcW w:w="567" w:type="dxa"/>
            <w:tcBorders>
              <w:tl2br w:val="nil"/>
              <w:tr2bl w:val="nil"/>
            </w:tcBorders>
          </w:tcPr>
          <w:p w14:paraId="2E4E1279">
            <w:pPr>
              <w:widowControl/>
              <w:adjustRightInd w:val="0"/>
              <w:snapToGrid w:val="0"/>
              <w:spacing w:line="584" w:lineRule="exact"/>
              <w:rPr>
                <w:rFonts w:ascii="仿宋_GB2312" w:eastAsia="仿宋_GB2312"/>
                <w:szCs w:val="21"/>
              </w:rPr>
            </w:pPr>
            <w:r>
              <w:rPr>
                <w:rFonts w:hint="eastAsia" w:ascii="仿宋_GB2312" w:eastAsia="仿宋_GB2312"/>
                <w:szCs w:val="21"/>
              </w:rPr>
              <w:t>＝</w:t>
            </w:r>
          </w:p>
        </w:tc>
        <w:tc>
          <w:tcPr>
            <w:tcW w:w="709" w:type="dxa"/>
            <w:tcBorders>
              <w:tl2br w:val="nil"/>
              <w:tr2bl w:val="nil"/>
            </w:tcBorders>
          </w:tcPr>
          <w:p w14:paraId="18A9970C">
            <w:pPr>
              <w:widowControl/>
              <w:adjustRightInd w:val="0"/>
              <w:snapToGrid w:val="0"/>
              <w:spacing w:line="584" w:lineRule="exact"/>
              <w:rPr>
                <w:rFonts w:ascii="仿宋_GB2312" w:eastAsia="仿宋_GB2312"/>
                <w:szCs w:val="21"/>
              </w:rPr>
            </w:pPr>
            <w:r>
              <w:rPr>
                <w:rFonts w:hint="eastAsia" w:ascii="仿宋_GB2312" w:eastAsia="仿宋_GB2312"/>
                <w:szCs w:val="21"/>
              </w:rPr>
              <w:t>5500</w:t>
            </w:r>
          </w:p>
        </w:tc>
        <w:tc>
          <w:tcPr>
            <w:tcW w:w="567" w:type="dxa"/>
            <w:tcBorders>
              <w:tl2br w:val="nil"/>
              <w:tr2bl w:val="nil"/>
            </w:tcBorders>
          </w:tcPr>
          <w:p w14:paraId="6AC9911B">
            <w:pPr>
              <w:widowControl/>
              <w:adjustRightInd w:val="0"/>
              <w:snapToGrid w:val="0"/>
              <w:spacing w:line="584" w:lineRule="exact"/>
              <w:rPr>
                <w:rFonts w:ascii="仿宋_GB2312" w:eastAsia="仿宋_GB2312"/>
                <w:szCs w:val="21"/>
              </w:rPr>
            </w:pPr>
            <w:r>
              <w:rPr>
                <w:rFonts w:hint="eastAsia" w:ascii="仿宋_GB2312" w:eastAsia="仿宋_GB2312"/>
                <w:szCs w:val="21"/>
              </w:rPr>
              <w:t>平米</w:t>
            </w:r>
          </w:p>
        </w:tc>
        <w:tc>
          <w:tcPr>
            <w:tcW w:w="1276" w:type="dxa"/>
            <w:tcBorders>
              <w:tl2br w:val="nil"/>
              <w:tr2bl w:val="nil"/>
            </w:tcBorders>
          </w:tcPr>
          <w:p w14:paraId="097AD3C5">
            <w:pPr>
              <w:widowControl/>
              <w:adjustRightInd w:val="0"/>
              <w:snapToGrid w:val="0"/>
              <w:spacing w:line="584" w:lineRule="exact"/>
              <w:rPr>
                <w:rFonts w:ascii="仿宋_GB2312" w:eastAsia="仿宋_GB2312"/>
                <w:szCs w:val="21"/>
              </w:rPr>
            </w:pPr>
            <w:r>
              <w:rPr>
                <w:rFonts w:hint="eastAsia" w:ascii="仿宋_GB2312" w:eastAsia="仿宋_GB2312"/>
                <w:szCs w:val="21"/>
              </w:rPr>
              <w:t>依政府文件</w:t>
            </w:r>
          </w:p>
        </w:tc>
      </w:tr>
      <w:tr w14:paraId="614CE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94" w:hRule="atLeast"/>
        </w:trPr>
        <w:tc>
          <w:tcPr>
            <w:tcW w:w="558" w:type="dxa"/>
            <w:vMerge w:val="continue"/>
            <w:tcBorders>
              <w:tl2br w:val="nil"/>
              <w:tr2bl w:val="nil"/>
            </w:tcBorders>
            <w:vAlign w:val="center"/>
          </w:tcPr>
          <w:p w14:paraId="7879A39F">
            <w:pPr>
              <w:widowControl/>
              <w:adjustRightInd w:val="0"/>
              <w:snapToGrid w:val="0"/>
              <w:spacing w:line="584" w:lineRule="exact"/>
              <w:jc w:val="center"/>
              <w:rPr>
                <w:rFonts w:ascii="仿宋_GB2312" w:eastAsia="仿宋_GB2312"/>
                <w:sz w:val="24"/>
                <w:szCs w:val="24"/>
              </w:rPr>
            </w:pPr>
          </w:p>
        </w:tc>
        <w:tc>
          <w:tcPr>
            <w:tcW w:w="729" w:type="dxa"/>
            <w:vMerge w:val="continue"/>
            <w:tcBorders>
              <w:tl2br w:val="nil"/>
              <w:tr2bl w:val="nil"/>
            </w:tcBorders>
            <w:vAlign w:val="center"/>
          </w:tcPr>
          <w:p w14:paraId="65E644EA">
            <w:pPr>
              <w:widowControl/>
              <w:adjustRightInd w:val="0"/>
              <w:snapToGrid w:val="0"/>
              <w:spacing w:line="584" w:lineRule="exact"/>
              <w:jc w:val="center"/>
              <w:rPr>
                <w:rFonts w:ascii="仿宋_GB2312" w:eastAsia="仿宋_GB2312"/>
                <w:szCs w:val="21"/>
              </w:rPr>
            </w:pPr>
          </w:p>
        </w:tc>
        <w:tc>
          <w:tcPr>
            <w:tcW w:w="2835" w:type="dxa"/>
            <w:tcBorders>
              <w:tl2br w:val="nil"/>
              <w:tr2bl w:val="nil"/>
            </w:tcBorders>
          </w:tcPr>
          <w:p w14:paraId="7B0051E6">
            <w:pPr>
              <w:widowControl/>
              <w:adjustRightInd w:val="0"/>
              <w:snapToGrid w:val="0"/>
              <w:spacing w:line="584" w:lineRule="exact"/>
              <w:rPr>
                <w:rFonts w:ascii="仿宋_GB2312" w:eastAsia="仿宋_GB2312"/>
                <w:szCs w:val="21"/>
              </w:rPr>
            </w:pPr>
            <w:r>
              <w:rPr>
                <w:rFonts w:hint="eastAsia" w:ascii="仿宋_GB2312" w:eastAsia="仿宋_GB2312"/>
                <w:szCs w:val="21"/>
              </w:rPr>
              <w:t>印制《档案廊坊》完成数量</w:t>
            </w:r>
          </w:p>
        </w:tc>
        <w:tc>
          <w:tcPr>
            <w:tcW w:w="2977" w:type="dxa"/>
            <w:tcBorders>
              <w:tl2br w:val="nil"/>
              <w:tr2bl w:val="nil"/>
            </w:tcBorders>
          </w:tcPr>
          <w:p w14:paraId="39F3CDFF">
            <w:pPr>
              <w:widowControl/>
              <w:adjustRightInd w:val="0"/>
              <w:snapToGrid w:val="0"/>
              <w:spacing w:line="584" w:lineRule="exact"/>
              <w:rPr>
                <w:rFonts w:ascii="仿宋_GB2312" w:eastAsia="仿宋_GB2312"/>
                <w:szCs w:val="21"/>
              </w:rPr>
            </w:pPr>
            <w:r>
              <w:rPr>
                <w:rFonts w:hint="eastAsia" w:ascii="仿宋_GB2312" w:eastAsia="仿宋_GB2312"/>
                <w:szCs w:val="21"/>
              </w:rPr>
              <w:t>《档案廊坊》编辑数量不达标不得分</w:t>
            </w:r>
          </w:p>
        </w:tc>
        <w:tc>
          <w:tcPr>
            <w:tcW w:w="3685" w:type="dxa"/>
            <w:tcBorders>
              <w:tl2br w:val="nil"/>
              <w:tr2bl w:val="nil"/>
            </w:tcBorders>
          </w:tcPr>
          <w:p w14:paraId="480DC605">
            <w:pPr>
              <w:widowControl/>
              <w:adjustRightInd w:val="0"/>
              <w:snapToGrid w:val="0"/>
              <w:spacing w:line="584" w:lineRule="exact"/>
              <w:rPr>
                <w:rFonts w:ascii="仿宋_GB2312" w:eastAsia="仿宋_GB2312"/>
                <w:szCs w:val="21"/>
              </w:rPr>
            </w:pPr>
            <w:r>
              <w:rPr>
                <w:rFonts w:hint="eastAsia" w:ascii="仿宋_GB2312" w:eastAsia="仿宋_GB2312"/>
                <w:szCs w:val="21"/>
              </w:rPr>
              <w:t>反映2023年《档案廊坊》编辑数量</w:t>
            </w:r>
          </w:p>
        </w:tc>
        <w:tc>
          <w:tcPr>
            <w:tcW w:w="567" w:type="dxa"/>
            <w:tcBorders>
              <w:tl2br w:val="nil"/>
              <w:tr2bl w:val="nil"/>
            </w:tcBorders>
          </w:tcPr>
          <w:p w14:paraId="560852B9">
            <w:pPr>
              <w:widowControl/>
              <w:adjustRightInd w:val="0"/>
              <w:snapToGrid w:val="0"/>
              <w:spacing w:line="584" w:lineRule="exact"/>
              <w:rPr>
                <w:rFonts w:ascii="仿宋_GB2312" w:eastAsia="仿宋_GB2312"/>
                <w:szCs w:val="21"/>
              </w:rPr>
            </w:pPr>
            <w:r>
              <w:rPr>
                <w:rFonts w:hint="eastAsia" w:ascii="仿宋_GB2312" w:eastAsia="仿宋_GB2312"/>
                <w:szCs w:val="21"/>
              </w:rPr>
              <w:t>＝</w:t>
            </w:r>
          </w:p>
        </w:tc>
        <w:tc>
          <w:tcPr>
            <w:tcW w:w="709" w:type="dxa"/>
            <w:tcBorders>
              <w:tl2br w:val="nil"/>
              <w:tr2bl w:val="nil"/>
            </w:tcBorders>
          </w:tcPr>
          <w:p w14:paraId="662F37D4">
            <w:pPr>
              <w:widowControl/>
              <w:adjustRightInd w:val="0"/>
              <w:snapToGrid w:val="0"/>
              <w:spacing w:line="584" w:lineRule="exact"/>
              <w:rPr>
                <w:rFonts w:ascii="仿宋_GB2312" w:eastAsia="仿宋_GB2312"/>
                <w:szCs w:val="21"/>
              </w:rPr>
            </w:pPr>
            <w:r>
              <w:rPr>
                <w:rFonts w:hint="eastAsia" w:ascii="仿宋_GB2312" w:eastAsia="仿宋_GB2312"/>
                <w:szCs w:val="21"/>
              </w:rPr>
              <w:t>1</w:t>
            </w:r>
          </w:p>
        </w:tc>
        <w:tc>
          <w:tcPr>
            <w:tcW w:w="567" w:type="dxa"/>
            <w:tcBorders>
              <w:tl2br w:val="nil"/>
              <w:tr2bl w:val="nil"/>
            </w:tcBorders>
          </w:tcPr>
          <w:p w14:paraId="3495B843">
            <w:pPr>
              <w:widowControl/>
              <w:adjustRightInd w:val="0"/>
              <w:snapToGrid w:val="0"/>
              <w:spacing w:line="584" w:lineRule="exact"/>
              <w:rPr>
                <w:rFonts w:ascii="仿宋_GB2312" w:eastAsia="仿宋_GB2312"/>
                <w:szCs w:val="21"/>
              </w:rPr>
            </w:pPr>
            <w:r>
              <w:rPr>
                <w:rFonts w:hint="eastAsia" w:ascii="仿宋_GB2312" w:eastAsia="仿宋_GB2312"/>
                <w:szCs w:val="21"/>
              </w:rPr>
              <w:t>本</w:t>
            </w:r>
          </w:p>
        </w:tc>
        <w:tc>
          <w:tcPr>
            <w:tcW w:w="1276" w:type="dxa"/>
            <w:tcBorders>
              <w:tl2br w:val="nil"/>
              <w:tr2bl w:val="nil"/>
            </w:tcBorders>
          </w:tcPr>
          <w:p w14:paraId="13DACF8F">
            <w:pPr>
              <w:widowControl/>
              <w:adjustRightInd w:val="0"/>
              <w:snapToGrid w:val="0"/>
              <w:spacing w:line="584" w:lineRule="exact"/>
              <w:rPr>
                <w:rFonts w:ascii="仿宋_GB2312" w:eastAsia="仿宋_GB2312"/>
                <w:szCs w:val="21"/>
              </w:rPr>
            </w:pPr>
            <w:r>
              <w:rPr>
                <w:rFonts w:hint="eastAsia" w:ascii="仿宋_GB2312" w:eastAsia="仿宋_GB2312"/>
                <w:szCs w:val="21"/>
              </w:rPr>
              <w:t>依年初计划</w:t>
            </w:r>
          </w:p>
        </w:tc>
      </w:tr>
      <w:tr w14:paraId="5633E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94" w:hRule="atLeast"/>
        </w:trPr>
        <w:tc>
          <w:tcPr>
            <w:tcW w:w="558" w:type="dxa"/>
            <w:vMerge w:val="continue"/>
            <w:tcBorders>
              <w:tl2br w:val="nil"/>
              <w:tr2bl w:val="nil"/>
            </w:tcBorders>
            <w:vAlign w:val="center"/>
          </w:tcPr>
          <w:p w14:paraId="511AE585">
            <w:pPr>
              <w:widowControl/>
              <w:adjustRightInd w:val="0"/>
              <w:snapToGrid w:val="0"/>
              <w:spacing w:line="584" w:lineRule="exact"/>
              <w:jc w:val="center"/>
              <w:rPr>
                <w:rFonts w:ascii="仿宋_GB2312" w:eastAsia="仿宋_GB2312"/>
                <w:sz w:val="24"/>
                <w:szCs w:val="24"/>
              </w:rPr>
            </w:pPr>
          </w:p>
        </w:tc>
        <w:tc>
          <w:tcPr>
            <w:tcW w:w="729" w:type="dxa"/>
            <w:vMerge w:val="continue"/>
            <w:tcBorders>
              <w:tl2br w:val="nil"/>
              <w:tr2bl w:val="nil"/>
            </w:tcBorders>
            <w:vAlign w:val="center"/>
          </w:tcPr>
          <w:p w14:paraId="75444818">
            <w:pPr>
              <w:widowControl/>
              <w:adjustRightInd w:val="0"/>
              <w:snapToGrid w:val="0"/>
              <w:spacing w:line="584" w:lineRule="exact"/>
              <w:jc w:val="center"/>
              <w:rPr>
                <w:rFonts w:ascii="仿宋_GB2312" w:eastAsia="仿宋_GB2312"/>
                <w:sz w:val="24"/>
                <w:szCs w:val="24"/>
              </w:rPr>
            </w:pPr>
          </w:p>
        </w:tc>
        <w:tc>
          <w:tcPr>
            <w:tcW w:w="2835" w:type="dxa"/>
            <w:tcBorders>
              <w:tl2br w:val="nil"/>
              <w:tr2bl w:val="nil"/>
            </w:tcBorders>
          </w:tcPr>
          <w:p w14:paraId="505A9A92">
            <w:pPr>
              <w:widowControl/>
              <w:adjustRightInd w:val="0"/>
              <w:snapToGrid w:val="0"/>
              <w:spacing w:line="584" w:lineRule="exact"/>
              <w:rPr>
                <w:rFonts w:ascii="仿宋_GB2312" w:eastAsia="仿宋_GB2312"/>
                <w:szCs w:val="21"/>
              </w:rPr>
            </w:pPr>
            <w:r>
              <w:rPr>
                <w:rFonts w:hint="eastAsia" w:ascii="仿宋_GB2312" w:eastAsia="仿宋_GB2312"/>
                <w:szCs w:val="21"/>
              </w:rPr>
              <w:t>廊坊档案公众号发刊数</w:t>
            </w:r>
          </w:p>
        </w:tc>
        <w:tc>
          <w:tcPr>
            <w:tcW w:w="2977" w:type="dxa"/>
            <w:tcBorders>
              <w:tl2br w:val="nil"/>
              <w:tr2bl w:val="nil"/>
            </w:tcBorders>
          </w:tcPr>
          <w:p w14:paraId="043B9ABE">
            <w:pPr>
              <w:widowControl/>
              <w:adjustRightInd w:val="0"/>
              <w:snapToGrid w:val="0"/>
              <w:spacing w:line="584" w:lineRule="exact"/>
              <w:rPr>
                <w:rFonts w:ascii="仿宋_GB2312" w:eastAsia="仿宋_GB2312"/>
                <w:szCs w:val="21"/>
              </w:rPr>
            </w:pPr>
            <w:r>
              <w:rPr>
                <w:rFonts w:hint="eastAsia" w:ascii="仿宋_GB2312" w:eastAsia="仿宋_GB2312"/>
                <w:szCs w:val="21"/>
              </w:rPr>
              <w:t>全年发行期刊达到36期得满分，每减少1期扣分10%，未达到32期不得分</w:t>
            </w:r>
          </w:p>
        </w:tc>
        <w:tc>
          <w:tcPr>
            <w:tcW w:w="3685" w:type="dxa"/>
            <w:tcBorders>
              <w:tl2br w:val="nil"/>
              <w:tr2bl w:val="nil"/>
            </w:tcBorders>
          </w:tcPr>
          <w:p w14:paraId="15394F81">
            <w:pPr>
              <w:widowControl/>
              <w:adjustRightInd w:val="0"/>
              <w:snapToGrid w:val="0"/>
              <w:spacing w:line="584" w:lineRule="exact"/>
              <w:rPr>
                <w:rFonts w:ascii="仿宋_GB2312" w:eastAsia="仿宋_GB2312"/>
                <w:szCs w:val="21"/>
              </w:rPr>
            </w:pPr>
            <w:r>
              <w:rPr>
                <w:rFonts w:hint="eastAsia" w:ascii="仿宋_GB2312" w:eastAsia="仿宋_GB2312"/>
                <w:szCs w:val="21"/>
              </w:rPr>
              <w:t>反映2022年档案馆公众号发行期刊总数</w:t>
            </w:r>
          </w:p>
        </w:tc>
        <w:tc>
          <w:tcPr>
            <w:tcW w:w="567" w:type="dxa"/>
            <w:tcBorders>
              <w:tl2br w:val="nil"/>
              <w:tr2bl w:val="nil"/>
            </w:tcBorders>
          </w:tcPr>
          <w:p w14:paraId="5A6AEB53">
            <w:pPr>
              <w:widowControl/>
              <w:adjustRightInd w:val="0"/>
              <w:snapToGrid w:val="0"/>
              <w:spacing w:line="584" w:lineRule="exact"/>
              <w:rPr>
                <w:rFonts w:ascii="仿宋_GB2312" w:eastAsia="仿宋_GB2312"/>
                <w:szCs w:val="21"/>
              </w:rPr>
            </w:pPr>
            <w:r>
              <w:rPr>
                <w:rFonts w:hint="eastAsia" w:ascii="仿宋_GB2312" w:eastAsia="仿宋_GB2312"/>
                <w:szCs w:val="21"/>
              </w:rPr>
              <w:t>≥</w:t>
            </w:r>
          </w:p>
        </w:tc>
        <w:tc>
          <w:tcPr>
            <w:tcW w:w="709" w:type="dxa"/>
            <w:tcBorders>
              <w:tl2br w:val="nil"/>
              <w:tr2bl w:val="nil"/>
            </w:tcBorders>
          </w:tcPr>
          <w:p w14:paraId="0DECC3A4">
            <w:pPr>
              <w:widowControl/>
              <w:adjustRightInd w:val="0"/>
              <w:snapToGrid w:val="0"/>
              <w:spacing w:line="584" w:lineRule="exact"/>
              <w:rPr>
                <w:rFonts w:ascii="仿宋_GB2312" w:eastAsia="仿宋_GB2312"/>
                <w:szCs w:val="21"/>
              </w:rPr>
            </w:pPr>
            <w:r>
              <w:rPr>
                <w:rFonts w:hint="eastAsia" w:ascii="仿宋_GB2312" w:eastAsia="仿宋_GB2312"/>
                <w:szCs w:val="21"/>
              </w:rPr>
              <w:t>36</w:t>
            </w:r>
          </w:p>
        </w:tc>
        <w:tc>
          <w:tcPr>
            <w:tcW w:w="567" w:type="dxa"/>
            <w:tcBorders>
              <w:tl2br w:val="nil"/>
              <w:tr2bl w:val="nil"/>
            </w:tcBorders>
          </w:tcPr>
          <w:p w14:paraId="49A8925E">
            <w:pPr>
              <w:widowControl/>
              <w:adjustRightInd w:val="0"/>
              <w:snapToGrid w:val="0"/>
              <w:spacing w:line="584" w:lineRule="exact"/>
              <w:rPr>
                <w:rFonts w:ascii="仿宋_GB2312" w:eastAsia="仿宋_GB2312"/>
                <w:szCs w:val="21"/>
              </w:rPr>
            </w:pPr>
            <w:r>
              <w:rPr>
                <w:rFonts w:hint="eastAsia" w:ascii="仿宋_GB2312" w:eastAsia="仿宋_GB2312"/>
                <w:szCs w:val="21"/>
              </w:rPr>
              <w:t>期</w:t>
            </w:r>
          </w:p>
        </w:tc>
        <w:tc>
          <w:tcPr>
            <w:tcW w:w="1276" w:type="dxa"/>
            <w:tcBorders>
              <w:tl2br w:val="nil"/>
              <w:tr2bl w:val="nil"/>
            </w:tcBorders>
          </w:tcPr>
          <w:p w14:paraId="46EC3184">
            <w:pPr>
              <w:widowControl/>
              <w:adjustRightInd w:val="0"/>
              <w:snapToGrid w:val="0"/>
              <w:spacing w:line="584" w:lineRule="exact"/>
              <w:rPr>
                <w:rFonts w:ascii="仿宋_GB2312" w:eastAsia="仿宋_GB2312"/>
                <w:szCs w:val="21"/>
              </w:rPr>
            </w:pPr>
            <w:r>
              <w:rPr>
                <w:rFonts w:hint="eastAsia" w:ascii="仿宋_GB2312" w:eastAsia="仿宋_GB2312"/>
                <w:szCs w:val="21"/>
              </w:rPr>
              <w:t>历史依据</w:t>
            </w:r>
          </w:p>
        </w:tc>
      </w:tr>
      <w:tr w14:paraId="08739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trPr>
        <w:tc>
          <w:tcPr>
            <w:tcW w:w="558" w:type="dxa"/>
            <w:vMerge w:val="continue"/>
            <w:tcBorders>
              <w:tl2br w:val="nil"/>
              <w:tr2bl w:val="nil"/>
            </w:tcBorders>
            <w:vAlign w:val="center"/>
          </w:tcPr>
          <w:p w14:paraId="0520655B">
            <w:pPr>
              <w:spacing w:line="584" w:lineRule="exact"/>
            </w:pPr>
          </w:p>
        </w:tc>
        <w:tc>
          <w:tcPr>
            <w:tcW w:w="729" w:type="dxa"/>
            <w:vMerge w:val="restart"/>
            <w:tcBorders>
              <w:tl2br w:val="nil"/>
              <w:tr2bl w:val="nil"/>
            </w:tcBorders>
            <w:vAlign w:val="center"/>
          </w:tcPr>
          <w:p w14:paraId="04B51C94">
            <w:pPr>
              <w:widowControl/>
              <w:adjustRightInd w:val="0"/>
              <w:snapToGrid w:val="0"/>
              <w:spacing w:line="584" w:lineRule="exact"/>
              <w:jc w:val="center"/>
              <w:rPr>
                <w:rFonts w:ascii="方正书宋_GBK" w:eastAsia="方正书宋_GBK"/>
              </w:rPr>
            </w:pPr>
            <w:r>
              <w:rPr>
                <w:rFonts w:ascii="方正书宋_GBK" w:eastAsia="方正书宋_GBK"/>
              </w:rPr>
              <w:t>质量</w:t>
            </w:r>
          </w:p>
        </w:tc>
        <w:tc>
          <w:tcPr>
            <w:tcW w:w="2835" w:type="dxa"/>
            <w:tcBorders>
              <w:tl2br w:val="nil"/>
              <w:tr2bl w:val="nil"/>
            </w:tcBorders>
            <w:vAlign w:val="center"/>
          </w:tcPr>
          <w:p w14:paraId="270BF480">
            <w:pPr>
              <w:widowControl/>
              <w:adjustRightInd w:val="0"/>
              <w:snapToGrid w:val="0"/>
              <w:spacing w:line="584" w:lineRule="exact"/>
              <w:rPr>
                <w:rFonts w:ascii="仿宋_GB2312" w:eastAsia="仿宋_GB2312"/>
              </w:rPr>
            </w:pPr>
            <w:r>
              <w:rPr>
                <w:rFonts w:hint="eastAsia" w:ascii="仿宋_GB2312" w:eastAsia="仿宋_GB2312"/>
              </w:rPr>
              <w:t>档案馆加固改造合格率</w:t>
            </w:r>
          </w:p>
        </w:tc>
        <w:tc>
          <w:tcPr>
            <w:tcW w:w="2977" w:type="dxa"/>
            <w:tcBorders>
              <w:tl2br w:val="nil"/>
              <w:tr2bl w:val="nil"/>
            </w:tcBorders>
          </w:tcPr>
          <w:p w14:paraId="3368D0C8">
            <w:pPr>
              <w:widowControl/>
              <w:adjustRightInd w:val="0"/>
              <w:snapToGrid w:val="0"/>
              <w:spacing w:line="584" w:lineRule="exact"/>
              <w:rPr>
                <w:rFonts w:ascii="仿宋_GB2312" w:eastAsia="仿宋_GB2312"/>
              </w:rPr>
            </w:pPr>
            <w:r>
              <w:rPr>
                <w:rFonts w:hint="eastAsia" w:ascii="仿宋_GB2312" w:eastAsia="仿宋_GB2312"/>
              </w:rPr>
              <w:t>合格率每降低1%扣分1%，不达60%不得分</w:t>
            </w:r>
          </w:p>
        </w:tc>
        <w:tc>
          <w:tcPr>
            <w:tcW w:w="3685" w:type="dxa"/>
            <w:tcBorders>
              <w:tl2br w:val="nil"/>
              <w:tr2bl w:val="nil"/>
            </w:tcBorders>
          </w:tcPr>
          <w:p w14:paraId="68F33D0B">
            <w:pPr>
              <w:widowControl/>
              <w:adjustRightInd w:val="0"/>
              <w:snapToGrid w:val="0"/>
              <w:spacing w:line="584" w:lineRule="exact"/>
              <w:rPr>
                <w:rFonts w:ascii="仿宋_GB2312" w:eastAsia="仿宋_GB2312"/>
              </w:rPr>
            </w:pPr>
            <w:r>
              <w:rPr>
                <w:rFonts w:hint="eastAsia" w:ascii="仿宋_GB2312" w:eastAsia="仿宋_GB2312"/>
              </w:rPr>
              <w:t>合格率＝档案馆加固改造的合格平米数/档案库房的用药总数量</w:t>
            </w:r>
          </w:p>
        </w:tc>
        <w:tc>
          <w:tcPr>
            <w:tcW w:w="567" w:type="dxa"/>
            <w:tcBorders>
              <w:tl2br w:val="nil"/>
              <w:tr2bl w:val="nil"/>
            </w:tcBorders>
            <w:vAlign w:val="center"/>
          </w:tcPr>
          <w:p w14:paraId="7B996ED3">
            <w:pPr>
              <w:widowControl/>
              <w:adjustRightInd w:val="0"/>
              <w:snapToGrid w:val="0"/>
              <w:spacing w:line="584" w:lineRule="exact"/>
              <w:jc w:val="center"/>
              <w:rPr>
                <w:rFonts w:ascii="仿宋_GB2312" w:eastAsia="仿宋_GB2312"/>
              </w:rPr>
            </w:pPr>
            <w:r>
              <w:rPr>
                <w:rFonts w:hint="eastAsia" w:ascii="仿宋_GB2312" w:eastAsia="仿宋_GB2312"/>
              </w:rPr>
              <w:t>＝</w:t>
            </w:r>
          </w:p>
        </w:tc>
        <w:tc>
          <w:tcPr>
            <w:tcW w:w="709" w:type="dxa"/>
            <w:tcBorders>
              <w:tl2br w:val="nil"/>
              <w:tr2bl w:val="nil"/>
            </w:tcBorders>
            <w:vAlign w:val="center"/>
          </w:tcPr>
          <w:p w14:paraId="6FC27010">
            <w:pPr>
              <w:widowControl/>
              <w:adjustRightInd w:val="0"/>
              <w:snapToGrid w:val="0"/>
              <w:spacing w:line="584" w:lineRule="exact"/>
              <w:jc w:val="center"/>
              <w:rPr>
                <w:rFonts w:ascii="仿宋_GB2312" w:eastAsia="仿宋_GB2312"/>
              </w:rPr>
            </w:pPr>
            <w:r>
              <w:rPr>
                <w:rFonts w:hint="eastAsia" w:ascii="仿宋_GB2312" w:eastAsia="仿宋_GB2312"/>
              </w:rPr>
              <w:t>100</w:t>
            </w:r>
          </w:p>
        </w:tc>
        <w:tc>
          <w:tcPr>
            <w:tcW w:w="567" w:type="dxa"/>
            <w:tcBorders>
              <w:tl2br w:val="nil"/>
              <w:tr2bl w:val="nil"/>
            </w:tcBorders>
            <w:vAlign w:val="center"/>
          </w:tcPr>
          <w:p w14:paraId="773EACA0">
            <w:pPr>
              <w:widowControl/>
              <w:adjustRightInd w:val="0"/>
              <w:snapToGrid w:val="0"/>
              <w:spacing w:line="584" w:lineRule="exact"/>
              <w:jc w:val="center"/>
              <w:rPr>
                <w:rFonts w:ascii="仿宋_GB2312" w:eastAsia="仿宋_GB2312"/>
              </w:rPr>
            </w:pPr>
            <w:r>
              <w:rPr>
                <w:rFonts w:hint="eastAsia" w:ascii="仿宋_GB2312" w:eastAsia="仿宋_GB2312"/>
              </w:rPr>
              <w:t>%</w:t>
            </w:r>
          </w:p>
        </w:tc>
        <w:tc>
          <w:tcPr>
            <w:tcW w:w="1276" w:type="dxa"/>
            <w:tcBorders>
              <w:tl2br w:val="nil"/>
              <w:tr2bl w:val="nil"/>
            </w:tcBorders>
            <w:vAlign w:val="center"/>
          </w:tcPr>
          <w:p w14:paraId="7890F25E">
            <w:pPr>
              <w:widowControl/>
              <w:adjustRightInd w:val="0"/>
              <w:snapToGrid w:val="0"/>
              <w:spacing w:line="584" w:lineRule="exact"/>
              <w:rPr>
                <w:rFonts w:ascii="仿宋_GB2312" w:eastAsia="仿宋_GB2312"/>
              </w:rPr>
            </w:pPr>
            <w:r>
              <w:rPr>
                <w:rFonts w:hint="eastAsia" w:ascii="仿宋_GB2312" w:eastAsia="仿宋_GB2312"/>
              </w:rPr>
              <w:t>项目验收单</w:t>
            </w:r>
          </w:p>
        </w:tc>
      </w:tr>
      <w:tr w14:paraId="26C07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trPr>
        <w:tc>
          <w:tcPr>
            <w:tcW w:w="558" w:type="dxa"/>
            <w:vMerge w:val="continue"/>
            <w:tcBorders>
              <w:tl2br w:val="nil"/>
              <w:tr2bl w:val="nil"/>
            </w:tcBorders>
            <w:vAlign w:val="center"/>
          </w:tcPr>
          <w:p w14:paraId="20EA0824">
            <w:pPr>
              <w:spacing w:line="584" w:lineRule="exact"/>
            </w:pPr>
          </w:p>
        </w:tc>
        <w:tc>
          <w:tcPr>
            <w:tcW w:w="729" w:type="dxa"/>
            <w:vMerge w:val="continue"/>
            <w:tcBorders>
              <w:tl2br w:val="nil"/>
              <w:tr2bl w:val="nil"/>
            </w:tcBorders>
            <w:vAlign w:val="center"/>
          </w:tcPr>
          <w:p w14:paraId="6ED26368">
            <w:pPr>
              <w:widowControl/>
              <w:adjustRightInd w:val="0"/>
              <w:snapToGrid w:val="0"/>
              <w:spacing w:line="584" w:lineRule="exact"/>
              <w:jc w:val="center"/>
              <w:rPr>
                <w:rFonts w:ascii="方正书宋_GBK" w:eastAsia="方正书宋_GBK"/>
              </w:rPr>
            </w:pPr>
          </w:p>
        </w:tc>
        <w:tc>
          <w:tcPr>
            <w:tcW w:w="2835" w:type="dxa"/>
            <w:tcBorders>
              <w:tl2br w:val="nil"/>
              <w:tr2bl w:val="nil"/>
            </w:tcBorders>
            <w:vAlign w:val="center"/>
          </w:tcPr>
          <w:p w14:paraId="7E1743D7">
            <w:pPr>
              <w:widowControl/>
              <w:adjustRightInd w:val="0"/>
              <w:snapToGrid w:val="0"/>
              <w:spacing w:line="584" w:lineRule="exact"/>
              <w:rPr>
                <w:rFonts w:ascii="仿宋_GB2312" w:eastAsia="仿宋_GB2312"/>
              </w:rPr>
            </w:pPr>
            <w:r>
              <w:rPr>
                <w:rFonts w:hint="eastAsia" w:ascii="仿宋_GB2312" w:eastAsia="仿宋_GB2312"/>
              </w:rPr>
              <w:t>档案库房用药产品合格率</w:t>
            </w:r>
          </w:p>
        </w:tc>
        <w:tc>
          <w:tcPr>
            <w:tcW w:w="2977" w:type="dxa"/>
            <w:tcBorders>
              <w:tl2br w:val="nil"/>
              <w:tr2bl w:val="nil"/>
            </w:tcBorders>
            <w:vAlign w:val="center"/>
          </w:tcPr>
          <w:p w14:paraId="66DBA84A">
            <w:pPr>
              <w:widowControl/>
              <w:adjustRightInd w:val="0"/>
              <w:snapToGrid w:val="0"/>
              <w:spacing w:line="584" w:lineRule="exact"/>
              <w:rPr>
                <w:rFonts w:ascii="仿宋_GB2312" w:eastAsia="仿宋_GB2312"/>
              </w:rPr>
            </w:pPr>
            <w:r>
              <w:rPr>
                <w:rFonts w:hint="eastAsia" w:ascii="仿宋_GB2312" w:eastAsia="仿宋_GB2312"/>
              </w:rPr>
              <w:t>合格率每降低1%扣分1%，不达60%不得分</w:t>
            </w:r>
          </w:p>
        </w:tc>
        <w:tc>
          <w:tcPr>
            <w:tcW w:w="3685" w:type="dxa"/>
            <w:tcBorders>
              <w:tl2br w:val="nil"/>
              <w:tr2bl w:val="nil"/>
            </w:tcBorders>
            <w:vAlign w:val="center"/>
          </w:tcPr>
          <w:p w14:paraId="0DCCC426">
            <w:pPr>
              <w:widowControl/>
              <w:adjustRightInd w:val="0"/>
              <w:snapToGrid w:val="0"/>
              <w:spacing w:line="584" w:lineRule="exact"/>
              <w:rPr>
                <w:rFonts w:ascii="仿宋_GB2312" w:eastAsia="仿宋_GB2312"/>
              </w:rPr>
            </w:pPr>
            <w:r>
              <w:rPr>
                <w:rFonts w:hint="eastAsia" w:ascii="仿宋_GB2312" w:eastAsia="仿宋_GB2312"/>
              </w:rPr>
              <w:t>合格率＝档案库房用药的合格的数量/档案库房的用药总数量</w:t>
            </w:r>
          </w:p>
        </w:tc>
        <w:tc>
          <w:tcPr>
            <w:tcW w:w="567" w:type="dxa"/>
            <w:tcBorders>
              <w:tl2br w:val="nil"/>
              <w:tr2bl w:val="nil"/>
            </w:tcBorders>
            <w:vAlign w:val="center"/>
          </w:tcPr>
          <w:p w14:paraId="63BFD73D">
            <w:pPr>
              <w:widowControl/>
              <w:adjustRightInd w:val="0"/>
              <w:snapToGrid w:val="0"/>
              <w:spacing w:line="584" w:lineRule="exact"/>
              <w:jc w:val="center"/>
              <w:rPr>
                <w:rFonts w:ascii="仿宋_GB2312" w:eastAsia="仿宋_GB2312"/>
              </w:rPr>
            </w:pPr>
            <w:r>
              <w:rPr>
                <w:rFonts w:hint="eastAsia" w:ascii="仿宋_GB2312" w:eastAsia="仿宋_GB2312"/>
              </w:rPr>
              <w:t>≥</w:t>
            </w:r>
          </w:p>
        </w:tc>
        <w:tc>
          <w:tcPr>
            <w:tcW w:w="709" w:type="dxa"/>
            <w:tcBorders>
              <w:tl2br w:val="nil"/>
              <w:tr2bl w:val="nil"/>
            </w:tcBorders>
            <w:vAlign w:val="center"/>
          </w:tcPr>
          <w:p w14:paraId="501E8B33">
            <w:pPr>
              <w:widowControl/>
              <w:adjustRightInd w:val="0"/>
              <w:snapToGrid w:val="0"/>
              <w:spacing w:line="584" w:lineRule="exact"/>
              <w:jc w:val="center"/>
              <w:rPr>
                <w:rFonts w:ascii="仿宋_GB2312" w:eastAsia="仿宋_GB2312"/>
              </w:rPr>
            </w:pPr>
            <w:r>
              <w:rPr>
                <w:rFonts w:hint="eastAsia" w:ascii="仿宋_GB2312" w:eastAsia="仿宋_GB2312"/>
              </w:rPr>
              <w:t>99</w:t>
            </w:r>
          </w:p>
        </w:tc>
        <w:tc>
          <w:tcPr>
            <w:tcW w:w="567" w:type="dxa"/>
            <w:tcBorders>
              <w:tl2br w:val="nil"/>
              <w:tr2bl w:val="nil"/>
            </w:tcBorders>
            <w:vAlign w:val="center"/>
          </w:tcPr>
          <w:p w14:paraId="42B82B20">
            <w:pPr>
              <w:widowControl/>
              <w:adjustRightInd w:val="0"/>
              <w:snapToGrid w:val="0"/>
              <w:spacing w:line="584" w:lineRule="exact"/>
              <w:jc w:val="center"/>
              <w:rPr>
                <w:rFonts w:ascii="仿宋_GB2312" w:eastAsia="仿宋_GB2312"/>
              </w:rPr>
            </w:pPr>
            <w:r>
              <w:rPr>
                <w:rFonts w:hint="eastAsia" w:ascii="仿宋_GB2312" w:eastAsia="仿宋_GB2312"/>
              </w:rPr>
              <w:t>%</w:t>
            </w:r>
          </w:p>
        </w:tc>
        <w:tc>
          <w:tcPr>
            <w:tcW w:w="1276" w:type="dxa"/>
            <w:tcBorders>
              <w:tl2br w:val="nil"/>
              <w:tr2bl w:val="nil"/>
            </w:tcBorders>
            <w:vAlign w:val="center"/>
          </w:tcPr>
          <w:p w14:paraId="50D4E048">
            <w:pPr>
              <w:widowControl/>
              <w:adjustRightInd w:val="0"/>
              <w:snapToGrid w:val="0"/>
              <w:spacing w:line="584" w:lineRule="exact"/>
              <w:rPr>
                <w:rFonts w:ascii="仿宋_GB2312" w:eastAsia="仿宋_GB2312"/>
              </w:rPr>
            </w:pPr>
            <w:r>
              <w:rPr>
                <w:rFonts w:hint="eastAsia" w:ascii="仿宋_GB2312" w:eastAsia="仿宋_GB2312"/>
              </w:rPr>
              <w:t>项目验收单</w:t>
            </w:r>
          </w:p>
        </w:tc>
      </w:tr>
      <w:tr w14:paraId="66269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trPr>
        <w:tc>
          <w:tcPr>
            <w:tcW w:w="558" w:type="dxa"/>
            <w:vMerge w:val="continue"/>
            <w:tcBorders>
              <w:tl2br w:val="nil"/>
              <w:tr2bl w:val="nil"/>
            </w:tcBorders>
            <w:vAlign w:val="center"/>
          </w:tcPr>
          <w:p w14:paraId="1705D826">
            <w:pPr>
              <w:spacing w:line="584" w:lineRule="exact"/>
            </w:pPr>
          </w:p>
        </w:tc>
        <w:tc>
          <w:tcPr>
            <w:tcW w:w="729" w:type="dxa"/>
            <w:vMerge w:val="continue"/>
            <w:tcBorders>
              <w:tl2br w:val="nil"/>
              <w:tr2bl w:val="nil"/>
            </w:tcBorders>
            <w:vAlign w:val="center"/>
          </w:tcPr>
          <w:p w14:paraId="4C464DC5">
            <w:pPr>
              <w:widowControl/>
              <w:adjustRightInd w:val="0"/>
              <w:snapToGrid w:val="0"/>
              <w:spacing w:line="584" w:lineRule="exact"/>
              <w:jc w:val="center"/>
              <w:rPr>
                <w:rFonts w:ascii="方正书宋_GBK" w:eastAsia="方正书宋_GBK"/>
              </w:rPr>
            </w:pPr>
          </w:p>
        </w:tc>
        <w:tc>
          <w:tcPr>
            <w:tcW w:w="2835" w:type="dxa"/>
            <w:tcBorders>
              <w:tl2br w:val="nil"/>
              <w:tr2bl w:val="nil"/>
            </w:tcBorders>
            <w:vAlign w:val="center"/>
          </w:tcPr>
          <w:p w14:paraId="2FBF72EF">
            <w:pPr>
              <w:widowControl/>
              <w:adjustRightInd w:val="0"/>
              <w:snapToGrid w:val="0"/>
              <w:spacing w:line="584" w:lineRule="exact"/>
              <w:rPr>
                <w:rFonts w:ascii="仿宋_GB2312" w:eastAsia="仿宋_GB2312"/>
              </w:rPr>
            </w:pPr>
            <w:r>
              <w:rPr>
                <w:rFonts w:hint="eastAsia" w:ascii="仿宋_GB2312" w:eastAsia="仿宋_GB2312"/>
              </w:rPr>
              <w:t>廊坊档案公众号发刊的合格率</w:t>
            </w:r>
          </w:p>
        </w:tc>
        <w:tc>
          <w:tcPr>
            <w:tcW w:w="2977" w:type="dxa"/>
            <w:tcBorders>
              <w:tl2br w:val="nil"/>
              <w:tr2bl w:val="nil"/>
            </w:tcBorders>
            <w:vAlign w:val="center"/>
          </w:tcPr>
          <w:p w14:paraId="2E2A8F77">
            <w:pPr>
              <w:widowControl/>
              <w:adjustRightInd w:val="0"/>
              <w:snapToGrid w:val="0"/>
              <w:spacing w:line="584" w:lineRule="exact"/>
              <w:rPr>
                <w:rFonts w:ascii="仿宋_GB2312" w:eastAsia="仿宋_GB2312"/>
              </w:rPr>
            </w:pPr>
            <w:r>
              <w:rPr>
                <w:rFonts w:hint="eastAsia" w:ascii="仿宋_GB2312" w:eastAsia="仿宋_GB2312"/>
              </w:rPr>
              <w:t>合格率每降低1%扣分1%，不达60%不得分</w:t>
            </w:r>
          </w:p>
        </w:tc>
        <w:tc>
          <w:tcPr>
            <w:tcW w:w="3685" w:type="dxa"/>
            <w:tcBorders>
              <w:tl2br w:val="nil"/>
              <w:tr2bl w:val="nil"/>
            </w:tcBorders>
            <w:vAlign w:val="center"/>
          </w:tcPr>
          <w:p w14:paraId="26BC4BC7">
            <w:pPr>
              <w:widowControl/>
              <w:adjustRightInd w:val="0"/>
              <w:snapToGrid w:val="0"/>
              <w:spacing w:line="584" w:lineRule="exact"/>
              <w:rPr>
                <w:rFonts w:ascii="仿宋_GB2312" w:eastAsia="仿宋_GB2312"/>
              </w:rPr>
            </w:pPr>
            <w:r>
              <w:rPr>
                <w:rFonts w:hint="eastAsia" w:ascii="仿宋_GB2312" w:eastAsia="仿宋_GB2312"/>
              </w:rPr>
              <w:t>合格率＝廊坊档案公众号发刊的合格期刊数量/全年发刊数量</w:t>
            </w:r>
          </w:p>
        </w:tc>
        <w:tc>
          <w:tcPr>
            <w:tcW w:w="567" w:type="dxa"/>
            <w:tcBorders>
              <w:tl2br w:val="nil"/>
              <w:tr2bl w:val="nil"/>
            </w:tcBorders>
            <w:vAlign w:val="center"/>
          </w:tcPr>
          <w:p w14:paraId="7322C260">
            <w:pPr>
              <w:widowControl/>
              <w:adjustRightInd w:val="0"/>
              <w:snapToGrid w:val="0"/>
              <w:spacing w:line="584" w:lineRule="exact"/>
              <w:jc w:val="center"/>
              <w:rPr>
                <w:rFonts w:ascii="仿宋_GB2312" w:eastAsia="仿宋_GB2312"/>
              </w:rPr>
            </w:pPr>
            <w:r>
              <w:rPr>
                <w:rFonts w:hint="eastAsia" w:ascii="仿宋_GB2312" w:eastAsia="仿宋_GB2312"/>
              </w:rPr>
              <w:t>≥</w:t>
            </w:r>
          </w:p>
        </w:tc>
        <w:tc>
          <w:tcPr>
            <w:tcW w:w="709" w:type="dxa"/>
            <w:tcBorders>
              <w:tl2br w:val="nil"/>
              <w:tr2bl w:val="nil"/>
            </w:tcBorders>
            <w:vAlign w:val="center"/>
          </w:tcPr>
          <w:p w14:paraId="649E2203">
            <w:pPr>
              <w:widowControl/>
              <w:adjustRightInd w:val="0"/>
              <w:snapToGrid w:val="0"/>
              <w:spacing w:line="584" w:lineRule="exact"/>
              <w:jc w:val="center"/>
              <w:rPr>
                <w:rFonts w:ascii="仿宋_GB2312" w:eastAsia="仿宋_GB2312"/>
              </w:rPr>
            </w:pPr>
            <w:r>
              <w:rPr>
                <w:rFonts w:hint="eastAsia" w:ascii="仿宋_GB2312" w:eastAsia="仿宋_GB2312"/>
              </w:rPr>
              <w:t>99</w:t>
            </w:r>
          </w:p>
        </w:tc>
        <w:tc>
          <w:tcPr>
            <w:tcW w:w="567" w:type="dxa"/>
            <w:tcBorders>
              <w:tl2br w:val="nil"/>
              <w:tr2bl w:val="nil"/>
            </w:tcBorders>
            <w:vAlign w:val="center"/>
          </w:tcPr>
          <w:p w14:paraId="6F0BB2B1">
            <w:pPr>
              <w:widowControl/>
              <w:adjustRightInd w:val="0"/>
              <w:snapToGrid w:val="0"/>
              <w:spacing w:line="584" w:lineRule="exact"/>
              <w:jc w:val="center"/>
              <w:rPr>
                <w:rFonts w:ascii="仿宋_GB2312" w:eastAsia="仿宋_GB2312"/>
              </w:rPr>
            </w:pPr>
            <w:r>
              <w:rPr>
                <w:rFonts w:hint="eastAsia" w:ascii="仿宋_GB2312" w:eastAsia="仿宋_GB2312"/>
              </w:rPr>
              <w:t>%</w:t>
            </w:r>
          </w:p>
        </w:tc>
        <w:tc>
          <w:tcPr>
            <w:tcW w:w="1276" w:type="dxa"/>
            <w:tcBorders>
              <w:tl2br w:val="nil"/>
              <w:tr2bl w:val="nil"/>
            </w:tcBorders>
            <w:vAlign w:val="center"/>
          </w:tcPr>
          <w:p w14:paraId="4A56F8DA">
            <w:pPr>
              <w:widowControl/>
              <w:adjustRightInd w:val="0"/>
              <w:snapToGrid w:val="0"/>
              <w:spacing w:line="584" w:lineRule="exact"/>
              <w:rPr>
                <w:rFonts w:ascii="仿宋_GB2312" w:eastAsia="仿宋_GB2312"/>
              </w:rPr>
            </w:pPr>
            <w:r>
              <w:rPr>
                <w:rFonts w:hint="eastAsia" w:ascii="仿宋_GB2312" w:eastAsia="仿宋_GB2312"/>
              </w:rPr>
              <w:t>历史数据</w:t>
            </w:r>
          </w:p>
        </w:tc>
      </w:tr>
      <w:tr w14:paraId="501FC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58" w:hRule="atLeast"/>
        </w:trPr>
        <w:tc>
          <w:tcPr>
            <w:tcW w:w="558" w:type="dxa"/>
            <w:vMerge w:val="continue"/>
            <w:tcBorders>
              <w:tl2br w:val="nil"/>
              <w:tr2bl w:val="nil"/>
            </w:tcBorders>
            <w:vAlign w:val="center"/>
          </w:tcPr>
          <w:p w14:paraId="29451EE5">
            <w:pPr>
              <w:spacing w:line="584" w:lineRule="exact"/>
            </w:pPr>
          </w:p>
        </w:tc>
        <w:tc>
          <w:tcPr>
            <w:tcW w:w="729" w:type="dxa"/>
            <w:vMerge w:val="restart"/>
            <w:tcBorders>
              <w:tl2br w:val="nil"/>
              <w:tr2bl w:val="nil"/>
            </w:tcBorders>
            <w:vAlign w:val="center"/>
          </w:tcPr>
          <w:p w14:paraId="79CD3594">
            <w:pPr>
              <w:widowControl/>
              <w:adjustRightInd w:val="0"/>
              <w:snapToGrid w:val="0"/>
              <w:spacing w:line="584" w:lineRule="exact"/>
              <w:jc w:val="center"/>
              <w:rPr>
                <w:rFonts w:ascii="方正书宋_GBK" w:eastAsia="方正书宋_GBK"/>
              </w:rPr>
            </w:pPr>
            <w:r>
              <w:rPr>
                <w:rFonts w:ascii="方正书宋_GBK" w:eastAsia="方正书宋_GBK"/>
              </w:rPr>
              <w:t>时效</w:t>
            </w:r>
          </w:p>
        </w:tc>
        <w:tc>
          <w:tcPr>
            <w:tcW w:w="2835" w:type="dxa"/>
            <w:tcBorders>
              <w:tl2br w:val="nil"/>
              <w:tr2bl w:val="nil"/>
            </w:tcBorders>
            <w:vAlign w:val="center"/>
          </w:tcPr>
          <w:p w14:paraId="7F614E07">
            <w:pPr>
              <w:widowControl/>
              <w:adjustRightInd w:val="0"/>
              <w:snapToGrid w:val="0"/>
              <w:spacing w:line="584" w:lineRule="exact"/>
              <w:rPr>
                <w:rFonts w:ascii="仿宋_GB2312" w:eastAsia="仿宋_GB2312"/>
              </w:rPr>
            </w:pPr>
            <w:r>
              <w:rPr>
                <w:rFonts w:hint="eastAsia" w:ascii="仿宋_GB2312" w:eastAsia="仿宋_GB2312"/>
              </w:rPr>
              <w:t>完成档案馆改造的工程及时性</w:t>
            </w:r>
          </w:p>
        </w:tc>
        <w:tc>
          <w:tcPr>
            <w:tcW w:w="2977" w:type="dxa"/>
            <w:tcBorders>
              <w:tl2br w:val="nil"/>
              <w:tr2bl w:val="nil"/>
            </w:tcBorders>
            <w:vAlign w:val="center"/>
          </w:tcPr>
          <w:p w14:paraId="6D36696C">
            <w:pPr>
              <w:widowControl/>
              <w:adjustRightInd w:val="0"/>
              <w:snapToGrid w:val="0"/>
              <w:spacing w:line="584" w:lineRule="exact"/>
              <w:rPr>
                <w:rFonts w:ascii="仿宋_GB2312" w:eastAsia="仿宋_GB2312"/>
              </w:rPr>
            </w:pPr>
            <w:r>
              <w:rPr>
                <w:rFonts w:hint="eastAsia" w:ascii="仿宋_GB2312" w:eastAsia="仿宋_GB2312"/>
              </w:rPr>
              <w:t>及时率每降低1%扣分1%，不达60%不得分</w:t>
            </w:r>
          </w:p>
        </w:tc>
        <w:tc>
          <w:tcPr>
            <w:tcW w:w="3685" w:type="dxa"/>
            <w:tcBorders>
              <w:tl2br w:val="nil"/>
              <w:tr2bl w:val="nil"/>
            </w:tcBorders>
            <w:vAlign w:val="center"/>
          </w:tcPr>
          <w:p w14:paraId="38BC8603">
            <w:pPr>
              <w:widowControl/>
              <w:adjustRightInd w:val="0"/>
              <w:snapToGrid w:val="0"/>
              <w:spacing w:line="584" w:lineRule="exact"/>
              <w:rPr>
                <w:rFonts w:ascii="仿宋_GB2312" w:eastAsia="仿宋_GB2312"/>
              </w:rPr>
            </w:pPr>
            <w:r>
              <w:rPr>
                <w:rFonts w:hint="eastAsia" w:ascii="仿宋_GB2312" w:eastAsia="仿宋_GB2312"/>
              </w:rPr>
              <w:t>反映档案馆改造的及时率，及时率＝在约定时间内档案馆改造完成平米数/实际改造完成的数量</w:t>
            </w:r>
          </w:p>
        </w:tc>
        <w:tc>
          <w:tcPr>
            <w:tcW w:w="567" w:type="dxa"/>
            <w:tcBorders>
              <w:tl2br w:val="nil"/>
              <w:tr2bl w:val="nil"/>
            </w:tcBorders>
            <w:vAlign w:val="center"/>
          </w:tcPr>
          <w:p w14:paraId="236A9D12">
            <w:pPr>
              <w:widowControl/>
              <w:adjustRightInd w:val="0"/>
              <w:snapToGrid w:val="0"/>
              <w:spacing w:line="584" w:lineRule="exact"/>
              <w:jc w:val="center"/>
              <w:rPr>
                <w:rFonts w:ascii="仿宋_GB2312" w:eastAsia="仿宋_GB2312"/>
              </w:rPr>
            </w:pPr>
            <w:r>
              <w:rPr>
                <w:rFonts w:hint="eastAsia" w:ascii="仿宋_GB2312" w:eastAsia="仿宋_GB2312"/>
              </w:rPr>
              <w:t>≥</w:t>
            </w:r>
          </w:p>
        </w:tc>
        <w:tc>
          <w:tcPr>
            <w:tcW w:w="709" w:type="dxa"/>
            <w:tcBorders>
              <w:tl2br w:val="nil"/>
              <w:tr2bl w:val="nil"/>
            </w:tcBorders>
            <w:vAlign w:val="center"/>
          </w:tcPr>
          <w:p w14:paraId="68E63FCC">
            <w:pPr>
              <w:widowControl/>
              <w:adjustRightInd w:val="0"/>
              <w:snapToGrid w:val="0"/>
              <w:spacing w:line="584" w:lineRule="exact"/>
              <w:jc w:val="center"/>
              <w:rPr>
                <w:rFonts w:ascii="仿宋_GB2312" w:eastAsia="仿宋_GB2312"/>
              </w:rPr>
            </w:pPr>
            <w:r>
              <w:rPr>
                <w:rFonts w:hint="eastAsia" w:ascii="仿宋_GB2312" w:eastAsia="仿宋_GB2312"/>
              </w:rPr>
              <w:t>90</w:t>
            </w:r>
          </w:p>
        </w:tc>
        <w:tc>
          <w:tcPr>
            <w:tcW w:w="567" w:type="dxa"/>
            <w:tcBorders>
              <w:tl2br w:val="nil"/>
              <w:tr2bl w:val="nil"/>
            </w:tcBorders>
            <w:vAlign w:val="center"/>
          </w:tcPr>
          <w:p w14:paraId="463C29D2">
            <w:pPr>
              <w:widowControl/>
              <w:adjustRightInd w:val="0"/>
              <w:snapToGrid w:val="0"/>
              <w:spacing w:line="584" w:lineRule="exact"/>
              <w:jc w:val="center"/>
              <w:rPr>
                <w:rFonts w:ascii="仿宋_GB2312" w:eastAsia="仿宋_GB2312"/>
              </w:rPr>
            </w:pPr>
            <w:r>
              <w:rPr>
                <w:rFonts w:hint="eastAsia" w:ascii="仿宋_GB2312" w:eastAsia="仿宋_GB2312"/>
              </w:rPr>
              <w:t>%</w:t>
            </w:r>
          </w:p>
        </w:tc>
        <w:tc>
          <w:tcPr>
            <w:tcW w:w="1276" w:type="dxa"/>
            <w:tcBorders>
              <w:tl2br w:val="nil"/>
              <w:tr2bl w:val="nil"/>
            </w:tcBorders>
            <w:vAlign w:val="center"/>
          </w:tcPr>
          <w:p w14:paraId="0023D9B3">
            <w:pPr>
              <w:widowControl/>
              <w:adjustRightInd w:val="0"/>
              <w:snapToGrid w:val="0"/>
              <w:spacing w:line="584" w:lineRule="exact"/>
              <w:rPr>
                <w:rFonts w:ascii="仿宋_GB2312" w:eastAsia="仿宋_GB2312"/>
              </w:rPr>
            </w:pPr>
            <w:r>
              <w:rPr>
                <w:rFonts w:hint="eastAsia" w:ascii="仿宋_GB2312" w:eastAsia="仿宋_GB2312"/>
              </w:rPr>
              <w:t>项目验收单</w:t>
            </w:r>
          </w:p>
        </w:tc>
      </w:tr>
      <w:tr w14:paraId="478A6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58" w:hRule="atLeast"/>
        </w:trPr>
        <w:tc>
          <w:tcPr>
            <w:tcW w:w="558" w:type="dxa"/>
            <w:vMerge w:val="continue"/>
            <w:tcBorders>
              <w:tl2br w:val="nil"/>
              <w:tr2bl w:val="nil"/>
            </w:tcBorders>
            <w:vAlign w:val="center"/>
          </w:tcPr>
          <w:p w14:paraId="3B46C926">
            <w:pPr>
              <w:spacing w:line="584" w:lineRule="exact"/>
            </w:pPr>
          </w:p>
        </w:tc>
        <w:tc>
          <w:tcPr>
            <w:tcW w:w="729" w:type="dxa"/>
            <w:vMerge w:val="continue"/>
            <w:tcBorders>
              <w:tl2br w:val="nil"/>
              <w:tr2bl w:val="nil"/>
            </w:tcBorders>
            <w:vAlign w:val="center"/>
          </w:tcPr>
          <w:p w14:paraId="12988588">
            <w:pPr>
              <w:widowControl/>
              <w:adjustRightInd w:val="0"/>
              <w:snapToGrid w:val="0"/>
              <w:spacing w:line="584" w:lineRule="exact"/>
              <w:jc w:val="center"/>
              <w:rPr>
                <w:rFonts w:ascii="方正书宋_GBK" w:eastAsia="方正书宋_GBK"/>
              </w:rPr>
            </w:pPr>
          </w:p>
        </w:tc>
        <w:tc>
          <w:tcPr>
            <w:tcW w:w="2835" w:type="dxa"/>
            <w:tcBorders>
              <w:tl2br w:val="nil"/>
              <w:tr2bl w:val="nil"/>
            </w:tcBorders>
            <w:vAlign w:val="center"/>
          </w:tcPr>
          <w:p w14:paraId="34C6EE61">
            <w:pPr>
              <w:widowControl/>
              <w:adjustRightInd w:val="0"/>
              <w:snapToGrid w:val="0"/>
              <w:spacing w:line="584" w:lineRule="exact"/>
              <w:rPr>
                <w:rFonts w:ascii="仿宋_GB2312" w:eastAsia="仿宋_GB2312"/>
              </w:rPr>
            </w:pPr>
            <w:r>
              <w:rPr>
                <w:rFonts w:hint="eastAsia" w:ascii="仿宋_GB2312" w:eastAsia="仿宋_GB2312"/>
              </w:rPr>
              <w:t>廊坊档案公众号发刊及时率</w:t>
            </w:r>
          </w:p>
        </w:tc>
        <w:tc>
          <w:tcPr>
            <w:tcW w:w="2977" w:type="dxa"/>
            <w:tcBorders>
              <w:tl2br w:val="nil"/>
              <w:tr2bl w:val="nil"/>
            </w:tcBorders>
            <w:vAlign w:val="center"/>
          </w:tcPr>
          <w:p w14:paraId="16045625">
            <w:pPr>
              <w:widowControl/>
              <w:adjustRightInd w:val="0"/>
              <w:snapToGrid w:val="0"/>
              <w:spacing w:line="584" w:lineRule="exact"/>
              <w:rPr>
                <w:rFonts w:ascii="仿宋_GB2312" w:eastAsia="仿宋_GB2312"/>
              </w:rPr>
            </w:pPr>
            <w:r>
              <w:rPr>
                <w:rFonts w:hint="eastAsia" w:ascii="仿宋_GB2312" w:eastAsia="仿宋_GB2312"/>
              </w:rPr>
              <w:t>及时率每降低1%扣分1%，不达60%不得分</w:t>
            </w:r>
          </w:p>
        </w:tc>
        <w:tc>
          <w:tcPr>
            <w:tcW w:w="3685" w:type="dxa"/>
            <w:tcBorders>
              <w:tl2br w:val="nil"/>
              <w:tr2bl w:val="nil"/>
            </w:tcBorders>
            <w:vAlign w:val="center"/>
          </w:tcPr>
          <w:p w14:paraId="7880114B">
            <w:pPr>
              <w:widowControl/>
              <w:adjustRightInd w:val="0"/>
              <w:snapToGrid w:val="0"/>
              <w:spacing w:line="584" w:lineRule="exact"/>
              <w:rPr>
                <w:rFonts w:ascii="仿宋_GB2312" w:eastAsia="仿宋_GB2312"/>
              </w:rPr>
            </w:pPr>
            <w:r>
              <w:rPr>
                <w:rFonts w:hint="eastAsia" w:ascii="仿宋_GB2312" w:eastAsia="仿宋_GB2312"/>
              </w:rPr>
              <w:t>及时率＝在约定时间内实际完成的发刊数/在约定时间内要求完成的发刊数</w:t>
            </w:r>
          </w:p>
        </w:tc>
        <w:tc>
          <w:tcPr>
            <w:tcW w:w="567" w:type="dxa"/>
            <w:tcBorders>
              <w:tl2br w:val="nil"/>
              <w:tr2bl w:val="nil"/>
            </w:tcBorders>
            <w:vAlign w:val="center"/>
          </w:tcPr>
          <w:p w14:paraId="61D1E18F">
            <w:pPr>
              <w:widowControl/>
              <w:adjustRightInd w:val="0"/>
              <w:snapToGrid w:val="0"/>
              <w:spacing w:line="584" w:lineRule="exact"/>
              <w:jc w:val="center"/>
              <w:rPr>
                <w:rFonts w:ascii="仿宋_GB2312" w:eastAsia="仿宋_GB2312"/>
              </w:rPr>
            </w:pPr>
            <w:r>
              <w:rPr>
                <w:rFonts w:hint="eastAsia" w:ascii="仿宋_GB2312" w:eastAsia="仿宋_GB2312"/>
              </w:rPr>
              <w:t>＝</w:t>
            </w:r>
          </w:p>
        </w:tc>
        <w:tc>
          <w:tcPr>
            <w:tcW w:w="709" w:type="dxa"/>
            <w:tcBorders>
              <w:tl2br w:val="nil"/>
              <w:tr2bl w:val="nil"/>
            </w:tcBorders>
            <w:vAlign w:val="center"/>
          </w:tcPr>
          <w:p w14:paraId="71E69DC5">
            <w:pPr>
              <w:widowControl/>
              <w:adjustRightInd w:val="0"/>
              <w:snapToGrid w:val="0"/>
              <w:spacing w:line="584" w:lineRule="exact"/>
              <w:jc w:val="center"/>
              <w:rPr>
                <w:rFonts w:ascii="仿宋_GB2312" w:eastAsia="仿宋_GB2312"/>
              </w:rPr>
            </w:pPr>
            <w:r>
              <w:rPr>
                <w:rFonts w:hint="eastAsia" w:ascii="仿宋_GB2312" w:eastAsia="仿宋_GB2312"/>
              </w:rPr>
              <w:t>100</w:t>
            </w:r>
          </w:p>
        </w:tc>
        <w:tc>
          <w:tcPr>
            <w:tcW w:w="567" w:type="dxa"/>
            <w:tcBorders>
              <w:tl2br w:val="nil"/>
              <w:tr2bl w:val="nil"/>
            </w:tcBorders>
            <w:vAlign w:val="center"/>
          </w:tcPr>
          <w:p w14:paraId="1FC18252">
            <w:pPr>
              <w:widowControl/>
              <w:adjustRightInd w:val="0"/>
              <w:snapToGrid w:val="0"/>
              <w:spacing w:line="584" w:lineRule="exact"/>
              <w:jc w:val="center"/>
              <w:rPr>
                <w:rFonts w:ascii="仿宋_GB2312" w:eastAsia="仿宋_GB2312"/>
              </w:rPr>
            </w:pPr>
            <w:r>
              <w:rPr>
                <w:rFonts w:hint="eastAsia" w:ascii="仿宋_GB2312" w:eastAsia="仿宋_GB2312"/>
              </w:rPr>
              <w:t>%</w:t>
            </w:r>
          </w:p>
        </w:tc>
        <w:tc>
          <w:tcPr>
            <w:tcW w:w="1276" w:type="dxa"/>
            <w:tcBorders>
              <w:tl2br w:val="nil"/>
              <w:tr2bl w:val="nil"/>
            </w:tcBorders>
            <w:vAlign w:val="center"/>
          </w:tcPr>
          <w:p w14:paraId="085EF800">
            <w:pPr>
              <w:widowControl/>
              <w:adjustRightInd w:val="0"/>
              <w:snapToGrid w:val="0"/>
              <w:spacing w:line="584" w:lineRule="exact"/>
              <w:rPr>
                <w:rFonts w:ascii="仿宋_GB2312" w:eastAsia="仿宋_GB2312"/>
              </w:rPr>
            </w:pPr>
            <w:r>
              <w:rPr>
                <w:rFonts w:hint="eastAsia" w:ascii="仿宋_GB2312" w:eastAsia="仿宋_GB2312"/>
              </w:rPr>
              <w:t>历史数据</w:t>
            </w:r>
          </w:p>
        </w:tc>
      </w:tr>
      <w:tr w14:paraId="75208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trPr>
        <w:tc>
          <w:tcPr>
            <w:tcW w:w="558" w:type="dxa"/>
            <w:vMerge w:val="continue"/>
            <w:tcBorders>
              <w:tl2br w:val="nil"/>
              <w:tr2bl w:val="nil"/>
            </w:tcBorders>
            <w:vAlign w:val="center"/>
          </w:tcPr>
          <w:p w14:paraId="4B4F7844">
            <w:pPr>
              <w:spacing w:line="584" w:lineRule="exact"/>
            </w:pPr>
          </w:p>
        </w:tc>
        <w:tc>
          <w:tcPr>
            <w:tcW w:w="729" w:type="dxa"/>
            <w:vMerge w:val="restart"/>
            <w:tcBorders>
              <w:tl2br w:val="nil"/>
              <w:tr2bl w:val="nil"/>
            </w:tcBorders>
            <w:vAlign w:val="center"/>
          </w:tcPr>
          <w:p w14:paraId="49818E55">
            <w:pPr>
              <w:widowControl/>
              <w:adjustRightInd w:val="0"/>
              <w:snapToGrid w:val="0"/>
              <w:spacing w:line="584" w:lineRule="exact"/>
              <w:jc w:val="center"/>
              <w:rPr>
                <w:rFonts w:ascii="仿宋_GB2312" w:eastAsia="仿宋_GB2312"/>
              </w:rPr>
            </w:pPr>
            <w:r>
              <w:rPr>
                <w:rFonts w:hint="eastAsia" w:ascii="仿宋_GB2312" w:eastAsia="仿宋_GB2312"/>
              </w:rPr>
              <w:t>成本</w:t>
            </w:r>
          </w:p>
        </w:tc>
        <w:tc>
          <w:tcPr>
            <w:tcW w:w="2835" w:type="dxa"/>
            <w:tcBorders>
              <w:tl2br w:val="nil"/>
              <w:tr2bl w:val="nil"/>
            </w:tcBorders>
            <w:vAlign w:val="center"/>
          </w:tcPr>
          <w:p w14:paraId="291EC3CC">
            <w:pPr>
              <w:widowControl/>
              <w:adjustRightInd w:val="0"/>
              <w:snapToGrid w:val="0"/>
              <w:spacing w:line="584" w:lineRule="exact"/>
              <w:rPr>
                <w:rFonts w:ascii="仿宋_GB2312" w:eastAsia="仿宋_GB2312"/>
              </w:rPr>
            </w:pPr>
            <w:r>
              <w:rPr>
                <w:rFonts w:hint="eastAsia" w:ascii="仿宋_GB2312" w:eastAsia="仿宋_GB2312"/>
              </w:rPr>
              <w:t>造价咨询的尾款</w:t>
            </w:r>
          </w:p>
        </w:tc>
        <w:tc>
          <w:tcPr>
            <w:tcW w:w="2977" w:type="dxa"/>
            <w:tcBorders>
              <w:tl2br w:val="nil"/>
              <w:tr2bl w:val="nil"/>
            </w:tcBorders>
            <w:vAlign w:val="center"/>
          </w:tcPr>
          <w:p w14:paraId="2BB91F32">
            <w:pPr>
              <w:widowControl/>
              <w:adjustRightInd w:val="0"/>
              <w:snapToGrid w:val="0"/>
              <w:spacing w:line="584" w:lineRule="exact"/>
              <w:rPr>
                <w:rFonts w:ascii="仿宋_GB2312" w:eastAsia="仿宋_GB2312"/>
              </w:rPr>
            </w:pPr>
            <w:r>
              <w:rPr>
                <w:rFonts w:hint="eastAsia" w:ascii="仿宋_GB2312" w:eastAsia="仿宋_GB2312"/>
              </w:rPr>
              <w:t>超过指标成本10%（含）以内不扣分，每多超过10%，扣分10%</w:t>
            </w:r>
          </w:p>
        </w:tc>
        <w:tc>
          <w:tcPr>
            <w:tcW w:w="3685" w:type="dxa"/>
            <w:tcBorders>
              <w:tl2br w:val="nil"/>
              <w:tr2bl w:val="nil"/>
            </w:tcBorders>
            <w:vAlign w:val="center"/>
          </w:tcPr>
          <w:p w14:paraId="2C0DF483">
            <w:pPr>
              <w:widowControl/>
              <w:adjustRightInd w:val="0"/>
              <w:snapToGrid w:val="0"/>
              <w:spacing w:line="584" w:lineRule="exact"/>
              <w:rPr>
                <w:rFonts w:ascii="仿宋_GB2312" w:eastAsia="仿宋_GB2312"/>
              </w:rPr>
            </w:pPr>
            <w:r>
              <w:rPr>
                <w:rFonts w:hint="eastAsia" w:ascii="仿宋_GB2312" w:eastAsia="仿宋_GB2312"/>
              </w:rPr>
              <w:t>反映造价咨询的尾款成本</w:t>
            </w:r>
          </w:p>
        </w:tc>
        <w:tc>
          <w:tcPr>
            <w:tcW w:w="567" w:type="dxa"/>
            <w:tcBorders>
              <w:tl2br w:val="nil"/>
              <w:tr2bl w:val="nil"/>
            </w:tcBorders>
            <w:vAlign w:val="center"/>
          </w:tcPr>
          <w:p w14:paraId="2B94B0EF">
            <w:pPr>
              <w:widowControl/>
              <w:adjustRightInd w:val="0"/>
              <w:snapToGrid w:val="0"/>
              <w:spacing w:line="584" w:lineRule="exact"/>
              <w:jc w:val="center"/>
              <w:rPr>
                <w:rFonts w:ascii="仿宋_GB2312" w:eastAsia="仿宋_GB2312"/>
              </w:rPr>
            </w:pPr>
            <w:r>
              <w:rPr>
                <w:rFonts w:hint="eastAsia" w:ascii="仿宋_GB2312" w:eastAsia="仿宋_GB2312"/>
              </w:rPr>
              <w:t>＝</w:t>
            </w:r>
          </w:p>
        </w:tc>
        <w:tc>
          <w:tcPr>
            <w:tcW w:w="709" w:type="dxa"/>
            <w:tcBorders>
              <w:tl2br w:val="nil"/>
              <w:tr2bl w:val="nil"/>
            </w:tcBorders>
            <w:vAlign w:val="center"/>
          </w:tcPr>
          <w:p w14:paraId="46517233">
            <w:pPr>
              <w:widowControl/>
              <w:adjustRightInd w:val="0"/>
              <w:snapToGrid w:val="0"/>
              <w:spacing w:line="584" w:lineRule="exact"/>
              <w:jc w:val="center"/>
              <w:rPr>
                <w:rFonts w:ascii="仿宋_GB2312" w:eastAsia="仿宋_GB2312"/>
              </w:rPr>
            </w:pPr>
            <w:r>
              <w:rPr>
                <w:rFonts w:hint="eastAsia" w:ascii="仿宋_GB2312" w:eastAsia="仿宋_GB2312"/>
              </w:rPr>
              <w:t>8.08</w:t>
            </w:r>
          </w:p>
        </w:tc>
        <w:tc>
          <w:tcPr>
            <w:tcW w:w="567" w:type="dxa"/>
            <w:tcBorders>
              <w:tl2br w:val="nil"/>
              <w:tr2bl w:val="nil"/>
            </w:tcBorders>
            <w:vAlign w:val="center"/>
          </w:tcPr>
          <w:p w14:paraId="459D2239">
            <w:pPr>
              <w:widowControl/>
              <w:adjustRightInd w:val="0"/>
              <w:snapToGrid w:val="0"/>
              <w:spacing w:line="584" w:lineRule="exact"/>
              <w:jc w:val="center"/>
              <w:rPr>
                <w:rFonts w:ascii="仿宋_GB2312" w:eastAsia="仿宋_GB2312"/>
              </w:rPr>
            </w:pPr>
            <w:r>
              <w:rPr>
                <w:rFonts w:hint="eastAsia" w:ascii="仿宋_GB2312" w:eastAsia="仿宋_GB2312"/>
              </w:rPr>
              <w:t>万元</w:t>
            </w:r>
          </w:p>
        </w:tc>
        <w:tc>
          <w:tcPr>
            <w:tcW w:w="1276" w:type="dxa"/>
            <w:tcBorders>
              <w:tl2br w:val="nil"/>
              <w:tr2bl w:val="nil"/>
            </w:tcBorders>
            <w:vAlign w:val="center"/>
          </w:tcPr>
          <w:p w14:paraId="577DA579">
            <w:pPr>
              <w:widowControl/>
              <w:adjustRightInd w:val="0"/>
              <w:snapToGrid w:val="0"/>
              <w:spacing w:line="584" w:lineRule="exact"/>
              <w:rPr>
                <w:rFonts w:ascii="仿宋_GB2312" w:eastAsia="仿宋_GB2312"/>
              </w:rPr>
            </w:pPr>
            <w:r>
              <w:rPr>
                <w:rFonts w:hint="eastAsia" w:ascii="仿宋_GB2312" w:eastAsia="仿宋_GB2312"/>
              </w:rPr>
              <w:t>依合同确定</w:t>
            </w:r>
          </w:p>
        </w:tc>
      </w:tr>
      <w:tr w14:paraId="2EADF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trPr>
        <w:tc>
          <w:tcPr>
            <w:tcW w:w="558" w:type="dxa"/>
            <w:vMerge w:val="continue"/>
            <w:tcBorders>
              <w:tl2br w:val="nil"/>
              <w:tr2bl w:val="nil"/>
            </w:tcBorders>
            <w:vAlign w:val="center"/>
          </w:tcPr>
          <w:p w14:paraId="5FC5AFAB">
            <w:pPr>
              <w:spacing w:line="584" w:lineRule="exact"/>
            </w:pPr>
          </w:p>
        </w:tc>
        <w:tc>
          <w:tcPr>
            <w:tcW w:w="729" w:type="dxa"/>
            <w:vMerge w:val="continue"/>
            <w:tcBorders>
              <w:tl2br w:val="nil"/>
              <w:tr2bl w:val="nil"/>
            </w:tcBorders>
            <w:vAlign w:val="center"/>
          </w:tcPr>
          <w:p w14:paraId="730AA8F0">
            <w:pPr>
              <w:widowControl/>
              <w:adjustRightInd w:val="0"/>
              <w:snapToGrid w:val="0"/>
              <w:spacing w:line="584" w:lineRule="exact"/>
              <w:jc w:val="center"/>
              <w:rPr>
                <w:rFonts w:ascii="方正书宋_GBK" w:eastAsia="方正书宋_GBK"/>
              </w:rPr>
            </w:pPr>
          </w:p>
        </w:tc>
        <w:tc>
          <w:tcPr>
            <w:tcW w:w="2835" w:type="dxa"/>
            <w:tcBorders>
              <w:tl2br w:val="nil"/>
              <w:tr2bl w:val="nil"/>
            </w:tcBorders>
            <w:vAlign w:val="center"/>
          </w:tcPr>
          <w:p w14:paraId="04E383AC">
            <w:pPr>
              <w:widowControl/>
              <w:adjustRightInd w:val="0"/>
              <w:snapToGrid w:val="0"/>
              <w:spacing w:line="584" w:lineRule="exact"/>
              <w:rPr>
                <w:rFonts w:ascii="仿宋_GB2312" w:eastAsia="仿宋_GB2312"/>
              </w:rPr>
            </w:pPr>
            <w:r>
              <w:rPr>
                <w:rFonts w:hint="eastAsia" w:ascii="仿宋_GB2312" w:eastAsia="仿宋_GB2312"/>
              </w:rPr>
              <w:t>新馆改造工程设计费尾款</w:t>
            </w:r>
          </w:p>
        </w:tc>
        <w:tc>
          <w:tcPr>
            <w:tcW w:w="2977" w:type="dxa"/>
            <w:tcBorders>
              <w:tl2br w:val="nil"/>
              <w:tr2bl w:val="nil"/>
            </w:tcBorders>
            <w:vAlign w:val="center"/>
          </w:tcPr>
          <w:p w14:paraId="16EA0E8E">
            <w:pPr>
              <w:widowControl/>
              <w:adjustRightInd w:val="0"/>
              <w:snapToGrid w:val="0"/>
              <w:spacing w:line="584" w:lineRule="exact"/>
              <w:rPr>
                <w:rFonts w:ascii="仿宋_GB2312" w:eastAsia="仿宋_GB2312"/>
              </w:rPr>
            </w:pPr>
            <w:r>
              <w:rPr>
                <w:rFonts w:hint="eastAsia" w:ascii="仿宋_GB2312" w:eastAsia="仿宋_GB2312"/>
              </w:rPr>
              <w:t>超过指标成本10%（含）以内不扣分，每多超过10%，扣分10%</w:t>
            </w:r>
          </w:p>
        </w:tc>
        <w:tc>
          <w:tcPr>
            <w:tcW w:w="3685" w:type="dxa"/>
            <w:tcBorders>
              <w:tl2br w:val="nil"/>
              <w:tr2bl w:val="nil"/>
            </w:tcBorders>
            <w:vAlign w:val="center"/>
          </w:tcPr>
          <w:p w14:paraId="29BF6008">
            <w:pPr>
              <w:widowControl/>
              <w:adjustRightInd w:val="0"/>
              <w:snapToGrid w:val="0"/>
              <w:spacing w:line="584" w:lineRule="exact"/>
              <w:rPr>
                <w:rFonts w:ascii="仿宋_GB2312" w:eastAsia="仿宋_GB2312"/>
              </w:rPr>
            </w:pPr>
            <w:r>
              <w:rPr>
                <w:rFonts w:hint="eastAsia" w:ascii="仿宋_GB2312" w:eastAsia="仿宋_GB2312"/>
              </w:rPr>
              <w:t>反映档案馆改造工程设计的尾款成本</w:t>
            </w:r>
          </w:p>
        </w:tc>
        <w:tc>
          <w:tcPr>
            <w:tcW w:w="567" w:type="dxa"/>
            <w:tcBorders>
              <w:tl2br w:val="nil"/>
              <w:tr2bl w:val="nil"/>
            </w:tcBorders>
            <w:vAlign w:val="center"/>
          </w:tcPr>
          <w:p w14:paraId="1E9BB8F6">
            <w:pPr>
              <w:widowControl/>
              <w:adjustRightInd w:val="0"/>
              <w:snapToGrid w:val="0"/>
              <w:spacing w:line="584" w:lineRule="exact"/>
              <w:jc w:val="center"/>
              <w:rPr>
                <w:rFonts w:ascii="仿宋_GB2312" w:eastAsia="仿宋_GB2312"/>
              </w:rPr>
            </w:pPr>
            <w:r>
              <w:rPr>
                <w:rFonts w:hint="eastAsia" w:ascii="仿宋_GB2312" w:eastAsia="仿宋_GB2312" w:hAnsiTheme="minorEastAsia"/>
              </w:rPr>
              <w:t>＜</w:t>
            </w:r>
          </w:p>
        </w:tc>
        <w:tc>
          <w:tcPr>
            <w:tcW w:w="709" w:type="dxa"/>
            <w:tcBorders>
              <w:tl2br w:val="nil"/>
              <w:tr2bl w:val="nil"/>
            </w:tcBorders>
            <w:vAlign w:val="center"/>
          </w:tcPr>
          <w:p w14:paraId="6AA2B405">
            <w:pPr>
              <w:widowControl/>
              <w:adjustRightInd w:val="0"/>
              <w:snapToGrid w:val="0"/>
              <w:spacing w:line="584" w:lineRule="exact"/>
              <w:jc w:val="center"/>
              <w:rPr>
                <w:rFonts w:ascii="仿宋_GB2312" w:eastAsia="仿宋_GB2312"/>
              </w:rPr>
            </w:pPr>
            <w:r>
              <w:rPr>
                <w:rFonts w:hint="eastAsia" w:ascii="仿宋_GB2312" w:eastAsia="仿宋_GB2312"/>
              </w:rPr>
              <w:t>3.71</w:t>
            </w:r>
          </w:p>
        </w:tc>
        <w:tc>
          <w:tcPr>
            <w:tcW w:w="567" w:type="dxa"/>
            <w:tcBorders>
              <w:tl2br w:val="nil"/>
              <w:tr2bl w:val="nil"/>
            </w:tcBorders>
            <w:vAlign w:val="center"/>
          </w:tcPr>
          <w:p w14:paraId="2C107A1B">
            <w:pPr>
              <w:widowControl/>
              <w:adjustRightInd w:val="0"/>
              <w:snapToGrid w:val="0"/>
              <w:spacing w:line="584" w:lineRule="exact"/>
              <w:jc w:val="center"/>
              <w:rPr>
                <w:rFonts w:ascii="仿宋_GB2312" w:eastAsia="仿宋_GB2312"/>
              </w:rPr>
            </w:pPr>
            <w:r>
              <w:rPr>
                <w:rFonts w:hint="eastAsia" w:ascii="仿宋_GB2312" w:eastAsia="仿宋_GB2312"/>
              </w:rPr>
              <w:t>万元</w:t>
            </w:r>
          </w:p>
        </w:tc>
        <w:tc>
          <w:tcPr>
            <w:tcW w:w="1276" w:type="dxa"/>
            <w:tcBorders>
              <w:tl2br w:val="nil"/>
              <w:tr2bl w:val="nil"/>
            </w:tcBorders>
            <w:vAlign w:val="center"/>
          </w:tcPr>
          <w:p w14:paraId="334D2F8B">
            <w:pPr>
              <w:widowControl/>
              <w:adjustRightInd w:val="0"/>
              <w:snapToGrid w:val="0"/>
              <w:spacing w:line="584" w:lineRule="exact"/>
              <w:rPr>
                <w:rFonts w:ascii="仿宋_GB2312" w:eastAsia="仿宋_GB2312"/>
              </w:rPr>
            </w:pPr>
            <w:r>
              <w:rPr>
                <w:rFonts w:hint="eastAsia" w:ascii="仿宋_GB2312" w:eastAsia="仿宋_GB2312"/>
              </w:rPr>
              <w:t>依合同确定</w:t>
            </w:r>
          </w:p>
        </w:tc>
      </w:tr>
      <w:tr w14:paraId="4E281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trPr>
        <w:tc>
          <w:tcPr>
            <w:tcW w:w="558" w:type="dxa"/>
            <w:vMerge w:val="restart"/>
            <w:tcBorders>
              <w:tl2br w:val="nil"/>
              <w:tr2bl w:val="nil"/>
            </w:tcBorders>
            <w:vAlign w:val="center"/>
          </w:tcPr>
          <w:p w14:paraId="015F1446">
            <w:pPr>
              <w:adjustRightInd w:val="0"/>
              <w:snapToGrid w:val="0"/>
              <w:spacing w:line="584" w:lineRule="exact"/>
              <w:jc w:val="center"/>
              <w:rPr>
                <w:rFonts w:ascii="方正书宋_GBK" w:eastAsia="方正书宋_GBK"/>
              </w:rPr>
            </w:pPr>
            <w:r>
              <w:rPr>
                <w:rFonts w:ascii="方正书宋_GBK" w:eastAsia="方正书宋_GBK"/>
              </w:rPr>
              <w:t>部门</w:t>
            </w:r>
            <w:r>
              <w:rPr>
                <w:rFonts w:hint="eastAsia" w:ascii="方正书宋_GBK" w:eastAsia="方正书宋_GBK"/>
              </w:rPr>
              <w:t>效果</w:t>
            </w:r>
          </w:p>
        </w:tc>
        <w:tc>
          <w:tcPr>
            <w:tcW w:w="729" w:type="dxa"/>
            <w:vMerge w:val="restart"/>
            <w:tcBorders>
              <w:tl2br w:val="nil"/>
              <w:tr2bl w:val="nil"/>
            </w:tcBorders>
            <w:vAlign w:val="center"/>
          </w:tcPr>
          <w:p w14:paraId="4DF5242E">
            <w:pPr>
              <w:widowControl/>
              <w:adjustRightInd w:val="0"/>
              <w:snapToGrid w:val="0"/>
              <w:spacing w:line="584" w:lineRule="exact"/>
              <w:jc w:val="center"/>
              <w:rPr>
                <w:rFonts w:ascii="方正书宋_GBK" w:eastAsia="方正书宋_GBK"/>
              </w:rPr>
            </w:pPr>
            <w:r>
              <w:rPr>
                <w:rFonts w:ascii="方正书宋_GBK" w:eastAsia="方正书宋_GBK"/>
              </w:rPr>
              <w:t>社会</w:t>
            </w:r>
          </w:p>
          <w:p w14:paraId="3203A5AB">
            <w:pPr>
              <w:widowControl/>
              <w:adjustRightInd w:val="0"/>
              <w:snapToGrid w:val="0"/>
              <w:spacing w:line="584" w:lineRule="exact"/>
              <w:jc w:val="center"/>
              <w:rPr>
                <w:rFonts w:ascii="方正书宋_GBK" w:eastAsia="方正书宋_GBK"/>
              </w:rPr>
            </w:pPr>
            <w:r>
              <w:rPr>
                <w:rFonts w:ascii="方正书宋_GBK" w:eastAsia="方正书宋_GBK"/>
              </w:rPr>
              <w:t>效益</w:t>
            </w:r>
          </w:p>
          <w:p w14:paraId="020788CC">
            <w:pPr>
              <w:adjustRightInd w:val="0"/>
              <w:snapToGrid w:val="0"/>
              <w:spacing w:line="584" w:lineRule="exact"/>
              <w:jc w:val="center"/>
              <w:rPr>
                <w:rFonts w:ascii="方正书宋_GBK" w:eastAsia="方正书宋_GBK"/>
              </w:rPr>
            </w:pPr>
          </w:p>
        </w:tc>
        <w:tc>
          <w:tcPr>
            <w:tcW w:w="2835" w:type="dxa"/>
            <w:tcBorders>
              <w:tl2br w:val="nil"/>
              <w:tr2bl w:val="nil"/>
            </w:tcBorders>
            <w:vAlign w:val="center"/>
          </w:tcPr>
          <w:p w14:paraId="335F526D">
            <w:pPr>
              <w:widowControl/>
              <w:adjustRightInd w:val="0"/>
              <w:snapToGrid w:val="0"/>
              <w:spacing w:line="584" w:lineRule="exact"/>
              <w:rPr>
                <w:rFonts w:ascii="仿宋_GB2312" w:eastAsia="仿宋_GB2312"/>
              </w:rPr>
            </w:pPr>
            <w:r>
              <w:rPr>
                <w:rFonts w:hint="eastAsia" w:ascii="仿宋_GB2312" w:eastAsia="仿宋_GB2312"/>
              </w:rPr>
              <w:t>提供查阅档案卷数</w:t>
            </w:r>
          </w:p>
        </w:tc>
        <w:tc>
          <w:tcPr>
            <w:tcW w:w="2977" w:type="dxa"/>
            <w:tcBorders>
              <w:tl2br w:val="nil"/>
              <w:tr2bl w:val="nil"/>
            </w:tcBorders>
            <w:vAlign w:val="center"/>
          </w:tcPr>
          <w:p w14:paraId="06C0C785">
            <w:pPr>
              <w:widowControl/>
              <w:adjustRightInd w:val="0"/>
              <w:snapToGrid w:val="0"/>
              <w:spacing w:line="584" w:lineRule="exact"/>
              <w:rPr>
                <w:rFonts w:ascii="仿宋_GB2312" w:eastAsia="仿宋_GB2312"/>
              </w:rPr>
            </w:pPr>
            <w:r>
              <w:rPr>
                <w:rFonts w:hint="eastAsia" w:ascii="仿宋_GB2312" w:eastAsia="仿宋_GB2312"/>
              </w:rPr>
              <w:t>提供查阅数每减少100卷，扣分10%</w:t>
            </w:r>
          </w:p>
        </w:tc>
        <w:tc>
          <w:tcPr>
            <w:tcW w:w="3685" w:type="dxa"/>
            <w:tcBorders>
              <w:tl2br w:val="nil"/>
              <w:tr2bl w:val="nil"/>
            </w:tcBorders>
            <w:vAlign w:val="center"/>
          </w:tcPr>
          <w:p w14:paraId="72052E79">
            <w:pPr>
              <w:widowControl/>
              <w:adjustRightInd w:val="0"/>
              <w:snapToGrid w:val="0"/>
              <w:spacing w:line="584" w:lineRule="exact"/>
              <w:rPr>
                <w:rFonts w:ascii="仿宋_GB2312" w:eastAsia="仿宋_GB2312"/>
              </w:rPr>
            </w:pPr>
            <w:r>
              <w:rPr>
                <w:rFonts w:hint="eastAsia" w:ascii="仿宋_GB2312" w:eastAsia="仿宋_GB2312"/>
              </w:rPr>
              <w:t>反映档案馆全年提供查阅档案卷数</w:t>
            </w:r>
          </w:p>
        </w:tc>
        <w:tc>
          <w:tcPr>
            <w:tcW w:w="567" w:type="dxa"/>
            <w:tcBorders>
              <w:tl2br w:val="nil"/>
              <w:tr2bl w:val="nil"/>
            </w:tcBorders>
            <w:vAlign w:val="center"/>
          </w:tcPr>
          <w:p w14:paraId="018DD120">
            <w:pPr>
              <w:widowControl/>
              <w:adjustRightInd w:val="0"/>
              <w:snapToGrid w:val="0"/>
              <w:spacing w:line="584" w:lineRule="exact"/>
              <w:jc w:val="center"/>
              <w:rPr>
                <w:rFonts w:ascii="仿宋_GB2312" w:eastAsia="仿宋_GB2312"/>
              </w:rPr>
            </w:pPr>
            <w:r>
              <w:rPr>
                <w:rFonts w:hint="eastAsia" w:ascii="仿宋_GB2312" w:eastAsia="仿宋_GB2312"/>
              </w:rPr>
              <w:t>≥</w:t>
            </w:r>
          </w:p>
        </w:tc>
        <w:tc>
          <w:tcPr>
            <w:tcW w:w="709" w:type="dxa"/>
            <w:tcBorders>
              <w:tl2br w:val="nil"/>
              <w:tr2bl w:val="nil"/>
            </w:tcBorders>
            <w:vAlign w:val="center"/>
          </w:tcPr>
          <w:p w14:paraId="48F06C76">
            <w:pPr>
              <w:widowControl/>
              <w:adjustRightInd w:val="0"/>
              <w:snapToGrid w:val="0"/>
              <w:spacing w:line="584" w:lineRule="exact"/>
              <w:jc w:val="center"/>
              <w:rPr>
                <w:rFonts w:ascii="仿宋_GB2312" w:eastAsia="仿宋_GB2312"/>
              </w:rPr>
            </w:pPr>
            <w:r>
              <w:rPr>
                <w:rFonts w:hint="eastAsia" w:ascii="仿宋_GB2312" w:eastAsia="仿宋_GB2312"/>
              </w:rPr>
              <w:t>1000</w:t>
            </w:r>
          </w:p>
        </w:tc>
        <w:tc>
          <w:tcPr>
            <w:tcW w:w="567" w:type="dxa"/>
            <w:tcBorders>
              <w:tl2br w:val="nil"/>
              <w:tr2bl w:val="nil"/>
            </w:tcBorders>
            <w:vAlign w:val="center"/>
          </w:tcPr>
          <w:p w14:paraId="48C8202E">
            <w:pPr>
              <w:widowControl/>
              <w:adjustRightInd w:val="0"/>
              <w:snapToGrid w:val="0"/>
              <w:spacing w:line="584" w:lineRule="exact"/>
              <w:jc w:val="center"/>
              <w:rPr>
                <w:rFonts w:ascii="仿宋_GB2312" w:eastAsia="仿宋_GB2312"/>
              </w:rPr>
            </w:pPr>
            <w:r>
              <w:rPr>
                <w:rFonts w:hint="eastAsia" w:ascii="仿宋_GB2312" w:eastAsia="仿宋_GB2312"/>
              </w:rPr>
              <w:t>卷</w:t>
            </w:r>
          </w:p>
        </w:tc>
        <w:tc>
          <w:tcPr>
            <w:tcW w:w="1276" w:type="dxa"/>
            <w:tcBorders>
              <w:tl2br w:val="nil"/>
              <w:tr2bl w:val="nil"/>
            </w:tcBorders>
            <w:vAlign w:val="center"/>
          </w:tcPr>
          <w:p w14:paraId="78DC853E">
            <w:pPr>
              <w:widowControl/>
              <w:adjustRightInd w:val="0"/>
              <w:snapToGrid w:val="0"/>
              <w:spacing w:line="584" w:lineRule="exact"/>
              <w:rPr>
                <w:rFonts w:ascii="仿宋_GB2312" w:eastAsia="仿宋_GB2312"/>
              </w:rPr>
            </w:pPr>
            <w:r>
              <w:rPr>
                <w:rFonts w:hint="eastAsia" w:ascii="仿宋_GB2312" w:eastAsia="仿宋_GB2312"/>
              </w:rPr>
              <w:t>历史数据</w:t>
            </w:r>
          </w:p>
        </w:tc>
      </w:tr>
      <w:tr w14:paraId="2F3DD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trPr>
        <w:tc>
          <w:tcPr>
            <w:tcW w:w="558" w:type="dxa"/>
            <w:vMerge w:val="continue"/>
            <w:tcBorders>
              <w:tl2br w:val="nil"/>
              <w:tr2bl w:val="nil"/>
            </w:tcBorders>
            <w:vAlign w:val="center"/>
          </w:tcPr>
          <w:p w14:paraId="686F1159">
            <w:pPr>
              <w:spacing w:line="584" w:lineRule="exact"/>
            </w:pPr>
          </w:p>
        </w:tc>
        <w:tc>
          <w:tcPr>
            <w:tcW w:w="729" w:type="dxa"/>
            <w:vMerge w:val="continue"/>
            <w:tcBorders>
              <w:tl2br w:val="nil"/>
              <w:tr2bl w:val="nil"/>
            </w:tcBorders>
            <w:vAlign w:val="center"/>
          </w:tcPr>
          <w:p w14:paraId="06EBB3DF">
            <w:pPr>
              <w:widowControl/>
              <w:adjustRightInd w:val="0"/>
              <w:snapToGrid w:val="0"/>
              <w:spacing w:line="584" w:lineRule="exact"/>
              <w:jc w:val="center"/>
              <w:rPr>
                <w:rFonts w:ascii="方正书宋_GBK" w:eastAsia="方正书宋_GBK"/>
              </w:rPr>
            </w:pPr>
          </w:p>
        </w:tc>
        <w:tc>
          <w:tcPr>
            <w:tcW w:w="2835" w:type="dxa"/>
            <w:tcBorders>
              <w:tl2br w:val="nil"/>
              <w:tr2bl w:val="nil"/>
            </w:tcBorders>
            <w:vAlign w:val="center"/>
          </w:tcPr>
          <w:p w14:paraId="2FF99AD5">
            <w:pPr>
              <w:widowControl/>
              <w:adjustRightInd w:val="0"/>
              <w:snapToGrid w:val="0"/>
              <w:spacing w:line="584" w:lineRule="exact"/>
              <w:rPr>
                <w:rFonts w:ascii="仿宋_GB2312" w:eastAsia="仿宋_GB2312"/>
              </w:rPr>
            </w:pPr>
            <w:r>
              <w:rPr>
                <w:rFonts w:hint="eastAsia" w:ascii="仿宋_GB2312" w:eastAsia="仿宋_GB2312"/>
              </w:rPr>
              <w:t>接待查阅档案人次</w:t>
            </w:r>
          </w:p>
        </w:tc>
        <w:tc>
          <w:tcPr>
            <w:tcW w:w="2977" w:type="dxa"/>
            <w:tcBorders>
              <w:tl2br w:val="nil"/>
              <w:tr2bl w:val="nil"/>
            </w:tcBorders>
            <w:vAlign w:val="center"/>
          </w:tcPr>
          <w:p w14:paraId="7CDF7A29">
            <w:pPr>
              <w:widowControl/>
              <w:adjustRightInd w:val="0"/>
              <w:snapToGrid w:val="0"/>
              <w:spacing w:line="584" w:lineRule="exact"/>
              <w:rPr>
                <w:rFonts w:ascii="仿宋_GB2312" w:eastAsia="仿宋_GB2312"/>
              </w:rPr>
            </w:pPr>
            <w:r>
              <w:rPr>
                <w:rFonts w:hint="eastAsia" w:ascii="仿宋_GB2312" w:eastAsia="仿宋_GB2312"/>
              </w:rPr>
              <w:t>接待查阅人次每减少20人，扣分10%</w:t>
            </w:r>
          </w:p>
        </w:tc>
        <w:tc>
          <w:tcPr>
            <w:tcW w:w="3685" w:type="dxa"/>
            <w:tcBorders>
              <w:tl2br w:val="nil"/>
              <w:tr2bl w:val="nil"/>
            </w:tcBorders>
            <w:vAlign w:val="center"/>
          </w:tcPr>
          <w:p w14:paraId="0152D631">
            <w:pPr>
              <w:widowControl/>
              <w:adjustRightInd w:val="0"/>
              <w:snapToGrid w:val="0"/>
              <w:spacing w:line="584" w:lineRule="exact"/>
              <w:rPr>
                <w:rFonts w:ascii="仿宋_GB2312" w:eastAsia="仿宋_GB2312"/>
              </w:rPr>
            </w:pPr>
            <w:r>
              <w:rPr>
                <w:rFonts w:hint="eastAsia" w:ascii="仿宋_GB2312" w:eastAsia="仿宋_GB2312"/>
              </w:rPr>
              <w:t>反映档案馆全年接待查阅档案人次</w:t>
            </w:r>
          </w:p>
        </w:tc>
        <w:tc>
          <w:tcPr>
            <w:tcW w:w="567" w:type="dxa"/>
            <w:tcBorders>
              <w:tl2br w:val="nil"/>
              <w:tr2bl w:val="nil"/>
            </w:tcBorders>
            <w:vAlign w:val="center"/>
          </w:tcPr>
          <w:p w14:paraId="5EFF7A35">
            <w:pPr>
              <w:widowControl/>
              <w:adjustRightInd w:val="0"/>
              <w:snapToGrid w:val="0"/>
              <w:spacing w:line="584" w:lineRule="exact"/>
              <w:rPr>
                <w:rFonts w:ascii="仿宋_GB2312" w:eastAsia="仿宋_GB2312"/>
              </w:rPr>
            </w:pPr>
            <w:r>
              <w:rPr>
                <w:rFonts w:hint="eastAsia" w:ascii="仿宋_GB2312" w:eastAsia="仿宋_GB2312"/>
              </w:rPr>
              <w:t>≥</w:t>
            </w:r>
          </w:p>
        </w:tc>
        <w:tc>
          <w:tcPr>
            <w:tcW w:w="709" w:type="dxa"/>
            <w:tcBorders>
              <w:tl2br w:val="nil"/>
              <w:tr2bl w:val="nil"/>
            </w:tcBorders>
            <w:vAlign w:val="center"/>
          </w:tcPr>
          <w:p w14:paraId="7AA3F1A4">
            <w:pPr>
              <w:widowControl/>
              <w:adjustRightInd w:val="0"/>
              <w:snapToGrid w:val="0"/>
              <w:spacing w:line="584" w:lineRule="exact"/>
              <w:rPr>
                <w:rFonts w:ascii="仿宋_GB2312" w:eastAsia="仿宋_GB2312"/>
              </w:rPr>
            </w:pPr>
            <w:r>
              <w:rPr>
                <w:rFonts w:hint="eastAsia" w:ascii="仿宋_GB2312" w:eastAsia="仿宋_GB2312"/>
              </w:rPr>
              <w:t>200</w:t>
            </w:r>
          </w:p>
        </w:tc>
        <w:tc>
          <w:tcPr>
            <w:tcW w:w="567" w:type="dxa"/>
            <w:tcBorders>
              <w:tl2br w:val="nil"/>
              <w:tr2bl w:val="nil"/>
            </w:tcBorders>
            <w:vAlign w:val="center"/>
          </w:tcPr>
          <w:p w14:paraId="32E440F2">
            <w:pPr>
              <w:widowControl/>
              <w:adjustRightInd w:val="0"/>
              <w:snapToGrid w:val="0"/>
              <w:spacing w:line="584" w:lineRule="exact"/>
              <w:rPr>
                <w:rFonts w:ascii="仿宋_GB2312" w:eastAsia="仿宋_GB2312"/>
              </w:rPr>
            </w:pPr>
            <w:r>
              <w:rPr>
                <w:rFonts w:hint="eastAsia" w:ascii="仿宋_GB2312" w:eastAsia="仿宋_GB2312"/>
              </w:rPr>
              <w:t>人</w:t>
            </w:r>
          </w:p>
        </w:tc>
        <w:tc>
          <w:tcPr>
            <w:tcW w:w="1276" w:type="dxa"/>
            <w:tcBorders>
              <w:tl2br w:val="nil"/>
              <w:tr2bl w:val="nil"/>
            </w:tcBorders>
            <w:vAlign w:val="center"/>
          </w:tcPr>
          <w:p w14:paraId="57885992">
            <w:pPr>
              <w:widowControl/>
              <w:adjustRightInd w:val="0"/>
              <w:snapToGrid w:val="0"/>
              <w:spacing w:line="584" w:lineRule="exact"/>
              <w:rPr>
                <w:rFonts w:ascii="仿宋_GB2312" w:eastAsia="仿宋_GB2312"/>
              </w:rPr>
            </w:pPr>
            <w:r>
              <w:rPr>
                <w:rFonts w:hint="eastAsia" w:ascii="仿宋_GB2312" w:eastAsia="仿宋_GB2312"/>
              </w:rPr>
              <w:t>历史数据</w:t>
            </w:r>
          </w:p>
        </w:tc>
      </w:tr>
      <w:tr w14:paraId="61DC4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04" w:hRule="atLeast"/>
        </w:trPr>
        <w:tc>
          <w:tcPr>
            <w:tcW w:w="558" w:type="dxa"/>
            <w:vMerge w:val="continue"/>
            <w:tcBorders>
              <w:tl2br w:val="nil"/>
              <w:tr2bl w:val="nil"/>
            </w:tcBorders>
            <w:vAlign w:val="center"/>
          </w:tcPr>
          <w:p w14:paraId="5441EBBF">
            <w:pPr>
              <w:spacing w:line="584" w:lineRule="exact"/>
            </w:pPr>
          </w:p>
        </w:tc>
        <w:tc>
          <w:tcPr>
            <w:tcW w:w="729" w:type="dxa"/>
            <w:tcBorders>
              <w:tl2br w:val="nil"/>
              <w:tr2bl w:val="nil"/>
            </w:tcBorders>
            <w:vAlign w:val="center"/>
          </w:tcPr>
          <w:p w14:paraId="123E42D5">
            <w:pPr>
              <w:widowControl/>
              <w:adjustRightInd w:val="0"/>
              <w:snapToGrid w:val="0"/>
              <w:spacing w:line="584" w:lineRule="exact"/>
              <w:jc w:val="center"/>
              <w:rPr>
                <w:rFonts w:ascii="方正书宋_GBK" w:eastAsia="方正书宋_GBK"/>
              </w:rPr>
            </w:pPr>
            <w:r>
              <w:rPr>
                <w:rFonts w:hint="eastAsia" w:ascii="方正书宋_GBK" w:eastAsia="方正书宋_GBK"/>
              </w:rPr>
              <w:t>满意度</w:t>
            </w:r>
          </w:p>
        </w:tc>
        <w:tc>
          <w:tcPr>
            <w:tcW w:w="2835" w:type="dxa"/>
            <w:tcBorders>
              <w:tl2br w:val="nil"/>
              <w:tr2bl w:val="nil"/>
            </w:tcBorders>
            <w:noWrap/>
            <w:vAlign w:val="center"/>
          </w:tcPr>
          <w:p w14:paraId="4F22C94A">
            <w:pPr>
              <w:widowControl/>
              <w:adjustRightInd w:val="0"/>
              <w:snapToGrid w:val="0"/>
              <w:spacing w:line="584" w:lineRule="exact"/>
              <w:rPr>
                <w:rFonts w:ascii="仿宋_GB2312" w:eastAsia="仿宋_GB2312"/>
              </w:rPr>
            </w:pPr>
            <w:r>
              <w:rPr>
                <w:rFonts w:hint="eastAsia" w:ascii="仿宋_GB2312" w:eastAsia="仿宋_GB2312"/>
              </w:rPr>
              <w:t>服务对象满意度</w:t>
            </w:r>
          </w:p>
        </w:tc>
        <w:tc>
          <w:tcPr>
            <w:tcW w:w="2977" w:type="dxa"/>
            <w:tcBorders>
              <w:tl2br w:val="nil"/>
              <w:tr2bl w:val="nil"/>
            </w:tcBorders>
            <w:noWrap/>
            <w:vAlign w:val="center"/>
          </w:tcPr>
          <w:p w14:paraId="1E97CDC3">
            <w:pPr>
              <w:widowControl/>
              <w:adjustRightInd w:val="0"/>
              <w:snapToGrid w:val="0"/>
              <w:spacing w:line="584" w:lineRule="exact"/>
              <w:rPr>
                <w:rFonts w:ascii="仿宋_GB2312" w:eastAsia="仿宋_GB2312"/>
              </w:rPr>
            </w:pPr>
            <w:r>
              <w:rPr>
                <w:rFonts w:hint="eastAsia" w:ascii="仿宋_GB2312" w:eastAsia="仿宋_GB2312"/>
              </w:rPr>
              <w:t>满意度每降低10%扣分10%，不达60%不得分</w:t>
            </w:r>
          </w:p>
        </w:tc>
        <w:tc>
          <w:tcPr>
            <w:tcW w:w="3685" w:type="dxa"/>
            <w:tcBorders>
              <w:tl2br w:val="nil"/>
              <w:tr2bl w:val="nil"/>
            </w:tcBorders>
            <w:noWrap/>
            <w:vAlign w:val="center"/>
          </w:tcPr>
          <w:p w14:paraId="6086F93C">
            <w:pPr>
              <w:widowControl/>
              <w:adjustRightInd w:val="0"/>
              <w:snapToGrid w:val="0"/>
              <w:spacing w:line="584" w:lineRule="exact"/>
              <w:rPr>
                <w:rFonts w:ascii="仿宋_GB2312" w:eastAsia="仿宋_GB2312"/>
              </w:rPr>
            </w:pPr>
            <w:r>
              <w:rPr>
                <w:rFonts w:hint="eastAsia" w:ascii="仿宋_GB2312" w:eastAsia="仿宋_GB2312"/>
              </w:rPr>
              <w:t>反映查阅档案人员满意度</w:t>
            </w:r>
          </w:p>
        </w:tc>
        <w:tc>
          <w:tcPr>
            <w:tcW w:w="567" w:type="dxa"/>
            <w:tcBorders>
              <w:tl2br w:val="nil"/>
              <w:tr2bl w:val="nil"/>
            </w:tcBorders>
            <w:vAlign w:val="center"/>
          </w:tcPr>
          <w:p w14:paraId="7F6BB227">
            <w:pPr>
              <w:widowControl/>
              <w:adjustRightInd w:val="0"/>
              <w:snapToGrid w:val="0"/>
              <w:spacing w:line="584" w:lineRule="exact"/>
              <w:rPr>
                <w:rFonts w:ascii="仿宋_GB2312" w:eastAsia="仿宋_GB2312"/>
              </w:rPr>
            </w:pPr>
            <w:r>
              <w:rPr>
                <w:rFonts w:hint="eastAsia" w:ascii="仿宋_GB2312" w:eastAsia="仿宋_GB2312"/>
              </w:rPr>
              <w:t>≥</w:t>
            </w:r>
          </w:p>
        </w:tc>
        <w:tc>
          <w:tcPr>
            <w:tcW w:w="709" w:type="dxa"/>
            <w:tcBorders>
              <w:tl2br w:val="nil"/>
              <w:tr2bl w:val="nil"/>
            </w:tcBorders>
            <w:vAlign w:val="center"/>
          </w:tcPr>
          <w:p w14:paraId="7E3F1284">
            <w:pPr>
              <w:widowControl/>
              <w:adjustRightInd w:val="0"/>
              <w:snapToGrid w:val="0"/>
              <w:spacing w:line="584" w:lineRule="exact"/>
              <w:rPr>
                <w:rFonts w:ascii="仿宋_GB2312" w:eastAsia="仿宋_GB2312"/>
              </w:rPr>
            </w:pPr>
            <w:r>
              <w:rPr>
                <w:rFonts w:hint="eastAsia" w:ascii="仿宋_GB2312" w:eastAsia="仿宋_GB2312"/>
              </w:rPr>
              <w:t>90</w:t>
            </w:r>
          </w:p>
        </w:tc>
        <w:tc>
          <w:tcPr>
            <w:tcW w:w="567" w:type="dxa"/>
            <w:tcBorders>
              <w:tl2br w:val="nil"/>
              <w:tr2bl w:val="nil"/>
            </w:tcBorders>
            <w:vAlign w:val="center"/>
          </w:tcPr>
          <w:p w14:paraId="05B8034A">
            <w:pPr>
              <w:widowControl/>
              <w:adjustRightInd w:val="0"/>
              <w:snapToGrid w:val="0"/>
              <w:spacing w:line="584" w:lineRule="exact"/>
              <w:rPr>
                <w:rFonts w:ascii="仿宋_GB2312" w:eastAsia="仿宋_GB2312"/>
              </w:rPr>
            </w:pPr>
            <w:r>
              <w:rPr>
                <w:rFonts w:hint="eastAsia" w:ascii="仿宋_GB2312" w:eastAsia="仿宋_GB2312"/>
              </w:rPr>
              <w:t>%</w:t>
            </w:r>
          </w:p>
        </w:tc>
        <w:tc>
          <w:tcPr>
            <w:tcW w:w="1276" w:type="dxa"/>
            <w:tcBorders>
              <w:tl2br w:val="nil"/>
              <w:tr2bl w:val="nil"/>
            </w:tcBorders>
            <w:vAlign w:val="center"/>
          </w:tcPr>
          <w:p w14:paraId="4F54C8BA">
            <w:pPr>
              <w:widowControl/>
              <w:adjustRightInd w:val="0"/>
              <w:snapToGrid w:val="0"/>
              <w:spacing w:line="584" w:lineRule="exact"/>
              <w:rPr>
                <w:rFonts w:ascii="仿宋_GB2312" w:eastAsia="仿宋_GB2312"/>
              </w:rPr>
            </w:pPr>
            <w:r>
              <w:rPr>
                <w:rFonts w:hint="eastAsia" w:ascii="仿宋_GB2312" w:eastAsia="仿宋_GB2312"/>
              </w:rPr>
              <w:t>调查问卷</w:t>
            </w:r>
          </w:p>
        </w:tc>
      </w:tr>
    </w:tbl>
    <w:p w14:paraId="00483475">
      <w:pPr>
        <w:spacing w:line="584" w:lineRule="exact"/>
        <w:ind w:firstLine="640" w:firstLineChars="200"/>
        <w:rPr>
          <w:rFonts w:ascii="Times New Roman" w:hAnsi="黑体" w:eastAsia="黑体" w:cs="Times New Roman"/>
          <w:sz w:val="32"/>
          <w:szCs w:val="32"/>
        </w:rPr>
      </w:pPr>
    </w:p>
    <w:p w14:paraId="24BB0315">
      <w:pPr>
        <w:spacing w:line="584" w:lineRule="exact"/>
        <w:ind w:firstLine="640" w:firstLineChars="200"/>
        <w:rPr>
          <w:rFonts w:ascii="Times New Roman" w:hAnsi="黑体" w:eastAsia="黑体" w:cs="Times New Roman"/>
          <w:sz w:val="32"/>
          <w:szCs w:val="32"/>
        </w:rPr>
      </w:pPr>
      <w:r>
        <w:rPr>
          <w:rFonts w:hint="eastAsia" w:ascii="Times New Roman" w:hAnsi="黑体" w:eastAsia="黑体" w:cs="Times New Roman"/>
          <w:sz w:val="32"/>
          <w:szCs w:val="32"/>
        </w:rPr>
        <w:t>第二部分资金绩效目标</w:t>
      </w:r>
    </w:p>
    <w:p w14:paraId="51DD945B">
      <w:pPr>
        <w:spacing w:line="584" w:lineRule="exact"/>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1.</w:t>
      </w:r>
      <w:r>
        <w:rPr>
          <w:rFonts w:hint="eastAsia" w:ascii="Times New Roman" w:hAnsi="Times New Roman" w:eastAsia="仿宋_GB2312" w:cs="Times New Roman"/>
          <w:sz w:val="28"/>
        </w:rPr>
        <w:t>档案馆运行保障经费绩效</w:t>
      </w:r>
      <w:r>
        <w:rPr>
          <w:rFonts w:ascii="Times New Roman" w:hAnsi="Times New Roman" w:eastAsia="仿宋_GB2312" w:cs="Times New Roman"/>
          <w:sz w:val="28"/>
        </w:rPr>
        <w:t>目标表</w:t>
      </w:r>
    </w:p>
    <w:p w14:paraId="167CB1FD">
      <w:pPr>
        <w:spacing w:line="584" w:lineRule="exact"/>
        <w:ind w:firstLine="420" w:firstLineChars="200"/>
        <w:jc w:val="center"/>
        <w:rPr>
          <w:rFonts w:ascii="Times New Roman" w:hAnsi="Times New Roman" w:eastAsia="仿宋_GB2312" w:cs="Times New Roman"/>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30EE96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56634DEC">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052D065A">
            <w:pPr>
              <w:spacing w:line="584" w:lineRule="exact"/>
              <w:rPr>
                <w:rFonts w:ascii="Times New Roman" w:hAnsi="Times New Roman" w:eastAsia="仿宋_GB2312" w:cs="Times New Roman"/>
                <w:b/>
              </w:rPr>
            </w:pPr>
            <w:r>
              <w:rPr>
                <w:rFonts w:hint="eastAsia" w:ascii="Times New Roman" w:hAnsi="Times New Roman" w:eastAsia="仿宋_GB2312" w:cs="Times New Roman"/>
                <w:b/>
              </w:rPr>
              <w:t>通过项目的开展，实现档案馆日常工作的正常运转。</w:t>
            </w:r>
          </w:p>
        </w:tc>
      </w:tr>
      <w:tr w14:paraId="5018AD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65B48BAC">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508F009C">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595663CA">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79DF557B">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70E7B6D7">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64DE69AB">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5B9EDC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5449F933">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7E6ED24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18F185B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印制计划完成量</w:t>
            </w:r>
          </w:p>
        </w:tc>
        <w:tc>
          <w:tcPr>
            <w:tcW w:w="3402" w:type="dxa"/>
            <w:shd w:val="clear" w:color="auto" w:fill="auto"/>
            <w:vAlign w:val="center"/>
          </w:tcPr>
          <w:p w14:paraId="67251CE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《档案廊坊》第三辑的编辑数量</w:t>
            </w:r>
          </w:p>
        </w:tc>
        <w:tc>
          <w:tcPr>
            <w:tcW w:w="1843" w:type="dxa"/>
            <w:shd w:val="clear" w:color="auto" w:fill="auto"/>
            <w:vAlign w:val="center"/>
          </w:tcPr>
          <w:p w14:paraId="6844E08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1本</w:t>
            </w:r>
          </w:p>
        </w:tc>
        <w:tc>
          <w:tcPr>
            <w:tcW w:w="2155" w:type="dxa"/>
            <w:shd w:val="clear" w:color="auto" w:fill="auto"/>
            <w:vAlign w:val="center"/>
          </w:tcPr>
          <w:p w14:paraId="2E6A3B4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依年初计划</w:t>
            </w:r>
          </w:p>
        </w:tc>
      </w:tr>
      <w:tr w14:paraId="312DB8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242C213">
            <w:pPr>
              <w:spacing w:line="584" w:lineRule="exact"/>
              <w:jc w:val="center"/>
              <w:rPr>
                <w:rFonts w:ascii="Times New Roman" w:hAnsi="Times New Roman" w:eastAsia="仿宋_GB2312" w:cs="Times New Roman"/>
              </w:rPr>
            </w:pPr>
          </w:p>
        </w:tc>
        <w:tc>
          <w:tcPr>
            <w:tcW w:w="2268" w:type="dxa"/>
            <w:shd w:val="clear" w:color="auto" w:fill="auto"/>
            <w:vAlign w:val="center"/>
          </w:tcPr>
          <w:p w14:paraId="04A5353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33B17B8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提供法律咨询数量</w:t>
            </w:r>
          </w:p>
        </w:tc>
        <w:tc>
          <w:tcPr>
            <w:tcW w:w="3402" w:type="dxa"/>
            <w:shd w:val="clear" w:color="auto" w:fill="auto"/>
            <w:vAlign w:val="center"/>
          </w:tcPr>
          <w:p w14:paraId="748EF8F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提供法律咨询数量</w:t>
            </w:r>
          </w:p>
        </w:tc>
        <w:tc>
          <w:tcPr>
            <w:tcW w:w="1843" w:type="dxa"/>
            <w:shd w:val="clear" w:color="auto" w:fill="auto"/>
            <w:vAlign w:val="center"/>
          </w:tcPr>
          <w:p w14:paraId="72D0B2D9">
            <w:pPr>
              <w:spacing w:line="584" w:lineRule="exact"/>
              <w:jc w:val="left"/>
              <w:rPr>
                <w:rFonts w:ascii="Times New Roman" w:hAnsi="Times New Roman" w:cs="Times New Roman"/>
              </w:rPr>
            </w:pPr>
            <w:r>
              <w:rPr>
                <w:rFonts w:hint="eastAsia" w:ascii="方正书宋_GBK" w:eastAsia="方正书宋_GBK"/>
              </w:rPr>
              <w:t>≥</w:t>
            </w:r>
            <w:r>
              <w:rPr>
                <w:rFonts w:hint="eastAsia" w:ascii="方正书宋_GBK"/>
              </w:rPr>
              <w:t>1次</w:t>
            </w:r>
          </w:p>
        </w:tc>
        <w:tc>
          <w:tcPr>
            <w:tcW w:w="2155" w:type="dxa"/>
            <w:shd w:val="clear" w:color="auto" w:fill="auto"/>
            <w:vAlign w:val="center"/>
          </w:tcPr>
          <w:p w14:paraId="02ECB0C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依合同</w:t>
            </w:r>
          </w:p>
        </w:tc>
      </w:tr>
      <w:tr w14:paraId="4E399A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C580899">
            <w:pPr>
              <w:spacing w:line="584" w:lineRule="exact"/>
              <w:jc w:val="center"/>
              <w:rPr>
                <w:rFonts w:ascii="Times New Roman" w:hAnsi="Times New Roman" w:eastAsia="仿宋_GB2312" w:cs="Times New Roman"/>
              </w:rPr>
            </w:pPr>
          </w:p>
        </w:tc>
        <w:tc>
          <w:tcPr>
            <w:tcW w:w="2268" w:type="dxa"/>
            <w:shd w:val="clear" w:color="auto" w:fill="auto"/>
            <w:vAlign w:val="center"/>
          </w:tcPr>
          <w:p w14:paraId="3E163B0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0E33EFF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正常运转率</w:t>
            </w:r>
          </w:p>
        </w:tc>
        <w:tc>
          <w:tcPr>
            <w:tcW w:w="3402" w:type="dxa"/>
            <w:shd w:val="clear" w:color="auto" w:fill="auto"/>
            <w:vAlign w:val="center"/>
          </w:tcPr>
          <w:p w14:paraId="1A0CFC6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保证工作的正常运转</w:t>
            </w:r>
          </w:p>
        </w:tc>
        <w:tc>
          <w:tcPr>
            <w:tcW w:w="1843" w:type="dxa"/>
            <w:shd w:val="clear" w:color="auto" w:fill="auto"/>
            <w:vAlign w:val="center"/>
          </w:tcPr>
          <w:p w14:paraId="194F70D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shd w:val="clear" w:color="auto" w:fill="auto"/>
            <w:vAlign w:val="center"/>
          </w:tcPr>
          <w:p w14:paraId="269B616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依合同</w:t>
            </w:r>
          </w:p>
        </w:tc>
      </w:tr>
      <w:tr w14:paraId="6F65DF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715FAF2">
            <w:pPr>
              <w:spacing w:line="584" w:lineRule="exact"/>
              <w:jc w:val="center"/>
              <w:rPr>
                <w:rFonts w:ascii="Times New Roman" w:hAnsi="Times New Roman" w:eastAsia="仿宋_GB2312" w:cs="Times New Roman"/>
              </w:rPr>
            </w:pPr>
          </w:p>
        </w:tc>
        <w:tc>
          <w:tcPr>
            <w:tcW w:w="2268" w:type="dxa"/>
            <w:shd w:val="clear" w:color="auto" w:fill="auto"/>
            <w:vAlign w:val="center"/>
          </w:tcPr>
          <w:p w14:paraId="0F85443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6BC5950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产品合格率</w:t>
            </w:r>
          </w:p>
        </w:tc>
        <w:tc>
          <w:tcPr>
            <w:tcW w:w="3402" w:type="dxa"/>
            <w:shd w:val="clear" w:color="auto" w:fill="auto"/>
            <w:vAlign w:val="center"/>
          </w:tcPr>
          <w:p w14:paraId="0883B8B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档案库房用药产品合格率</w:t>
            </w:r>
          </w:p>
        </w:tc>
        <w:tc>
          <w:tcPr>
            <w:tcW w:w="1843" w:type="dxa"/>
            <w:shd w:val="clear" w:color="auto" w:fill="auto"/>
            <w:vAlign w:val="center"/>
          </w:tcPr>
          <w:p w14:paraId="7403C15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shd w:val="clear" w:color="auto" w:fill="auto"/>
            <w:vAlign w:val="center"/>
          </w:tcPr>
          <w:p w14:paraId="228E458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依合同</w:t>
            </w:r>
          </w:p>
        </w:tc>
      </w:tr>
      <w:tr w14:paraId="50BF69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ABA8C1A">
            <w:pPr>
              <w:spacing w:line="584" w:lineRule="exact"/>
              <w:jc w:val="center"/>
              <w:rPr>
                <w:rFonts w:ascii="Times New Roman" w:hAnsi="Times New Roman" w:eastAsia="仿宋_GB2312" w:cs="Times New Roman"/>
              </w:rPr>
            </w:pPr>
          </w:p>
        </w:tc>
        <w:tc>
          <w:tcPr>
            <w:tcW w:w="2268" w:type="dxa"/>
            <w:shd w:val="clear" w:color="auto" w:fill="auto"/>
            <w:vAlign w:val="center"/>
          </w:tcPr>
          <w:p w14:paraId="434C51B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0609FE5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及时性</w:t>
            </w:r>
          </w:p>
        </w:tc>
        <w:tc>
          <w:tcPr>
            <w:tcW w:w="3402" w:type="dxa"/>
            <w:shd w:val="clear" w:color="auto" w:fill="auto"/>
            <w:vAlign w:val="center"/>
          </w:tcPr>
          <w:p w14:paraId="24D97BF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档案库房用药更新及时性</w:t>
            </w:r>
          </w:p>
        </w:tc>
        <w:tc>
          <w:tcPr>
            <w:tcW w:w="1843" w:type="dxa"/>
            <w:shd w:val="clear" w:color="auto" w:fill="auto"/>
            <w:vAlign w:val="center"/>
          </w:tcPr>
          <w:p w14:paraId="28F75A6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shd w:val="clear" w:color="auto" w:fill="auto"/>
            <w:vAlign w:val="center"/>
          </w:tcPr>
          <w:p w14:paraId="603C4A5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依合同</w:t>
            </w:r>
          </w:p>
        </w:tc>
      </w:tr>
      <w:tr w14:paraId="3CA50D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54F5DE08">
            <w:pPr>
              <w:spacing w:line="584" w:lineRule="exact"/>
              <w:jc w:val="center"/>
              <w:rPr>
                <w:rFonts w:ascii="Times New Roman" w:hAnsi="Times New Roman" w:eastAsia="仿宋_GB2312" w:cs="Times New Roman"/>
              </w:rPr>
            </w:pPr>
          </w:p>
        </w:tc>
        <w:tc>
          <w:tcPr>
            <w:tcW w:w="2268" w:type="dxa"/>
            <w:shd w:val="clear" w:color="auto" w:fill="auto"/>
            <w:vAlign w:val="center"/>
          </w:tcPr>
          <w:p w14:paraId="2D8B2F8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2E68F61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开展工作时效性</w:t>
            </w:r>
          </w:p>
        </w:tc>
        <w:tc>
          <w:tcPr>
            <w:tcW w:w="3402" w:type="dxa"/>
            <w:shd w:val="clear" w:color="auto" w:fill="auto"/>
            <w:vAlign w:val="center"/>
          </w:tcPr>
          <w:p w14:paraId="487A3C6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开展档案工作时效性</w:t>
            </w:r>
          </w:p>
        </w:tc>
        <w:tc>
          <w:tcPr>
            <w:tcW w:w="1843" w:type="dxa"/>
            <w:shd w:val="clear" w:color="auto" w:fill="auto"/>
            <w:vAlign w:val="center"/>
          </w:tcPr>
          <w:p w14:paraId="2D7EA94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shd w:val="clear" w:color="auto" w:fill="auto"/>
            <w:vAlign w:val="center"/>
          </w:tcPr>
          <w:p w14:paraId="3A60F0E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依年初计划</w:t>
            </w:r>
          </w:p>
        </w:tc>
      </w:tr>
      <w:tr w14:paraId="190090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D954D13">
            <w:pPr>
              <w:spacing w:line="584" w:lineRule="exact"/>
              <w:jc w:val="center"/>
              <w:rPr>
                <w:rFonts w:ascii="Times New Roman" w:hAnsi="Times New Roman" w:eastAsia="仿宋_GB2312" w:cs="Times New Roman"/>
              </w:rPr>
            </w:pPr>
          </w:p>
        </w:tc>
        <w:tc>
          <w:tcPr>
            <w:tcW w:w="2268" w:type="dxa"/>
            <w:shd w:val="clear" w:color="auto" w:fill="auto"/>
            <w:vAlign w:val="center"/>
          </w:tcPr>
          <w:p w14:paraId="70E4F53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5CC7BA75">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完成工作所需成本</w:t>
            </w:r>
          </w:p>
        </w:tc>
        <w:tc>
          <w:tcPr>
            <w:tcW w:w="3402" w:type="dxa"/>
            <w:shd w:val="clear" w:color="auto" w:fill="auto"/>
            <w:vAlign w:val="center"/>
          </w:tcPr>
          <w:p w14:paraId="4B83E14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完成《档案廊坊》第三辑最低成本</w:t>
            </w:r>
          </w:p>
        </w:tc>
        <w:tc>
          <w:tcPr>
            <w:tcW w:w="1843" w:type="dxa"/>
            <w:shd w:val="clear" w:color="auto" w:fill="auto"/>
            <w:vAlign w:val="center"/>
          </w:tcPr>
          <w:p w14:paraId="33FC22A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≤52元</w:t>
            </w:r>
          </w:p>
        </w:tc>
        <w:tc>
          <w:tcPr>
            <w:tcW w:w="2155" w:type="dxa"/>
            <w:shd w:val="clear" w:color="auto" w:fill="auto"/>
            <w:vAlign w:val="center"/>
          </w:tcPr>
          <w:p w14:paraId="5BF54EA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依合同</w:t>
            </w:r>
          </w:p>
        </w:tc>
      </w:tr>
      <w:tr w14:paraId="1CD1F7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058F5CE">
            <w:pPr>
              <w:spacing w:line="584" w:lineRule="exact"/>
              <w:jc w:val="center"/>
              <w:rPr>
                <w:rFonts w:ascii="Times New Roman" w:hAnsi="Times New Roman" w:eastAsia="仿宋_GB2312" w:cs="Times New Roman"/>
              </w:rPr>
            </w:pPr>
          </w:p>
        </w:tc>
        <w:tc>
          <w:tcPr>
            <w:tcW w:w="2268" w:type="dxa"/>
            <w:shd w:val="clear" w:color="auto" w:fill="auto"/>
            <w:vAlign w:val="center"/>
          </w:tcPr>
          <w:p w14:paraId="5DE2DF6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5072A59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差旅费</w:t>
            </w:r>
          </w:p>
        </w:tc>
        <w:tc>
          <w:tcPr>
            <w:tcW w:w="3402" w:type="dxa"/>
            <w:shd w:val="clear" w:color="auto" w:fill="auto"/>
            <w:vAlign w:val="center"/>
          </w:tcPr>
          <w:p w14:paraId="38EEC72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异地备份差旅费</w:t>
            </w:r>
          </w:p>
        </w:tc>
        <w:tc>
          <w:tcPr>
            <w:tcW w:w="1843" w:type="dxa"/>
            <w:shd w:val="clear" w:color="auto" w:fill="auto"/>
            <w:vAlign w:val="center"/>
          </w:tcPr>
          <w:p w14:paraId="4E3701D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≤1.1万元</w:t>
            </w:r>
          </w:p>
        </w:tc>
        <w:tc>
          <w:tcPr>
            <w:tcW w:w="2155" w:type="dxa"/>
            <w:shd w:val="clear" w:color="auto" w:fill="auto"/>
            <w:vAlign w:val="center"/>
          </w:tcPr>
          <w:p w14:paraId="50A2656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依年初计划</w:t>
            </w:r>
          </w:p>
        </w:tc>
      </w:tr>
      <w:tr w14:paraId="639BCD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10BDA8C4">
            <w:pPr>
              <w:spacing w:line="584" w:lineRule="exact"/>
              <w:jc w:val="center"/>
              <w:rPr>
                <w:rFonts w:ascii="Times New Roman" w:hAnsi="Times New Roman" w:eastAsia="仿宋_GB2312" w:cs="Times New Roman"/>
              </w:rPr>
            </w:pPr>
            <w:r>
              <w:rPr>
                <w:rFonts w:ascii="Times New Roman" w:hAnsi="Times New Roman" w:eastAsia="仿宋_GB2312" w:cs="Times New Roman"/>
              </w:rPr>
              <w:t>效</w:t>
            </w:r>
            <w:r>
              <w:rPr>
                <w:rFonts w:hint="eastAsia" w:ascii="Times New Roman" w:hAnsi="Times New Roman" w:eastAsia="仿宋_GB2312" w:cs="Times New Roman"/>
              </w:rPr>
              <w:t>果</w:t>
            </w:r>
            <w:r>
              <w:rPr>
                <w:rFonts w:ascii="Times New Roman" w:hAnsi="Times New Roman" w:eastAsia="仿宋_GB2312" w:cs="Times New Roman"/>
              </w:rPr>
              <w:t>指标</w:t>
            </w:r>
          </w:p>
        </w:tc>
        <w:tc>
          <w:tcPr>
            <w:tcW w:w="2268" w:type="dxa"/>
            <w:shd w:val="clear" w:color="auto" w:fill="auto"/>
            <w:vAlign w:val="center"/>
          </w:tcPr>
          <w:p w14:paraId="2867D0C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7DDBA48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业务保障能力</w:t>
            </w:r>
          </w:p>
        </w:tc>
        <w:tc>
          <w:tcPr>
            <w:tcW w:w="3402" w:type="dxa"/>
            <w:shd w:val="clear" w:color="auto" w:fill="auto"/>
            <w:vAlign w:val="center"/>
          </w:tcPr>
          <w:p w14:paraId="6C7AA9D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对档案馆运行的保障程度</w:t>
            </w:r>
          </w:p>
        </w:tc>
        <w:tc>
          <w:tcPr>
            <w:tcW w:w="1843" w:type="dxa"/>
            <w:shd w:val="clear" w:color="auto" w:fill="auto"/>
            <w:vAlign w:val="center"/>
          </w:tcPr>
          <w:p w14:paraId="41CF699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正常有序</w:t>
            </w:r>
          </w:p>
        </w:tc>
        <w:tc>
          <w:tcPr>
            <w:tcW w:w="2155" w:type="dxa"/>
            <w:shd w:val="clear" w:color="auto" w:fill="auto"/>
            <w:vAlign w:val="center"/>
          </w:tcPr>
          <w:p w14:paraId="4895F3E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依档案工作确定</w:t>
            </w:r>
          </w:p>
        </w:tc>
      </w:tr>
      <w:tr w14:paraId="36D73A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6C437718">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509B8CD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6CF2110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w:t>
            </w:r>
          </w:p>
        </w:tc>
        <w:tc>
          <w:tcPr>
            <w:tcW w:w="3402" w:type="dxa"/>
            <w:shd w:val="clear" w:color="auto" w:fill="auto"/>
            <w:vAlign w:val="center"/>
          </w:tcPr>
          <w:p w14:paraId="7209DFD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反映查阅档案人员满意度</w:t>
            </w:r>
          </w:p>
        </w:tc>
        <w:tc>
          <w:tcPr>
            <w:tcW w:w="1843" w:type="dxa"/>
            <w:shd w:val="clear" w:color="auto" w:fill="auto"/>
            <w:vAlign w:val="center"/>
          </w:tcPr>
          <w:p w14:paraId="35E1DFC0">
            <w:pPr>
              <w:spacing w:line="584" w:lineRule="exact"/>
              <w:jc w:val="left"/>
              <w:rPr>
                <w:rFonts w:ascii="Times New Roman" w:hAnsi="Times New Roman" w:cs="Times New Roman"/>
              </w:rPr>
            </w:pPr>
            <w:r>
              <w:rPr>
                <w:rFonts w:hint="eastAsia" w:ascii="方正书宋_GBK" w:eastAsia="方正书宋_GBK"/>
              </w:rPr>
              <w:t>≥</w:t>
            </w:r>
            <w:r>
              <w:rPr>
                <w:rFonts w:hint="eastAsia" w:ascii="方正书宋_GBK"/>
              </w:rPr>
              <w:t>90%</w:t>
            </w:r>
          </w:p>
        </w:tc>
        <w:tc>
          <w:tcPr>
            <w:tcW w:w="2155" w:type="dxa"/>
            <w:shd w:val="clear" w:color="auto" w:fill="auto"/>
            <w:vAlign w:val="center"/>
          </w:tcPr>
          <w:p w14:paraId="438AED4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调查问卷</w:t>
            </w:r>
          </w:p>
        </w:tc>
      </w:tr>
    </w:tbl>
    <w:p w14:paraId="1424912D">
      <w:pPr>
        <w:spacing w:line="584" w:lineRule="exact"/>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2.</w:t>
      </w:r>
      <w:r>
        <w:rPr>
          <w:rFonts w:hint="eastAsia" w:ascii="Times New Roman" w:hAnsi="Times New Roman" w:eastAsia="仿宋_GB2312" w:cs="Times New Roman"/>
          <w:sz w:val="28"/>
        </w:rPr>
        <w:t>市档案馆搬迁加固改造及设备购置资金</w:t>
      </w:r>
      <w:r>
        <w:rPr>
          <w:rFonts w:ascii="Times New Roman" w:hAnsi="Times New Roman" w:eastAsia="仿宋_GB2312" w:cs="Times New Roman"/>
          <w:sz w:val="28"/>
        </w:rPr>
        <w:t>（</w:t>
      </w:r>
      <w:r>
        <w:rPr>
          <w:rFonts w:hint="eastAsia" w:ascii="Times New Roman" w:hAnsi="Times New Roman" w:eastAsia="仿宋_GB2312" w:cs="Times New Roman"/>
          <w:sz w:val="28"/>
        </w:rPr>
        <w:t>尾款</w:t>
      </w:r>
      <w:r>
        <w:rPr>
          <w:rFonts w:ascii="Times New Roman" w:hAnsi="Times New Roman" w:eastAsia="仿宋_GB2312" w:cs="Times New Roman"/>
          <w:sz w:val="28"/>
        </w:rPr>
        <w:t>）绩效目标表</w:t>
      </w:r>
    </w:p>
    <w:p w14:paraId="773F75BF">
      <w:pPr>
        <w:spacing w:line="584" w:lineRule="exact"/>
        <w:ind w:firstLine="420" w:firstLineChars="200"/>
        <w:jc w:val="center"/>
        <w:rPr>
          <w:rFonts w:ascii="Times New Roman" w:hAnsi="Times New Roman" w:eastAsia="仿宋_GB2312" w:cs="Times New Roman"/>
        </w:rPr>
      </w:pPr>
    </w:p>
    <w:tbl>
      <w:tblPr>
        <w:tblStyle w:val="8"/>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15C202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3D4D4646">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244E7AF9">
            <w:pPr>
              <w:spacing w:line="584" w:lineRule="exact"/>
              <w:rPr>
                <w:rFonts w:ascii="Times New Roman" w:hAnsi="Times New Roman" w:eastAsia="仿宋_GB2312" w:cs="Times New Roman"/>
                <w:b/>
              </w:rPr>
            </w:pPr>
            <w:r>
              <w:rPr>
                <w:rFonts w:hint="eastAsia" w:ascii="Times New Roman" w:hAnsi="Times New Roman" w:eastAsia="仿宋_GB2312" w:cs="Times New Roman"/>
                <w:b/>
              </w:rPr>
              <w:t>通过项目的开展实施，完成档案馆新馆基础建设，土建和设备安装工程全部完成。</w:t>
            </w:r>
          </w:p>
        </w:tc>
      </w:tr>
      <w:tr w14:paraId="4D2605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42852B17">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06D8DCF6">
            <w:pPr>
              <w:spacing w:line="584"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4FE928A9">
            <w:pPr>
              <w:spacing w:line="584"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7AA9C929">
            <w:pPr>
              <w:spacing w:line="584"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5B1660E1">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4C6857A2">
            <w:pPr>
              <w:spacing w:line="584"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19799E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6E715265">
            <w:pPr>
              <w:spacing w:line="584"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0B26F00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1F34DEE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改建建筑面积</w:t>
            </w:r>
          </w:p>
        </w:tc>
        <w:tc>
          <w:tcPr>
            <w:tcW w:w="3402" w:type="dxa"/>
            <w:shd w:val="clear" w:color="auto" w:fill="auto"/>
            <w:vAlign w:val="center"/>
          </w:tcPr>
          <w:p w14:paraId="0304CE4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改造档案馆总建筑面积</w:t>
            </w:r>
          </w:p>
        </w:tc>
        <w:tc>
          <w:tcPr>
            <w:tcW w:w="1843" w:type="dxa"/>
            <w:shd w:val="clear" w:color="auto" w:fill="auto"/>
            <w:vAlign w:val="center"/>
          </w:tcPr>
          <w:p w14:paraId="75321FBF">
            <w:pPr>
              <w:spacing w:line="584" w:lineRule="exact"/>
              <w:jc w:val="left"/>
              <w:rPr>
                <w:rFonts w:ascii="Times New Roman" w:hAnsi="Times New Roman" w:cs="Times New Roman"/>
              </w:rPr>
            </w:pPr>
            <w:r>
              <w:rPr>
                <w:rFonts w:hint="eastAsia" w:ascii="方正书宋_GBK" w:eastAsia="方正书宋_GBK"/>
              </w:rPr>
              <w:t>≥</w:t>
            </w:r>
            <w:r>
              <w:rPr>
                <w:rFonts w:hint="eastAsia" w:ascii="方正书宋_GBK"/>
              </w:rPr>
              <w:t>5500平米</w:t>
            </w:r>
          </w:p>
        </w:tc>
        <w:tc>
          <w:tcPr>
            <w:tcW w:w="2155" w:type="dxa"/>
            <w:shd w:val="clear" w:color="auto" w:fill="auto"/>
            <w:vAlign w:val="center"/>
          </w:tcPr>
          <w:p w14:paraId="0149A87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依政府文件</w:t>
            </w:r>
          </w:p>
        </w:tc>
      </w:tr>
      <w:tr w14:paraId="43D022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5AC9EE8">
            <w:pPr>
              <w:spacing w:line="584" w:lineRule="exact"/>
              <w:jc w:val="center"/>
              <w:rPr>
                <w:rFonts w:ascii="Times New Roman" w:hAnsi="Times New Roman" w:eastAsia="仿宋_GB2312" w:cs="Times New Roman"/>
              </w:rPr>
            </w:pPr>
          </w:p>
        </w:tc>
        <w:tc>
          <w:tcPr>
            <w:tcW w:w="2268" w:type="dxa"/>
            <w:shd w:val="clear" w:color="auto" w:fill="auto"/>
            <w:vAlign w:val="center"/>
          </w:tcPr>
          <w:p w14:paraId="658A6CB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数量指标</w:t>
            </w:r>
          </w:p>
        </w:tc>
        <w:tc>
          <w:tcPr>
            <w:tcW w:w="1985" w:type="dxa"/>
            <w:shd w:val="clear" w:color="auto" w:fill="auto"/>
            <w:vAlign w:val="center"/>
          </w:tcPr>
          <w:p w14:paraId="7873853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改建建筑面积</w:t>
            </w:r>
          </w:p>
        </w:tc>
        <w:tc>
          <w:tcPr>
            <w:tcW w:w="3402" w:type="dxa"/>
            <w:shd w:val="clear" w:color="auto" w:fill="auto"/>
            <w:vAlign w:val="center"/>
          </w:tcPr>
          <w:p w14:paraId="3EEEEDD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改造档案资料库房建筑面积</w:t>
            </w:r>
          </w:p>
        </w:tc>
        <w:tc>
          <w:tcPr>
            <w:tcW w:w="1843" w:type="dxa"/>
            <w:shd w:val="clear" w:color="auto" w:fill="auto"/>
            <w:vAlign w:val="center"/>
          </w:tcPr>
          <w:p w14:paraId="5080F772">
            <w:pPr>
              <w:spacing w:line="584" w:lineRule="exact"/>
              <w:jc w:val="left"/>
              <w:rPr>
                <w:rFonts w:ascii="Times New Roman" w:hAnsi="Times New Roman" w:cs="Times New Roman"/>
              </w:rPr>
            </w:pPr>
            <w:r>
              <w:rPr>
                <w:rFonts w:hint="eastAsia" w:ascii="方正书宋_GBK" w:eastAsia="方正书宋_GBK"/>
              </w:rPr>
              <w:t>≥</w:t>
            </w:r>
            <w:r>
              <w:rPr>
                <w:rFonts w:hint="eastAsia" w:ascii="方正书宋_GBK"/>
              </w:rPr>
              <w:t>1600平米</w:t>
            </w:r>
          </w:p>
        </w:tc>
        <w:tc>
          <w:tcPr>
            <w:tcW w:w="2155" w:type="dxa"/>
            <w:shd w:val="clear" w:color="auto" w:fill="auto"/>
            <w:vAlign w:val="center"/>
          </w:tcPr>
          <w:p w14:paraId="6EC288C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依可研报告</w:t>
            </w:r>
          </w:p>
        </w:tc>
      </w:tr>
      <w:tr w14:paraId="6B9046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228E710">
            <w:pPr>
              <w:spacing w:line="584" w:lineRule="exact"/>
              <w:jc w:val="center"/>
              <w:rPr>
                <w:rFonts w:ascii="Times New Roman" w:hAnsi="Times New Roman" w:eastAsia="仿宋_GB2312" w:cs="Times New Roman"/>
              </w:rPr>
            </w:pPr>
          </w:p>
        </w:tc>
        <w:tc>
          <w:tcPr>
            <w:tcW w:w="2268" w:type="dxa"/>
            <w:shd w:val="clear" w:color="auto" w:fill="auto"/>
            <w:vAlign w:val="center"/>
          </w:tcPr>
          <w:p w14:paraId="056DB79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209761C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验收合格率</w:t>
            </w:r>
          </w:p>
        </w:tc>
        <w:tc>
          <w:tcPr>
            <w:tcW w:w="3402" w:type="dxa"/>
            <w:shd w:val="clear" w:color="auto" w:fill="auto"/>
            <w:vAlign w:val="center"/>
          </w:tcPr>
          <w:p w14:paraId="78E198DA">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档案馆加固改造工程的合格率</w:t>
            </w:r>
          </w:p>
        </w:tc>
        <w:tc>
          <w:tcPr>
            <w:tcW w:w="1843" w:type="dxa"/>
            <w:shd w:val="clear" w:color="auto" w:fill="auto"/>
            <w:vAlign w:val="center"/>
          </w:tcPr>
          <w:p w14:paraId="4CAD537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shd w:val="clear" w:color="auto" w:fill="auto"/>
            <w:vAlign w:val="center"/>
          </w:tcPr>
          <w:p w14:paraId="00401E0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依合同确定</w:t>
            </w:r>
          </w:p>
        </w:tc>
      </w:tr>
      <w:tr w14:paraId="321FED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955CBAD">
            <w:pPr>
              <w:spacing w:line="584" w:lineRule="exact"/>
              <w:jc w:val="center"/>
              <w:rPr>
                <w:rFonts w:ascii="Times New Roman" w:hAnsi="Times New Roman" w:eastAsia="仿宋_GB2312" w:cs="Times New Roman"/>
              </w:rPr>
            </w:pPr>
          </w:p>
        </w:tc>
        <w:tc>
          <w:tcPr>
            <w:tcW w:w="2268" w:type="dxa"/>
            <w:shd w:val="clear" w:color="auto" w:fill="auto"/>
            <w:vAlign w:val="center"/>
          </w:tcPr>
          <w:p w14:paraId="795A27C6">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质量指标</w:t>
            </w:r>
          </w:p>
        </w:tc>
        <w:tc>
          <w:tcPr>
            <w:tcW w:w="1985" w:type="dxa"/>
            <w:shd w:val="clear" w:color="auto" w:fill="auto"/>
            <w:vAlign w:val="center"/>
          </w:tcPr>
          <w:p w14:paraId="2188DA87">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工程验收合格率</w:t>
            </w:r>
          </w:p>
        </w:tc>
        <w:tc>
          <w:tcPr>
            <w:tcW w:w="3402" w:type="dxa"/>
            <w:shd w:val="clear" w:color="auto" w:fill="auto"/>
            <w:vAlign w:val="center"/>
          </w:tcPr>
          <w:p w14:paraId="52FCE6D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档案资料库房改造工程的合格率</w:t>
            </w:r>
          </w:p>
        </w:tc>
        <w:tc>
          <w:tcPr>
            <w:tcW w:w="1843" w:type="dxa"/>
            <w:shd w:val="clear" w:color="auto" w:fill="auto"/>
            <w:vAlign w:val="center"/>
          </w:tcPr>
          <w:p w14:paraId="5C99832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shd w:val="clear" w:color="auto" w:fill="auto"/>
            <w:vAlign w:val="center"/>
          </w:tcPr>
          <w:p w14:paraId="39A202B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依合同确定</w:t>
            </w:r>
          </w:p>
        </w:tc>
      </w:tr>
      <w:tr w14:paraId="0270D6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53DDA5CC">
            <w:pPr>
              <w:spacing w:line="584" w:lineRule="exact"/>
              <w:jc w:val="center"/>
              <w:rPr>
                <w:rFonts w:ascii="Times New Roman" w:hAnsi="Times New Roman" w:eastAsia="仿宋_GB2312" w:cs="Times New Roman"/>
              </w:rPr>
            </w:pPr>
          </w:p>
        </w:tc>
        <w:tc>
          <w:tcPr>
            <w:tcW w:w="2268" w:type="dxa"/>
            <w:shd w:val="clear" w:color="auto" w:fill="auto"/>
            <w:vAlign w:val="center"/>
          </w:tcPr>
          <w:p w14:paraId="4885224E">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5ABBC1E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完工及时率</w:t>
            </w:r>
          </w:p>
        </w:tc>
        <w:tc>
          <w:tcPr>
            <w:tcW w:w="3402" w:type="dxa"/>
            <w:shd w:val="clear" w:color="auto" w:fill="auto"/>
            <w:vAlign w:val="center"/>
          </w:tcPr>
          <w:p w14:paraId="07F3AC02">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完成档案馆改造工程及时性</w:t>
            </w:r>
          </w:p>
        </w:tc>
        <w:tc>
          <w:tcPr>
            <w:tcW w:w="1843" w:type="dxa"/>
            <w:shd w:val="clear" w:color="auto" w:fill="auto"/>
            <w:vAlign w:val="center"/>
          </w:tcPr>
          <w:p w14:paraId="2FE1065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shd w:val="clear" w:color="auto" w:fill="auto"/>
            <w:vAlign w:val="center"/>
          </w:tcPr>
          <w:p w14:paraId="64222A4F">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依合同确定</w:t>
            </w:r>
          </w:p>
        </w:tc>
      </w:tr>
      <w:tr w14:paraId="16DA80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34C13E4">
            <w:pPr>
              <w:spacing w:line="584" w:lineRule="exact"/>
              <w:jc w:val="center"/>
              <w:rPr>
                <w:rFonts w:ascii="Times New Roman" w:hAnsi="Times New Roman" w:eastAsia="仿宋_GB2312" w:cs="Times New Roman"/>
              </w:rPr>
            </w:pPr>
          </w:p>
        </w:tc>
        <w:tc>
          <w:tcPr>
            <w:tcW w:w="2268" w:type="dxa"/>
            <w:shd w:val="clear" w:color="auto" w:fill="auto"/>
            <w:vAlign w:val="center"/>
          </w:tcPr>
          <w:p w14:paraId="5AF9F7F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时效指标</w:t>
            </w:r>
          </w:p>
        </w:tc>
        <w:tc>
          <w:tcPr>
            <w:tcW w:w="1985" w:type="dxa"/>
            <w:shd w:val="clear" w:color="auto" w:fill="auto"/>
            <w:vAlign w:val="center"/>
          </w:tcPr>
          <w:p w14:paraId="798E70A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完工及时率</w:t>
            </w:r>
          </w:p>
        </w:tc>
        <w:tc>
          <w:tcPr>
            <w:tcW w:w="3402" w:type="dxa"/>
            <w:shd w:val="clear" w:color="auto" w:fill="auto"/>
            <w:vAlign w:val="center"/>
          </w:tcPr>
          <w:p w14:paraId="4ECC933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完成档案资料库房改造工程及时性</w:t>
            </w:r>
          </w:p>
        </w:tc>
        <w:tc>
          <w:tcPr>
            <w:tcW w:w="1843" w:type="dxa"/>
            <w:shd w:val="clear" w:color="auto" w:fill="auto"/>
            <w:vAlign w:val="center"/>
          </w:tcPr>
          <w:p w14:paraId="13897941">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100%</w:t>
            </w:r>
          </w:p>
        </w:tc>
        <w:tc>
          <w:tcPr>
            <w:tcW w:w="2155" w:type="dxa"/>
            <w:shd w:val="clear" w:color="auto" w:fill="auto"/>
            <w:vAlign w:val="center"/>
          </w:tcPr>
          <w:p w14:paraId="0C6FB87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依合同确定</w:t>
            </w:r>
          </w:p>
        </w:tc>
      </w:tr>
      <w:tr w14:paraId="4596E1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B03E2F2">
            <w:pPr>
              <w:spacing w:line="584" w:lineRule="exact"/>
              <w:jc w:val="center"/>
              <w:rPr>
                <w:rFonts w:ascii="Times New Roman" w:hAnsi="Times New Roman" w:eastAsia="仿宋_GB2312" w:cs="Times New Roman"/>
              </w:rPr>
            </w:pPr>
          </w:p>
        </w:tc>
        <w:tc>
          <w:tcPr>
            <w:tcW w:w="2268" w:type="dxa"/>
            <w:shd w:val="clear" w:color="auto" w:fill="auto"/>
            <w:vAlign w:val="center"/>
          </w:tcPr>
          <w:p w14:paraId="2D96976C">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4B2EF27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项目成本</w:t>
            </w:r>
          </w:p>
        </w:tc>
        <w:tc>
          <w:tcPr>
            <w:tcW w:w="3402" w:type="dxa"/>
            <w:shd w:val="clear" w:color="auto" w:fill="auto"/>
            <w:vAlign w:val="center"/>
          </w:tcPr>
          <w:p w14:paraId="1B2795A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造价咨询尾款</w:t>
            </w:r>
          </w:p>
        </w:tc>
        <w:tc>
          <w:tcPr>
            <w:tcW w:w="1843" w:type="dxa"/>
            <w:shd w:val="clear" w:color="auto" w:fill="auto"/>
            <w:vAlign w:val="center"/>
          </w:tcPr>
          <w:p w14:paraId="56B56F8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8.08万元</w:t>
            </w:r>
          </w:p>
        </w:tc>
        <w:tc>
          <w:tcPr>
            <w:tcW w:w="2155" w:type="dxa"/>
            <w:shd w:val="clear" w:color="auto" w:fill="auto"/>
            <w:vAlign w:val="center"/>
          </w:tcPr>
          <w:p w14:paraId="33CF10B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依合同确定</w:t>
            </w:r>
          </w:p>
        </w:tc>
      </w:tr>
      <w:tr w14:paraId="3B3441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226516D">
            <w:pPr>
              <w:spacing w:line="584" w:lineRule="exact"/>
              <w:jc w:val="center"/>
              <w:rPr>
                <w:rFonts w:ascii="Times New Roman" w:hAnsi="Times New Roman" w:eastAsia="仿宋_GB2312" w:cs="Times New Roman"/>
              </w:rPr>
            </w:pPr>
          </w:p>
        </w:tc>
        <w:tc>
          <w:tcPr>
            <w:tcW w:w="2268" w:type="dxa"/>
            <w:shd w:val="clear" w:color="auto" w:fill="auto"/>
            <w:vAlign w:val="center"/>
          </w:tcPr>
          <w:p w14:paraId="7F1A330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成本指标</w:t>
            </w:r>
          </w:p>
        </w:tc>
        <w:tc>
          <w:tcPr>
            <w:tcW w:w="1985" w:type="dxa"/>
            <w:shd w:val="clear" w:color="auto" w:fill="auto"/>
            <w:vAlign w:val="center"/>
          </w:tcPr>
          <w:p w14:paraId="25268F9B">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项目成本</w:t>
            </w:r>
          </w:p>
        </w:tc>
        <w:tc>
          <w:tcPr>
            <w:tcW w:w="3402" w:type="dxa"/>
            <w:shd w:val="clear" w:color="auto" w:fill="auto"/>
            <w:vAlign w:val="center"/>
          </w:tcPr>
          <w:p w14:paraId="09928B90">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新馆改造工程设计费尾款</w:t>
            </w:r>
          </w:p>
        </w:tc>
        <w:tc>
          <w:tcPr>
            <w:tcW w:w="1843" w:type="dxa"/>
            <w:shd w:val="clear" w:color="auto" w:fill="auto"/>
            <w:vAlign w:val="center"/>
          </w:tcPr>
          <w:p w14:paraId="41017C97">
            <w:pPr>
              <w:spacing w:line="584" w:lineRule="exact"/>
              <w:jc w:val="left"/>
              <w:rPr>
                <w:rFonts w:ascii="Times New Roman" w:hAnsi="Times New Roman" w:eastAsia="仿宋_GB2312" w:cs="Times New Roman"/>
              </w:rPr>
            </w:pPr>
            <w:r>
              <w:rPr>
                <w:rFonts w:hint="eastAsia" w:asciiTheme="minorEastAsia" w:hAnsiTheme="minorEastAsia"/>
              </w:rPr>
              <w:t>＜3.71万元</w:t>
            </w:r>
          </w:p>
        </w:tc>
        <w:tc>
          <w:tcPr>
            <w:tcW w:w="2155" w:type="dxa"/>
            <w:shd w:val="clear" w:color="auto" w:fill="auto"/>
            <w:vAlign w:val="center"/>
          </w:tcPr>
          <w:p w14:paraId="7C91882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依合同确定</w:t>
            </w:r>
          </w:p>
        </w:tc>
      </w:tr>
      <w:tr w14:paraId="312D8E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42C21C3C">
            <w:pPr>
              <w:spacing w:line="584"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538C073D">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社会效益指标</w:t>
            </w:r>
          </w:p>
        </w:tc>
        <w:tc>
          <w:tcPr>
            <w:tcW w:w="1985" w:type="dxa"/>
            <w:shd w:val="clear" w:color="auto" w:fill="auto"/>
            <w:vAlign w:val="center"/>
          </w:tcPr>
          <w:p w14:paraId="21BA6909">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提供优质服务</w:t>
            </w:r>
          </w:p>
        </w:tc>
        <w:tc>
          <w:tcPr>
            <w:tcW w:w="3402" w:type="dxa"/>
            <w:shd w:val="clear" w:color="auto" w:fill="auto"/>
            <w:vAlign w:val="center"/>
          </w:tcPr>
          <w:p w14:paraId="3473AC0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提升全市公共服务水平</w:t>
            </w:r>
          </w:p>
        </w:tc>
        <w:tc>
          <w:tcPr>
            <w:tcW w:w="1843" w:type="dxa"/>
            <w:shd w:val="clear" w:color="auto" w:fill="auto"/>
            <w:vAlign w:val="center"/>
          </w:tcPr>
          <w:p w14:paraId="2FE7E3F1">
            <w:pPr>
              <w:spacing w:line="584" w:lineRule="exact"/>
              <w:jc w:val="left"/>
              <w:rPr>
                <w:rFonts w:ascii="Times New Roman" w:hAnsi="Times New Roman" w:cs="Times New Roman"/>
              </w:rPr>
            </w:pPr>
            <w:r>
              <w:rPr>
                <w:rFonts w:hint="eastAsia" w:ascii="方正书宋_GBK" w:eastAsia="方正书宋_GBK"/>
              </w:rPr>
              <w:t>≥</w:t>
            </w:r>
            <w:r>
              <w:rPr>
                <w:rFonts w:hint="eastAsia" w:ascii="方正书宋_GBK"/>
              </w:rPr>
              <w:t>95%</w:t>
            </w:r>
          </w:p>
        </w:tc>
        <w:tc>
          <w:tcPr>
            <w:tcW w:w="2155" w:type="dxa"/>
            <w:shd w:val="clear" w:color="auto" w:fill="auto"/>
            <w:vAlign w:val="center"/>
          </w:tcPr>
          <w:p w14:paraId="622CFC0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依设计概算书</w:t>
            </w:r>
          </w:p>
        </w:tc>
      </w:tr>
      <w:tr w14:paraId="633856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7FEE716D">
            <w:pPr>
              <w:spacing w:line="584"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3C58A9D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服务对象满意度指标</w:t>
            </w:r>
          </w:p>
        </w:tc>
        <w:tc>
          <w:tcPr>
            <w:tcW w:w="1985" w:type="dxa"/>
            <w:shd w:val="clear" w:color="auto" w:fill="auto"/>
            <w:vAlign w:val="center"/>
          </w:tcPr>
          <w:p w14:paraId="39BBC348">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服务对象满意度</w:t>
            </w:r>
          </w:p>
        </w:tc>
        <w:tc>
          <w:tcPr>
            <w:tcW w:w="3402" w:type="dxa"/>
            <w:shd w:val="clear" w:color="auto" w:fill="auto"/>
            <w:vAlign w:val="center"/>
          </w:tcPr>
          <w:p w14:paraId="56F5C734">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档案馆部门人员对新馆的满意度</w:t>
            </w:r>
          </w:p>
        </w:tc>
        <w:tc>
          <w:tcPr>
            <w:tcW w:w="1843" w:type="dxa"/>
            <w:shd w:val="clear" w:color="auto" w:fill="auto"/>
            <w:vAlign w:val="center"/>
          </w:tcPr>
          <w:p w14:paraId="5514EA82">
            <w:pPr>
              <w:spacing w:line="584" w:lineRule="exact"/>
              <w:jc w:val="left"/>
              <w:rPr>
                <w:rFonts w:ascii="Times New Roman" w:hAnsi="Times New Roman" w:eastAsia="仿宋_GB2312" w:cs="Times New Roman"/>
              </w:rPr>
            </w:pPr>
            <w:r>
              <w:rPr>
                <w:rFonts w:hint="eastAsia" w:ascii="方正书宋_GBK" w:eastAsia="方正书宋_GBK"/>
              </w:rPr>
              <w:t>≥</w:t>
            </w:r>
            <w:r>
              <w:rPr>
                <w:rFonts w:hint="eastAsia" w:ascii="方正书宋_GBK"/>
              </w:rPr>
              <w:t>90%</w:t>
            </w:r>
          </w:p>
        </w:tc>
        <w:tc>
          <w:tcPr>
            <w:tcW w:w="2155" w:type="dxa"/>
            <w:shd w:val="clear" w:color="auto" w:fill="auto"/>
            <w:vAlign w:val="center"/>
          </w:tcPr>
          <w:p w14:paraId="43C534D3">
            <w:pPr>
              <w:spacing w:line="584" w:lineRule="exact"/>
              <w:jc w:val="left"/>
              <w:rPr>
                <w:rFonts w:ascii="Times New Roman" w:hAnsi="Times New Roman" w:eastAsia="仿宋_GB2312" w:cs="Times New Roman"/>
              </w:rPr>
            </w:pPr>
            <w:r>
              <w:rPr>
                <w:rFonts w:hint="eastAsia" w:ascii="Times New Roman" w:hAnsi="Times New Roman" w:eastAsia="仿宋_GB2312" w:cs="Times New Roman"/>
              </w:rPr>
              <w:t>调查问卷</w:t>
            </w:r>
          </w:p>
        </w:tc>
      </w:tr>
    </w:tbl>
    <w:p w14:paraId="3F1D4CD1">
      <w:pPr>
        <w:autoSpaceDE w:val="0"/>
        <w:autoSpaceDN w:val="0"/>
        <w:adjustRightInd w:val="0"/>
        <w:spacing w:line="584" w:lineRule="exact"/>
        <w:ind w:firstLine="880" w:firstLineChars="200"/>
        <w:jc w:val="left"/>
        <w:rPr>
          <w:rFonts w:ascii="Times New Roman" w:hAnsi="黑体" w:eastAsia="黑体" w:cs="Times New Roman"/>
          <w:color w:val="FF0000"/>
          <w:sz w:val="44"/>
          <w:szCs w:val="44"/>
        </w:rPr>
      </w:pPr>
    </w:p>
    <w:p w14:paraId="29DAF176">
      <w:pPr>
        <w:autoSpaceDE w:val="0"/>
        <w:autoSpaceDN w:val="0"/>
        <w:adjustRightInd w:val="0"/>
        <w:spacing w:line="584" w:lineRule="exact"/>
        <w:ind w:firstLine="880" w:firstLineChars="200"/>
        <w:jc w:val="left"/>
        <w:rPr>
          <w:rFonts w:ascii="Times New Roman" w:hAnsi="黑体" w:eastAsia="黑体" w:cs="Times New Roman"/>
          <w:color w:val="FF0000"/>
          <w:sz w:val="44"/>
          <w:szCs w:val="44"/>
        </w:rPr>
      </w:pPr>
    </w:p>
    <w:p w14:paraId="13201222">
      <w:pPr>
        <w:autoSpaceDE w:val="0"/>
        <w:autoSpaceDN w:val="0"/>
        <w:adjustRightInd w:val="0"/>
        <w:spacing w:line="584" w:lineRule="exact"/>
        <w:ind w:firstLine="880" w:firstLineChars="200"/>
        <w:jc w:val="left"/>
        <w:rPr>
          <w:rFonts w:ascii="Times New Roman" w:hAnsi="黑体" w:eastAsia="黑体" w:cs="Times New Roman"/>
          <w:color w:val="FF0000"/>
          <w:sz w:val="44"/>
          <w:szCs w:val="44"/>
        </w:rPr>
      </w:pPr>
    </w:p>
    <w:p w14:paraId="061CD8B2">
      <w:pPr>
        <w:autoSpaceDE w:val="0"/>
        <w:autoSpaceDN w:val="0"/>
        <w:adjustRightInd w:val="0"/>
        <w:spacing w:line="584" w:lineRule="exact"/>
        <w:ind w:firstLine="880" w:firstLineChars="200"/>
        <w:jc w:val="left"/>
        <w:rPr>
          <w:rFonts w:ascii="Times New Roman" w:hAnsi="黑体" w:eastAsia="黑体" w:cs="Times New Roman"/>
          <w:color w:val="FF0000"/>
          <w:sz w:val="44"/>
          <w:szCs w:val="44"/>
        </w:rPr>
      </w:pPr>
    </w:p>
    <w:p w14:paraId="4BB74B3C">
      <w:pPr>
        <w:autoSpaceDE w:val="0"/>
        <w:autoSpaceDN w:val="0"/>
        <w:adjustRightInd w:val="0"/>
        <w:spacing w:line="584" w:lineRule="exact"/>
        <w:ind w:firstLine="880" w:firstLineChars="200"/>
        <w:jc w:val="left"/>
        <w:rPr>
          <w:rFonts w:ascii="Times New Roman" w:hAnsi="黑体" w:eastAsia="黑体" w:cs="Times New Roman"/>
          <w:color w:val="FF0000"/>
          <w:sz w:val="44"/>
          <w:szCs w:val="44"/>
        </w:rPr>
      </w:pPr>
    </w:p>
    <w:p w14:paraId="35FEB92E">
      <w:pPr>
        <w:autoSpaceDE w:val="0"/>
        <w:autoSpaceDN w:val="0"/>
        <w:adjustRightInd w:val="0"/>
        <w:spacing w:line="584" w:lineRule="exact"/>
        <w:ind w:firstLine="880" w:firstLineChars="200"/>
        <w:jc w:val="left"/>
        <w:rPr>
          <w:rFonts w:ascii="Times New Roman" w:hAnsi="黑体" w:eastAsia="黑体" w:cs="Times New Roman"/>
          <w:color w:val="FF0000"/>
          <w:sz w:val="44"/>
          <w:szCs w:val="44"/>
        </w:rPr>
      </w:pPr>
    </w:p>
    <w:p w14:paraId="0C9AACFB">
      <w:pPr>
        <w:autoSpaceDE w:val="0"/>
        <w:autoSpaceDN w:val="0"/>
        <w:adjustRightInd w:val="0"/>
        <w:spacing w:line="584" w:lineRule="exact"/>
        <w:ind w:firstLine="880" w:firstLineChars="200"/>
        <w:jc w:val="left"/>
        <w:rPr>
          <w:rFonts w:ascii="Times New Roman" w:hAnsi="黑体" w:eastAsia="黑体" w:cs="Times New Roman"/>
          <w:color w:val="FF0000"/>
          <w:sz w:val="44"/>
          <w:szCs w:val="44"/>
        </w:rPr>
      </w:pPr>
    </w:p>
    <w:p w14:paraId="56EA47C2">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六、政府采购预算情况</w:t>
      </w:r>
    </w:p>
    <w:p w14:paraId="33A7D804">
      <w:pPr>
        <w:spacing w:line="584" w:lineRule="exact"/>
        <w:ind w:firstLine="640" w:firstLineChars="200"/>
        <w:outlineLvl w:val="0"/>
        <w:rPr>
          <w:rFonts w:ascii="Times New Roman" w:hAnsi="Times New Roman" w:eastAsia="仿宋_GB2312" w:cs="Times New Roman"/>
          <w:sz w:val="32"/>
          <w:szCs w:val="24"/>
        </w:rPr>
      </w:pPr>
      <w:bookmarkStart w:id="0" w:name="_Toc471398468"/>
      <w:r>
        <w:rPr>
          <w:rFonts w:ascii="Times New Roman" w:hAnsi="Times New Roman" w:eastAsia="仿宋_GB2312" w:cs="Times New Roman"/>
          <w:sz w:val="32"/>
          <w:szCs w:val="24"/>
        </w:rPr>
        <w:t>20</w:t>
      </w:r>
      <w:r>
        <w:rPr>
          <w:rFonts w:hint="eastAsia" w:ascii="Times New Roman" w:hAnsi="Times New Roman" w:eastAsia="仿宋_GB2312" w:cs="Times New Roman"/>
          <w:sz w:val="32"/>
          <w:szCs w:val="24"/>
        </w:rPr>
        <w:t>23</w:t>
      </w:r>
      <w:r>
        <w:rPr>
          <w:rFonts w:ascii="Times New Roman" w:hAnsi="Times New Roman" w:eastAsia="仿宋_GB2312" w:cs="Times New Roman"/>
          <w:sz w:val="32"/>
          <w:szCs w:val="24"/>
        </w:rPr>
        <w:t>年，我</w:t>
      </w:r>
      <w:r>
        <w:rPr>
          <w:rFonts w:hint="eastAsia" w:ascii="Times New Roman" w:hAnsi="Times New Roman" w:eastAsia="仿宋_GB2312" w:cs="Times New Roman"/>
          <w:sz w:val="32"/>
          <w:szCs w:val="24"/>
        </w:rPr>
        <w:t>单位</w:t>
      </w:r>
      <w:r>
        <w:rPr>
          <w:rFonts w:ascii="Times New Roman" w:hAnsi="Times New Roman" w:eastAsia="仿宋_GB2312" w:cs="Times New Roman"/>
          <w:sz w:val="32"/>
          <w:szCs w:val="24"/>
        </w:rPr>
        <w:t>安排政府采购预算</w:t>
      </w:r>
      <w:r>
        <w:rPr>
          <w:rFonts w:hint="eastAsia" w:ascii="Times New Roman" w:hAnsi="Times New Roman" w:eastAsia="仿宋_GB2312" w:cs="Times New Roman"/>
          <w:sz w:val="32"/>
          <w:szCs w:val="24"/>
        </w:rPr>
        <w:t>0</w:t>
      </w:r>
      <w:r>
        <w:rPr>
          <w:rFonts w:ascii="Times New Roman" w:hAnsi="Times New Roman" w:eastAsia="仿宋_GB2312" w:cs="Times New Roman"/>
          <w:sz w:val="32"/>
          <w:szCs w:val="24"/>
        </w:rPr>
        <w:t>万元。具体内容见下表。</w:t>
      </w:r>
    </w:p>
    <w:bookmarkEnd w:id="0"/>
    <w:p w14:paraId="1B657CAC">
      <w:pPr>
        <w:spacing w:line="584" w:lineRule="exact"/>
        <w:jc w:val="center"/>
        <w:outlineLvl w:val="1"/>
        <w:rPr>
          <w:rFonts w:ascii="方正小标宋_GBK" w:eastAsia="方正小标宋_GBK" w:cs="Times New Roman"/>
          <w:sz w:val="32"/>
        </w:rPr>
      </w:pPr>
      <w:bookmarkStart w:id="1" w:name="_Toc64920910"/>
      <w:r>
        <w:rPr>
          <w:rFonts w:hint="eastAsia" w:ascii="方正小标宋_GBK" w:eastAsia="方正小标宋_GBK" w:cs="Times New Roman"/>
          <w:sz w:val="32"/>
        </w:rPr>
        <w:t>单位政府采购预算</w:t>
      </w:r>
      <w:bookmarkEnd w:id="1"/>
    </w:p>
    <w:p w14:paraId="231BD24C">
      <w:pPr>
        <w:spacing w:line="584" w:lineRule="exact"/>
        <w:outlineLvl w:val="1"/>
        <w:rPr>
          <w:rFonts w:ascii="方正小标宋_GBK" w:eastAsia="方正小标宋_GBK" w:cs="Times New Roman"/>
          <w:sz w:val="32"/>
        </w:rPr>
      </w:pPr>
      <w:r>
        <w:t>廊坊市</w:t>
      </w:r>
      <w:r>
        <w:rPr>
          <w:rFonts w:hint="eastAsia"/>
        </w:rPr>
        <w:t>档案馆本级</w:t>
      </w:r>
      <w:r>
        <w:t xml:space="preserve">                                                                                                          单位：万元</w:t>
      </w:r>
    </w:p>
    <w:tbl>
      <w:tblPr>
        <w:tblStyle w:val="8"/>
        <w:tblW w:w="1541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97"/>
        <w:gridCol w:w="964"/>
        <w:gridCol w:w="1134"/>
        <w:gridCol w:w="1134"/>
        <w:gridCol w:w="709"/>
        <w:gridCol w:w="850"/>
        <w:gridCol w:w="850"/>
        <w:gridCol w:w="964"/>
        <w:gridCol w:w="964"/>
        <w:gridCol w:w="964"/>
        <w:gridCol w:w="964"/>
        <w:gridCol w:w="964"/>
        <w:gridCol w:w="964"/>
        <w:gridCol w:w="964"/>
        <w:gridCol w:w="964"/>
        <w:gridCol w:w="964"/>
      </w:tblGrid>
      <w:tr w14:paraId="289919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061" w:type="dxa"/>
            <w:gridSpan w:val="2"/>
            <w:vAlign w:val="center"/>
          </w:tcPr>
          <w:p w14:paraId="72ED5FB7">
            <w:pPr>
              <w:pStyle w:val="16"/>
              <w:spacing w:line="584" w:lineRule="exact"/>
            </w:pPr>
            <w:r>
              <w:t>政府采购项目来源</w:t>
            </w:r>
          </w:p>
        </w:tc>
        <w:tc>
          <w:tcPr>
            <w:tcW w:w="1134" w:type="dxa"/>
            <w:vMerge w:val="restart"/>
            <w:vAlign w:val="center"/>
          </w:tcPr>
          <w:p w14:paraId="0754AD9A">
            <w:pPr>
              <w:pStyle w:val="16"/>
              <w:spacing w:line="584" w:lineRule="exact"/>
            </w:pPr>
            <w:r>
              <w:t>采购物品名称</w:t>
            </w:r>
          </w:p>
        </w:tc>
        <w:tc>
          <w:tcPr>
            <w:tcW w:w="1134" w:type="dxa"/>
            <w:vMerge w:val="restart"/>
            <w:vAlign w:val="center"/>
          </w:tcPr>
          <w:p w14:paraId="6809CE4A">
            <w:pPr>
              <w:pStyle w:val="16"/>
              <w:spacing w:line="584" w:lineRule="exact"/>
            </w:pPr>
            <w:r>
              <w:t>政府采购目录序号</w:t>
            </w:r>
          </w:p>
        </w:tc>
        <w:tc>
          <w:tcPr>
            <w:tcW w:w="709" w:type="dxa"/>
            <w:vMerge w:val="restart"/>
            <w:vAlign w:val="center"/>
          </w:tcPr>
          <w:p w14:paraId="0BFB46A6">
            <w:pPr>
              <w:pStyle w:val="16"/>
              <w:spacing w:line="584" w:lineRule="exact"/>
            </w:pPr>
            <w:r>
              <w:t>计量  单位</w:t>
            </w:r>
          </w:p>
        </w:tc>
        <w:tc>
          <w:tcPr>
            <w:tcW w:w="850" w:type="dxa"/>
            <w:vMerge w:val="restart"/>
            <w:vAlign w:val="center"/>
          </w:tcPr>
          <w:p w14:paraId="74154F04">
            <w:pPr>
              <w:pStyle w:val="16"/>
              <w:spacing w:line="584" w:lineRule="exact"/>
            </w:pPr>
            <w:r>
              <w:t>数量</w:t>
            </w:r>
          </w:p>
        </w:tc>
        <w:tc>
          <w:tcPr>
            <w:tcW w:w="850" w:type="dxa"/>
            <w:vMerge w:val="restart"/>
            <w:vAlign w:val="center"/>
          </w:tcPr>
          <w:p w14:paraId="1137A852">
            <w:pPr>
              <w:pStyle w:val="16"/>
              <w:spacing w:line="584" w:lineRule="exact"/>
            </w:pPr>
            <w:r>
              <w:t>单价</w:t>
            </w:r>
          </w:p>
        </w:tc>
        <w:tc>
          <w:tcPr>
            <w:tcW w:w="7712" w:type="dxa"/>
            <w:gridSpan w:val="8"/>
            <w:vAlign w:val="center"/>
          </w:tcPr>
          <w:p w14:paraId="7283EBA0">
            <w:pPr>
              <w:pStyle w:val="16"/>
              <w:spacing w:line="584" w:lineRule="exact"/>
            </w:pPr>
            <w:r>
              <w:t>政府采购金额（当年部门预算安排资金）</w:t>
            </w:r>
          </w:p>
        </w:tc>
        <w:tc>
          <w:tcPr>
            <w:tcW w:w="964" w:type="dxa"/>
            <w:vMerge w:val="restart"/>
            <w:vAlign w:val="center"/>
          </w:tcPr>
          <w:p w14:paraId="675A2351">
            <w:pPr>
              <w:pStyle w:val="16"/>
              <w:spacing w:line="584" w:lineRule="exact"/>
            </w:pPr>
            <w:r>
              <w:t>202</w:t>
            </w:r>
            <w:r>
              <w:rPr>
                <w:rFonts w:hint="eastAsia" w:eastAsiaTheme="minorEastAsia"/>
                <w:lang w:eastAsia="zh-CN"/>
              </w:rPr>
              <w:t>3</w:t>
            </w:r>
            <w:r>
              <w:t>年  预留中  小微企  业份额</w:t>
            </w:r>
          </w:p>
        </w:tc>
      </w:tr>
      <w:tr w14:paraId="0A2C2D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097" w:type="dxa"/>
            <w:vAlign w:val="center"/>
          </w:tcPr>
          <w:p w14:paraId="385801C9">
            <w:pPr>
              <w:pStyle w:val="16"/>
              <w:spacing w:line="584" w:lineRule="exact"/>
            </w:pPr>
            <w:r>
              <w:t>项目名称</w:t>
            </w:r>
          </w:p>
        </w:tc>
        <w:tc>
          <w:tcPr>
            <w:tcW w:w="964" w:type="dxa"/>
            <w:vAlign w:val="center"/>
          </w:tcPr>
          <w:p w14:paraId="6B26C465">
            <w:pPr>
              <w:pStyle w:val="16"/>
              <w:spacing w:line="584" w:lineRule="exact"/>
            </w:pPr>
            <w:r>
              <w:t>预算    资金</w:t>
            </w:r>
          </w:p>
        </w:tc>
        <w:tc>
          <w:tcPr>
            <w:tcW w:w="1134" w:type="dxa"/>
            <w:vMerge w:val="continue"/>
          </w:tcPr>
          <w:p w14:paraId="032B4666">
            <w:pPr>
              <w:spacing w:line="584" w:lineRule="exact"/>
            </w:pPr>
          </w:p>
        </w:tc>
        <w:tc>
          <w:tcPr>
            <w:tcW w:w="1134" w:type="dxa"/>
            <w:vMerge w:val="continue"/>
          </w:tcPr>
          <w:p w14:paraId="06DAABDA">
            <w:pPr>
              <w:spacing w:line="584" w:lineRule="exact"/>
            </w:pPr>
          </w:p>
        </w:tc>
        <w:tc>
          <w:tcPr>
            <w:tcW w:w="709" w:type="dxa"/>
            <w:vMerge w:val="continue"/>
          </w:tcPr>
          <w:p w14:paraId="0F248E28">
            <w:pPr>
              <w:spacing w:line="584" w:lineRule="exact"/>
            </w:pPr>
          </w:p>
        </w:tc>
        <w:tc>
          <w:tcPr>
            <w:tcW w:w="850" w:type="dxa"/>
            <w:vMerge w:val="continue"/>
          </w:tcPr>
          <w:p w14:paraId="72A9D2B3">
            <w:pPr>
              <w:spacing w:line="584" w:lineRule="exact"/>
            </w:pPr>
          </w:p>
        </w:tc>
        <w:tc>
          <w:tcPr>
            <w:tcW w:w="850" w:type="dxa"/>
            <w:vMerge w:val="continue"/>
          </w:tcPr>
          <w:p w14:paraId="5D0AA647">
            <w:pPr>
              <w:spacing w:line="584" w:lineRule="exact"/>
            </w:pPr>
          </w:p>
        </w:tc>
        <w:tc>
          <w:tcPr>
            <w:tcW w:w="964" w:type="dxa"/>
            <w:vAlign w:val="center"/>
          </w:tcPr>
          <w:p w14:paraId="72BBC879">
            <w:pPr>
              <w:pStyle w:val="16"/>
              <w:spacing w:line="584" w:lineRule="exact"/>
            </w:pPr>
            <w:r>
              <w:t>合计</w:t>
            </w:r>
          </w:p>
        </w:tc>
        <w:tc>
          <w:tcPr>
            <w:tcW w:w="964" w:type="dxa"/>
            <w:vAlign w:val="center"/>
          </w:tcPr>
          <w:p w14:paraId="5F546133">
            <w:pPr>
              <w:pStyle w:val="16"/>
              <w:spacing w:line="584" w:lineRule="exact"/>
            </w:pPr>
            <w:r>
              <w:t>一般公共预算拨款</w:t>
            </w:r>
          </w:p>
        </w:tc>
        <w:tc>
          <w:tcPr>
            <w:tcW w:w="964" w:type="dxa"/>
            <w:vAlign w:val="center"/>
          </w:tcPr>
          <w:p w14:paraId="54121C5B">
            <w:pPr>
              <w:pStyle w:val="16"/>
              <w:spacing w:line="584" w:lineRule="exact"/>
            </w:pPr>
            <w:r>
              <w:t>基金预算拨款</w:t>
            </w:r>
          </w:p>
        </w:tc>
        <w:tc>
          <w:tcPr>
            <w:tcW w:w="964" w:type="dxa"/>
            <w:vAlign w:val="center"/>
          </w:tcPr>
          <w:p w14:paraId="52D91784">
            <w:pPr>
              <w:pStyle w:val="16"/>
              <w:spacing w:line="584" w:lineRule="exact"/>
            </w:pPr>
            <w:r>
              <w:t>国有资本经营预算拨款</w:t>
            </w:r>
          </w:p>
        </w:tc>
        <w:tc>
          <w:tcPr>
            <w:tcW w:w="964" w:type="dxa"/>
            <w:vAlign w:val="center"/>
          </w:tcPr>
          <w:p w14:paraId="27980050">
            <w:pPr>
              <w:pStyle w:val="16"/>
              <w:spacing w:line="584" w:lineRule="exact"/>
            </w:pPr>
            <w:r>
              <w:t>财政专户核拨</w:t>
            </w:r>
          </w:p>
        </w:tc>
        <w:tc>
          <w:tcPr>
            <w:tcW w:w="964" w:type="dxa"/>
            <w:vAlign w:val="center"/>
          </w:tcPr>
          <w:p w14:paraId="5FB70D0E">
            <w:pPr>
              <w:pStyle w:val="16"/>
              <w:spacing w:line="584" w:lineRule="exact"/>
            </w:pPr>
            <w:r>
              <w:t>单位    资金</w:t>
            </w:r>
          </w:p>
        </w:tc>
        <w:tc>
          <w:tcPr>
            <w:tcW w:w="964" w:type="dxa"/>
            <w:vAlign w:val="center"/>
          </w:tcPr>
          <w:p w14:paraId="337CAF9E">
            <w:pPr>
              <w:pStyle w:val="16"/>
              <w:spacing w:line="584" w:lineRule="exact"/>
            </w:pPr>
            <w:r>
              <w:t>财政拨    款结转</w:t>
            </w:r>
          </w:p>
        </w:tc>
        <w:tc>
          <w:tcPr>
            <w:tcW w:w="964" w:type="dxa"/>
            <w:vAlign w:val="center"/>
          </w:tcPr>
          <w:p w14:paraId="40C09D3F">
            <w:pPr>
              <w:pStyle w:val="16"/>
              <w:spacing w:line="584" w:lineRule="exact"/>
            </w:pPr>
            <w:r>
              <w:t>非财政    拨款结    转结余</w:t>
            </w:r>
          </w:p>
        </w:tc>
        <w:tc>
          <w:tcPr>
            <w:tcW w:w="964" w:type="dxa"/>
            <w:vMerge w:val="continue"/>
          </w:tcPr>
          <w:p w14:paraId="159E99EF">
            <w:pPr>
              <w:spacing w:line="584" w:lineRule="exact"/>
            </w:pPr>
          </w:p>
        </w:tc>
      </w:tr>
      <w:tr w14:paraId="017537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14:paraId="621B7515">
            <w:pPr>
              <w:pStyle w:val="20"/>
              <w:spacing w:line="584" w:lineRule="exact"/>
            </w:pPr>
            <w:r>
              <w:t>合  计</w:t>
            </w:r>
          </w:p>
        </w:tc>
        <w:tc>
          <w:tcPr>
            <w:tcW w:w="964" w:type="dxa"/>
            <w:vAlign w:val="center"/>
          </w:tcPr>
          <w:p w14:paraId="6983CAF2">
            <w:pPr>
              <w:pStyle w:val="21"/>
              <w:spacing w:line="584" w:lineRule="exact"/>
            </w:pPr>
          </w:p>
        </w:tc>
        <w:tc>
          <w:tcPr>
            <w:tcW w:w="1134" w:type="dxa"/>
            <w:vAlign w:val="center"/>
          </w:tcPr>
          <w:p w14:paraId="6C7A7128">
            <w:pPr>
              <w:pStyle w:val="22"/>
              <w:spacing w:line="584" w:lineRule="exact"/>
            </w:pPr>
          </w:p>
        </w:tc>
        <w:tc>
          <w:tcPr>
            <w:tcW w:w="1134" w:type="dxa"/>
            <w:vAlign w:val="center"/>
          </w:tcPr>
          <w:p w14:paraId="682645D9">
            <w:pPr>
              <w:pStyle w:val="22"/>
              <w:spacing w:line="584" w:lineRule="exact"/>
            </w:pPr>
          </w:p>
        </w:tc>
        <w:tc>
          <w:tcPr>
            <w:tcW w:w="709" w:type="dxa"/>
            <w:vAlign w:val="center"/>
          </w:tcPr>
          <w:p w14:paraId="77B5FD4B">
            <w:pPr>
              <w:pStyle w:val="20"/>
              <w:spacing w:line="584" w:lineRule="exact"/>
            </w:pPr>
          </w:p>
        </w:tc>
        <w:tc>
          <w:tcPr>
            <w:tcW w:w="850" w:type="dxa"/>
            <w:vAlign w:val="center"/>
          </w:tcPr>
          <w:p w14:paraId="12B814F2">
            <w:pPr>
              <w:pStyle w:val="21"/>
              <w:spacing w:line="584" w:lineRule="exact"/>
            </w:pPr>
          </w:p>
        </w:tc>
        <w:tc>
          <w:tcPr>
            <w:tcW w:w="850" w:type="dxa"/>
            <w:vAlign w:val="center"/>
          </w:tcPr>
          <w:p w14:paraId="082EADB1">
            <w:pPr>
              <w:pStyle w:val="21"/>
              <w:spacing w:line="584" w:lineRule="exact"/>
            </w:pPr>
          </w:p>
        </w:tc>
        <w:tc>
          <w:tcPr>
            <w:tcW w:w="964" w:type="dxa"/>
            <w:vAlign w:val="center"/>
          </w:tcPr>
          <w:p w14:paraId="1CE99A12">
            <w:pPr>
              <w:pStyle w:val="21"/>
              <w:spacing w:line="584" w:lineRule="exact"/>
            </w:pPr>
          </w:p>
        </w:tc>
        <w:tc>
          <w:tcPr>
            <w:tcW w:w="964" w:type="dxa"/>
            <w:vAlign w:val="center"/>
          </w:tcPr>
          <w:p w14:paraId="5D5BEE36">
            <w:pPr>
              <w:pStyle w:val="21"/>
              <w:spacing w:line="584" w:lineRule="exact"/>
            </w:pPr>
          </w:p>
        </w:tc>
        <w:tc>
          <w:tcPr>
            <w:tcW w:w="964" w:type="dxa"/>
            <w:vAlign w:val="center"/>
          </w:tcPr>
          <w:p w14:paraId="61A35F28">
            <w:pPr>
              <w:pStyle w:val="21"/>
              <w:spacing w:line="584" w:lineRule="exact"/>
            </w:pPr>
          </w:p>
        </w:tc>
        <w:tc>
          <w:tcPr>
            <w:tcW w:w="964" w:type="dxa"/>
            <w:vAlign w:val="center"/>
          </w:tcPr>
          <w:p w14:paraId="1A3A5B93">
            <w:pPr>
              <w:pStyle w:val="21"/>
              <w:spacing w:line="584" w:lineRule="exact"/>
            </w:pPr>
          </w:p>
        </w:tc>
        <w:tc>
          <w:tcPr>
            <w:tcW w:w="964" w:type="dxa"/>
            <w:vAlign w:val="center"/>
          </w:tcPr>
          <w:p w14:paraId="78A837F6">
            <w:pPr>
              <w:pStyle w:val="21"/>
              <w:spacing w:line="584" w:lineRule="exact"/>
            </w:pPr>
          </w:p>
        </w:tc>
        <w:tc>
          <w:tcPr>
            <w:tcW w:w="964" w:type="dxa"/>
            <w:vAlign w:val="center"/>
          </w:tcPr>
          <w:p w14:paraId="6EFBF798">
            <w:pPr>
              <w:pStyle w:val="21"/>
              <w:spacing w:line="584" w:lineRule="exact"/>
            </w:pPr>
          </w:p>
        </w:tc>
        <w:tc>
          <w:tcPr>
            <w:tcW w:w="964" w:type="dxa"/>
            <w:vAlign w:val="center"/>
          </w:tcPr>
          <w:p w14:paraId="079BE73C">
            <w:pPr>
              <w:pStyle w:val="21"/>
              <w:spacing w:line="584" w:lineRule="exact"/>
            </w:pPr>
          </w:p>
        </w:tc>
        <w:tc>
          <w:tcPr>
            <w:tcW w:w="964" w:type="dxa"/>
            <w:vAlign w:val="center"/>
          </w:tcPr>
          <w:p w14:paraId="3192AA10">
            <w:pPr>
              <w:pStyle w:val="21"/>
              <w:spacing w:line="584" w:lineRule="exact"/>
            </w:pPr>
          </w:p>
        </w:tc>
        <w:tc>
          <w:tcPr>
            <w:tcW w:w="964" w:type="dxa"/>
            <w:vAlign w:val="center"/>
          </w:tcPr>
          <w:p w14:paraId="610745CD">
            <w:pPr>
              <w:pStyle w:val="21"/>
              <w:spacing w:line="584" w:lineRule="exact"/>
            </w:pPr>
          </w:p>
        </w:tc>
      </w:tr>
      <w:tr w14:paraId="496358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14:paraId="05FA5368">
            <w:pPr>
              <w:pStyle w:val="20"/>
              <w:spacing w:line="584" w:lineRule="exact"/>
            </w:pPr>
          </w:p>
        </w:tc>
        <w:tc>
          <w:tcPr>
            <w:tcW w:w="964" w:type="dxa"/>
            <w:vAlign w:val="center"/>
          </w:tcPr>
          <w:p w14:paraId="19819448">
            <w:pPr>
              <w:pStyle w:val="21"/>
              <w:spacing w:line="584" w:lineRule="exact"/>
            </w:pPr>
          </w:p>
        </w:tc>
        <w:tc>
          <w:tcPr>
            <w:tcW w:w="1134" w:type="dxa"/>
            <w:vAlign w:val="center"/>
          </w:tcPr>
          <w:p w14:paraId="6FD2F4BE">
            <w:pPr>
              <w:pStyle w:val="22"/>
              <w:spacing w:line="584" w:lineRule="exact"/>
            </w:pPr>
          </w:p>
        </w:tc>
        <w:tc>
          <w:tcPr>
            <w:tcW w:w="1134" w:type="dxa"/>
            <w:vAlign w:val="center"/>
          </w:tcPr>
          <w:p w14:paraId="31F3955A">
            <w:pPr>
              <w:pStyle w:val="22"/>
              <w:spacing w:line="584" w:lineRule="exact"/>
            </w:pPr>
          </w:p>
        </w:tc>
        <w:tc>
          <w:tcPr>
            <w:tcW w:w="709" w:type="dxa"/>
            <w:vAlign w:val="center"/>
          </w:tcPr>
          <w:p w14:paraId="2C0C9202">
            <w:pPr>
              <w:pStyle w:val="20"/>
              <w:spacing w:line="584" w:lineRule="exact"/>
            </w:pPr>
          </w:p>
        </w:tc>
        <w:tc>
          <w:tcPr>
            <w:tcW w:w="850" w:type="dxa"/>
            <w:vAlign w:val="center"/>
          </w:tcPr>
          <w:p w14:paraId="290A0DD2">
            <w:pPr>
              <w:pStyle w:val="21"/>
              <w:spacing w:line="584" w:lineRule="exact"/>
            </w:pPr>
          </w:p>
        </w:tc>
        <w:tc>
          <w:tcPr>
            <w:tcW w:w="850" w:type="dxa"/>
            <w:vAlign w:val="center"/>
          </w:tcPr>
          <w:p w14:paraId="258A58AB">
            <w:pPr>
              <w:pStyle w:val="21"/>
              <w:spacing w:line="584" w:lineRule="exact"/>
            </w:pPr>
          </w:p>
        </w:tc>
        <w:tc>
          <w:tcPr>
            <w:tcW w:w="964" w:type="dxa"/>
            <w:vAlign w:val="center"/>
          </w:tcPr>
          <w:p w14:paraId="6DEAAA5F">
            <w:pPr>
              <w:pStyle w:val="21"/>
              <w:spacing w:line="584" w:lineRule="exact"/>
            </w:pPr>
          </w:p>
        </w:tc>
        <w:tc>
          <w:tcPr>
            <w:tcW w:w="964" w:type="dxa"/>
            <w:vAlign w:val="center"/>
          </w:tcPr>
          <w:p w14:paraId="751B613D">
            <w:pPr>
              <w:pStyle w:val="21"/>
              <w:spacing w:line="584" w:lineRule="exact"/>
            </w:pPr>
          </w:p>
        </w:tc>
        <w:tc>
          <w:tcPr>
            <w:tcW w:w="964" w:type="dxa"/>
            <w:vAlign w:val="center"/>
          </w:tcPr>
          <w:p w14:paraId="1AD7BFDA">
            <w:pPr>
              <w:pStyle w:val="21"/>
              <w:spacing w:line="584" w:lineRule="exact"/>
            </w:pPr>
          </w:p>
        </w:tc>
        <w:tc>
          <w:tcPr>
            <w:tcW w:w="964" w:type="dxa"/>
            <w:vAlign w:val="center"/>
          </w:tcPr>
          <w:p w14:paraId="409F5322">
            <w:pPr>
              <w:pStyle w:val="21"/>
              <w:spacing w:line="584" w:lineRule="exact"/>
            </w:pPr>
          </w:p>
        </w:tc>
        <w:tc>
          <w:tcPr>
            <w:tcW w:w="964" w:type="dxa"/>
            <w:vAlign w:val="center"/>
          </w:tcPr>
          <w:p w14:paraId="3E0D8EE9">
            <w:pPr>
              <w:pStyle w:val="21"/>
              <w:spacing w:line="584" w:lineRule="exact"/>
            </w:pPr>
          </w:p>
        </w:tc>
        <w:tc>
          <w:tcPr>
            <w:tcW w:w="964" w:type="dxa"/>
            <w:vAlign w:val="center"/>
          </w:tcPr>
          <w:p w14:paraId="16CCCCAD">
            <w:pPr>
              <w:pStyle w:val="21"/>
              <w:spacing w:line="584" w:lineRule="exact"/>
            </w:pPr>
          </w:p>
        </w:tc>
        <w:tc>
          <w:tcPr>
            <w:tcW w:w="964" w:type="dxa"/>
            <w:vAlign w:val="center"/>
          </w:tcPr>
          <w:p w14:paraId="709683FC">
            <w:pPr>
              <w:pStyle w:val="21"/>
              <w:spacing w:line="584" w:lineRule="exact"/>
            </w:pPr>
          </w:p>
        </w:tc>
        <w:tc>
          <w:tcPr>
            <w:tcW w:w="964" w:type="dxa"/>
            <w:vAlign w:val="center"/>
          </w:tcPr>
          <w:p w14:paraId="0871128A">
            <w:pPr>
              <w:pStyle w:val="21"/>
              <w:spacing w:line="584" w:lineRule="exact"/>
            </w:pPr>
          </w:p>
        </w:tc>
        <w:tc>
          <w:tcPr>
            <w:tcW w:w="964" w:type="dxa"/>
            <w:vAlign w:val="center"/>
          </w:tcPr>
          <w:p w14:paraId="6905019D">
            <w:pPr>
              <w:pStyle w:val="21"/>
              <w:spacing w:line="584" w:lineRule="exact"/>
            </w:pPr>
          </w:p>
        </w:tc>
      </w:tr>
      <w:tr w14:paraId="49E070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97" w:type="dxa"/>
            <w:vAlign w:val="center"/>
          </w:tcPr>
          <w:p w14:paraId="1E35C8F0">
            <w:pPr>
              <w:pStyle w:val="18"/>
              <w:spacing w:line="584" w:lineRule="exact"/>
            </w:pPr>
          </w:p>
        </w:tc>
        <w:tc>
          <w:tcPr>
            <w:tcW w:w="964" w:type="dxa"/>
            <w:vAlign w:val="center"/>
          </w:tcPr>
          <w:p w14:paraId="0309F7EC">
            <w:pPr>
              <w:pStyle w:val="17"/>
              <w:spacing w:line="584" w:lineRule="exact"/>
            </w:pPr>
          </w:p>
        </w:tc>
        <w:tc>
          <w:tcPr>
            <w:tcW w:w="1134" w:type="dxa"/>
            <w:vAlign w:val="center"/>
          </w:tcPr>
          <w:p w14:paraId="319C0F28">
            <w:pPr>
              <w:pStyle w:val="18"/>
              <w:spacing w:line="584" w:lineRule="exact"/>
            </w:pPr>
          </w:p>
        </w:tc>
        <w:tc>
          <w:tcPr>
            <w:tcW w:w="1134" w:type="dxa"/>
            <w:vAlign w:val="center"/>
          </w:tcPr>
          <w:p w14:paraId="5EEFCF37">
            <w:pPr>
              <w:pStyle w:val="18"/>
              <w:spacing w:line="584" w:lineRule="exact"/>
            </w:pPr>
          </w:p>
        </w:tc>
        <w:tc>
          <w:tcPr>
            <w:tcW w:w="709" w:type="dxa"/>
            <w:vAlign w:val="center"/>
          </w:tcPr>
          <w:p w14:paraId="007547A2">
            <w:pPr>
              <w:pStyle w:val="19"/>
              <w:spacing w:line="584" w:lineRule="exact"/>
            </w:pPr>
          </w:p>
        </w:tc>
        <w:tc>
          <w:tcPr>
            <w:tcW w:w="850" w:type="dxa"/>
            <w:vAlign w:val="center"/>
          </w:tcPr>
          <w:p w14:paraId="10211285">
            <w:pPr>
              <w:pStyle w:val="17"/>
              <w:spacing w:line="584" w:lineRule="exact"/>
            </w:pPr>
          </w:p>
        </w:tc>
        <w:tc>
          <w:tcPr>
            <w:tcW w:w="850" w:type="dxa"/>
            <w:vAlign w:val="center"/>
          </w:tcPr>
          <w:p w14:paraId="31D56FB7">
            <w:pPr>
              <w:pStyle w:val="17"/>
              <w:spacing w:line="584" w:lineRule="exact"/>
            </w:pPr>
          </w:p>
        </w:tc>
        <w:tc>
          <w:tcPr>
            <w:tcW w:w="964" w:type="dxa"/>
            <w:vAlign w:val="center"/>
          </w:tcPr>
          <w:p w14:paraId="761A0759">
            <w:pPr>
              <w:pStyle w:val="17"/>
              <w:spacing w:line="584" w:lineRule="exact"/>
            </w:pPr>
          </w:p>
        </w:tc>
        <w:tc>
          <w:tcPr>
            <w:tcW w:w="964" w:type="dxa"/>
            <w:vAlign w:val="center"/>
          </w:tcPr>
          <w:p w14:paraId="69F5BFDE">
            <w:pPr>
              <w:pStyle w:val="17"/>
              <w:spacing w:line="584" w:lineRule="exact"/>
            </w:pPr>
          </w:p>
        </w:tc>
        <w:tc>
          <w:tcPr>
            <w:tcW w:w="964" w:type="dxa"/>
            <w:vAlign w:val="center"/>
          </w:tcPr>
          <w:p w14:paraId="5D677FD1">
            <w:pPr>
              <w:pStyle w:val="17"/>
              <w:spacing w:line="584" w:lineRule="exact"/>
            </w:pPr>
          </w:p>
        </w:tc>
        <w:tc>
          <w:tcPr>
            <w:tcW w:w="964" w:type="dxa"/>
            <w:vAlign w:val="center"/>
          </w:tcPr>
          <w:p w14:paraId="73E10BBA">
            <w:pPr>
              <w:pStyle w:val="17"/>
              <w:spacing w:line="584" w:lineRule="exact"/>
            </w:pPr>
          </w:p>
        </w:tc>
        <w:tc>
          <w:tcPr>
            <w:tcW w:w="964" w:type="dxa"/>
            <w:vAlign w:val="center"/>
          </w:tcPr>
          <w:p w14:paraId="594C29E6">
            <w:pPr>
              <w:pStyle w:val="17"/>
              <w:spacing w:line="584" w:lineRule="exact"/>
            </w:pPr>
          </w:p>
        </w:tc>
        <w:tc>
          <w:tcPr>
            <w:tcW w:w="964" w:type="dxa"/>
            <w:vAlign w:val="center"/>
          </w:tcPr>
          <w:p w14:paraId="72C073C5">
            <w:pPr>
              <w:pStyle w:val="17"/>
              <w:spacing w:line="584" w:lineRule="exact"/>
            </w:pPr>
          </w:p>
        </w:tc>
        <w:tc>
          <w:tcPr>
            <w:tcW w:w="964" w:type="dxa"/>
            <w:vAlign w:val="center"/>
          </w:tcPr>
          <w:p w14:paraId="5A59C23C">
            <w:pPr>
              <w:pStyle w:val="17"/>
              <w:spacing w:line="584" w:lineRule="exact"/>
            </w:pPr>
          </w:p>
        </w:tc>
        <w:tc>
          <w:tcPr>
            <w:tcW w:w="964" w:type="dxa"/>
            <w:vAlign w:val="center"/>
          </w:tcPr>
          <w:p w14:paraId="3110A308">
            <w:pPr>
              <w:pStyle w:val="17"/>
              <w:spacing w:line="584" w:lineRule="exact"/>
            </w:pPr>
          </w:p>
        </w:tc>
        <w:tc>
          <w:tcPr>
            <w:tcW w:w="964" w:type="dxa"/>
            <w:vAlign w:val="center"/>
          </w:tcPr>
          <w:p w14:paraId="7F81B3EC">
            <w:pPr>
              <w:pStyle w:val="17"/>
              <w:spacing w:line="584" w:lineRule="exact"/>
            </w:pPr>
          </w:p>
        </w:tc>
      </w:tr>
    </w:tbl>
    <w:p w14:paraId="40233BAA">
      <w:pPr>
        <w:spacing w:line="584" w:lineRule="exact"/>
        <w:ind w:firstLine="420"/>
        <w:rPr>
          <w:rFonts w:ascii="方正仿宋_GBK" w:hAnsi="方正仿宋_GBK" w:eastAsia="方正仿宋_GBK" w:cs="方正仿宋_GBK"/>
          <w:color w:val="000000"/>
        </w:rPr>
      </w:pPr>
      <w:r>
        <w:rPr>
          <w:rFonts w:ascii="方正仿宋_GBK" w:hAnsi="方正仿宋_GBK" w:eastAsia="方正仿宋_GBK" w:cs="方正仿宋_GBK"/>
          <w:color w:val="000000"/>
        </w:rPr>
        <w:t>注：同一采购目录序号的物品，其单价会因配置规格不同而变动，均符合资产配置标准。涉密采购事项按照相关规定执行。</w:t>
      </w:r>
      <w:r>
        <w:rPr>
          <w:rFonts w:hint="eastAsia" w:ascii="方正仿宋_GBK" w:hAnsi="方正仿宋_GBK" w:eastAsia="方正仿宋_GBK" w:cs="方正仿宋_GBK"/>
          <w:color w:val="000000"/>
        </w:rPr>
        <w:t>无单位政府采购预算，空表列示。</w:t>
      </w:r>
    </w:p>
    <w:p w14:paraId="146E5E12">
      <w:pPr>
        <w:spacing w:line="584" w:lineRule="exact"/>
        <w:ind w:firstLine="420"/>
        <w:rPr>
          <w:rFonts w:ascii="Times New Roman" w:hAnsi="Times New Roman" w:eastAsia="黑体" w:cs="Times New Roman"/>
          <w:sz w:val="32"/>
          <w:szCs w:val="32"/>
        </w:rPr>
      </w:pPr>
      <w:r>
        <w:rPr>
          <w:rFonts w:ascii="Times New Roman" w:hAnsi="黑体" w:eastAsia="黑体" w:cs="Times New Roman"/>
          <w:sz w:val="32"/>
          <w:szCs w:val="32"/>
        </w:rPr>
        <w:t>七、国有资产信息</w:t>
      </w:r>
    </w:p>
    <w:p w14:paraId="2182A49B">
      <w:pPr>
        <w:spacing w:line="584" w:lineRule="exact"/>
        <w:ind w:firstLine="640"/>
        <w:rPr>
          <w:rFonts w:ascii="Times New Roman" w:hAnsi="Times New Roman" w:eastAsia="仿宋_GB2312" w:cs="Times New Roman"/>
          <w:sz w:val="32"/>
          <w:szCs w:val="32"/>
        </w:rPr>
      </w:pPr>
      <w:r>
        <w:rPr>
          <w:rFonts w:ascii="Times New Roman" w:hAnsi="Times New Roman" w:eastAsia="仿宋_GB2312" w:cs="Times New Roman"/>
          <w:sz w:val="32"/>
          <w:szCs w:val="32"/>
        </w:rPr>
        <w:t>廊坊市</w:t>
      </w:r>
      <w:r>
        <w:rPr>
          <w:rFonts w:hint="eastAsia" w:ascii="Times New Roman" w:hAnsi="Times New Roman" w:eastAsia="仿宋_GB2312" w:cs="Times New Roman"/>
          <w:sz w:val="32"/>
          <w:szCs w:val="32"/>
        </w:rPr>
        <w:t>档案馆本级</w:t>
      </w:r>
      <w:r>
        <w:rPr>
          <w:rFonts w:ascii="Times New Roman" w:hAnsi="Times New Roman" w:eastAsia="仿宋_GB2312" w:cs="Times New Roman"/>
          <w:sz w:val="32"/>
          <w:szCs w:val="32"/>
        </w:rPr>
        <w:t>上年末固定资产金额为</w:t>
      </w:r>
      <w:r>
        <w:rPr>
          <w:rFonts w:hint="eastAsia" w:ascii="Times New Roman" w:hAnsi="Times New Roman" w:eastAsia="仿宋_GB2312" w:cs="Times New Roman"/>
          <w:sz w:val="32"/>
          <w:szCs w:val="32"/>
        </w:rPr>
        <w:t>229.52</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（详见下表）</w:t>
      </w:r>
      <w:r>
        <w:rPr>
          <w:rFonts w:ascii="Times New Roman" w:hAnsi="Times New Roman" w:eastAsia="仿宋_GB2312" w:cs="Times New Roman"/>
          <w:sz w:val="32"/>
          <w:szCs w:val="32"/>
        </w:rPr>
        <w:t>，本年度我</w:t>
      </w:r>
      <w:r>
        <w:rPr>
          <w:rFonts w:hint="eastAsia" w:ascii="Times New Roman" w:hAnsi="Times New Roman" w:eastAsia="仿宋_GB2312" w:cs="Times New Roman"/>
          <w:sz w:val="32"/>
          <w:szCs w:val="32"/>
        </w:rPr>
        <w:t>馆</w:t>
      </w:r>
      <w:r>
        <w:rPr>
          <w:rFonts w:ascii="Times New Roman" w:hAnsi="Times New Roman" w:eastAsia="仿宋_GB2312" w:cs="Times New Roman"/>
          <w:sz w:val="32"/>
          <w:szCs w:val="32"/>
        </w:rPr>
        <w:t>拟购置固定资产</w:t>
      </w:r>
      <w:r>
        <w:rPr>
          <w:rFonts w:hint="eastAsia" w:ascii="Times New Roman" w:hAnsi="Times New Roman" w:eastAsia="仿宋_GB2312" w:cs="Times New Roman"/>
          <w:sz w:val="32"/>
          <w:szCs w:val="32"/>
        </w:rPr>
        <w:t>总额为0万元</w:t>
      </w:r>
      <w:r>
        <w:rPr>
          <w:rFonts w:ascii="Times New Roman" w:hAnsi="Times New Roman" w:eastAsia="仿宋_GB2312" w:cs="Times New Roman"/>
          <w:sz w:val="32"/>
          <w:szCs w:val="32"/>
        </w:rPr>
        <w:t>。</w:t>
      </w:r>
    </w:p>
    <w:p w14:paraId="770BF8BD">
      <w:pPr>
        <w:spacing w:line="584" w:lineRule="exact"/>
        <w:ind w:firstLine="640"/>
        <w:rPr>
          <w:rFonts w:ascii="Times New Roman" w:hAnsi="Times New Roman" w:eastAsia="仿宋_GB2312" w:cs="Times New Roman"/>
          <w:sz w:val="32"/>
          <w:szCs w:val="32"/>
        </w:rPr>
      </w:pPr>
    </w:p>
    <w:tbl>
      <w:tblPr>
        <w:tblStyle w:val="8"/>
        <w:tblW w:w="13325" w:type="dxa"/>
        <w:tblInd w:w="93" w:type="dxa"/>
        <w:tblLayout w:type="autofit"/>
        <w:tblCellMar>
          <w:top w:w="0" w:type="dxa"/>
          <w:left w:w="108" w:type="dxa"/>
          <w:bottom w:w="0" w:type="dxa"/>
          <w:right w:w="108" w:type="dxa"/>
        </w:tblCellMar>
      </w:tblPr>
      <w:tblGrid>
        <w:gridCol w:w="5224"/>
        <w:gridCol w:w="3155"/>
        <w:gridCol w:w="5103"/>
      </w:tblGrid>
      <w:tr w14:paraId="13306E55">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14:paraId="33BDD80A">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w:t>
            </w:r>
            <w:r>
              <w:rPr>
                <w:rFonts w:hint="eastAsia" w:ascii="Times New Roman" w:hAnsi="Times New Roman" w:eastAsia="仿宋_GB2312" w:cs="Times New Roman"/>
                <w:b/>
                <w:bCs/>
                <w:kern w:val="0"/>
                <w:sz w:val="32"/>
                <w:szCs w:val="32"/>
              </w:rPr>
              <w:t>市直单位</w:t>
            </w:r>
            <w:r>
              <w:rPr>
                <w:rFonts w:ascii="Times New Roman" w:hAnsi="Times New Roman" w:eastAsia="仿宋_GB2312" w:cs="Times New Roman"/>
                <w:b/>
                <w:bCs/>
                <w:kern w:val="0"/>
                <w:sz w:val="32"/>
                <w:szCs w:val="32"/>
              </w:rPr>
              <w:t>固定资产占用情况表</w:t>
            </w:r>
          </w:p>
        </w:tc>
      </w:tr>
      <w:tr w14:paraId="358BEEB8">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14:paraId="78040120">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编制</w:t>
            </w:r>
            <w:r>
              <w:rPr>
                <w:rFonts w:hint="eastAsia" w:ascii="Times New Roman" w:hAnsi="Times New Roman" w:eastAsia="仿宋_GB2312" w:cs="Times New Roman"/>
                <w:kern w:val="0"/>
                <w:sz w:val="22"/>
              </w:rPr>
              <w:t>单位</w:t>
            </w:r>
            <w:r>
              <w:rPr>
                <w:rFonts w:ascii="Times New Roman" w:hAnsi="Times New Roman" w:eastAsia="仿宋_GB2312" w:cs="Times New Roman"/>
                <w:kern w:val="0"/>
                <w:sz w:val="22"/>
              </w:rPr>
              <w:t>：廊坊市</w:t>
            </w:r>
            <w:r>
              <w:rPr>
                <w:rFonts w:hint="eastAsia" w:ascii="Times New Roman" w:hAnsi="Times New Roman" w:eastAsia="仿宋_GB2312" w:cs="Times New Roman"/>
                <w:kern w:val="0"/>
                <w:sz w:val="22"/>
              </w:rPr>
              <w:t>档案馆本级</w:t>
            </w:r>
          </w:p>
        </w:tc>
        <w:tc>
          <w:tcPr>
            <w:tcW w:w="5103" w:type="dxa"/>
            <w:tcBorders>
              <w:top w:val="nil"/>
              <w:left w:val="nil"/>
              <w:bottom w:val="nil"/>
              <w:right w:val="nil"/>
            </w:tcBorders>
            <w:shd w:val="clear" w:color="auto" w:fill="auto"/>
            <w:noWrap/>
            <w:vAlign w:val="center"/>
          </w:tcPr>
          <w:p w14:paraId="3441624A">
            <w:pPr>
              <w:widowControl/>
              <w:spacing w:line="584" w:lineRule="exact"/>
              <w:ind w:firstLine="1540" w:firstLineChars="700"/>
              <w:jc w:val="left"/>
              <w:rPr>
                <w:rFonts w:ascii="Times New Roman" w:hAnsi="Times New Roman" w:eastAsia="仿宋_GB2312" w:cs="Times New Roman"/>
                <w:kern w:val="0"/>
                <w:sz w:val="22"/>
              </w:rPr>
            </w:pPr>
            <w:r>
              <w:rPr>
                <w:rFonts w:ascii="Times New Roman" w:hAnsi="Times New Roman" w:eastAsia="仿宋_GB2312" w:cs="Times New Roman"/>
                <w:kern w:val="0"/>
                <w:sz w:val="22"/>
              </w:rPr>
              <w:t>截止时间：20</w:t>
            </w:r>
            <w:r>
              <w:rPr>
                <w:rFonts w:hint="eastAsia" w:ascii="Times New Roman" w:hAnsi="Times New Roman" w:eastAsia="仿宋_GB2312" w:cs="Times New Roman"/>
                <w:kern w:val="0"/>
                <w:sz w:val="22"/>
              </w:rPr>
              <w:t>22</w:t>
            </w:r>
            <w:r>
              <w:rPr>
                <w:rFonts w:ascii="Times New Roman" w:hAnsi="Times New Roman" w:eastAsia="仿宋_GB2312" w:cs="Times New Roman"/>
                <w:kern w:val="0"/>
                <w:sz w:val="22"/>
              </w:rPr>
              <w:t>年12月31日</w:t>
            </w:r>
          </w:p>
        </w:tc>
      </w:tr>
      <w:tr w14:paraId="1ABBFB01">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7B7933">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4495B356">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721C3D33">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14:paraId="0C7D5F05">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459CE708">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14:paraId="2BD8DD51">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14:paraId="0767ADC4">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229.52</w:t>
            </w:r>
          </w:p>
        </w:tc>
      </w:tr>
      <w:tr w14:paraId="5CB20647">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28A3359A">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3D249314">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598A6803">
            <w:pPr>
              <w:spacing w:line="584" w:lineRule="exact"/>
              <w:jc w:val="center"/>
              <w:rPr>
                <w:rFonts w:ascii="Times New Roman" w:hAnsi="Times New Roman" w:eastAsia="仿宋_GB2312" w:cs="Times New Roman"/>
                <w:sz w:val="22"/>
              </w:rPr>
            </w:pPr>
          </w:p>
        </w:tc>
      </w:tr>
      <w:tr w14:paraId="64F0C941">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7F9098DF">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2764630E">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0EAB6307">
            <w:pPr>
              <w:spacing w:line="584" w:lineRule="exact"/>
              <w:jc w:val="center"/>
              <w:rPr>
                <w:rFonts w:ascii="Times New Roman" w:hAnsi="Times New Roman" w:eastAsia="仿宋_GB2312" w:cs="Times New Roman"/>
                <w:sz w:val="22"/>
              </w:rPr>
            </w:pPr>
          </w:p>
        </w:tc>
      </w:tr>
      <w:tr w14:paraId="6D41449B">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5855D896">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4DC47F9B">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w:t>
            </w:r>
          </w:p>
        </w:tc>
        <w:tc>
          <w:tcPr>
            <w:tcW w:w="5103" w:type="dxa"/>
            <w:tcBorders>
              <w:top w:val="nil"/>
              <w:left w:val="nil"/>
              <w:bottom w:val="single" w:color="auto" w:sz="4" w:space="0"/>
              <w:right w:val="single" w:color="auto" w:sz="4" w:space="0"/>
            </w:tcBorders>
            <w:shd w:val="clear" w:color="auto" w:fill="auto"/>
            <w:noWrap/>
            <w:vAlign w:val="center"/>
          </w:tcPr>
          <w:p w14:paraId="6BCB5F13">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18.51</w:t>
            </w:r>
          </w:p>
        </w:tc>
      </w:tr>
      <w:tr w14:paraId="2CC9CDA5">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624B90B1">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57D5E990">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6B6FDF76">
            <w:pPr>
              <w:spacing w:line="584" w:lineRule="exact"/>
              <w:jc w:val="center"/>
              <w:rPr>
                <w:rFonts w:ascii="Times New Roman" w:hAnsi="Times New Roman" w:eastAsia="仿宋_GB2312" w:cs="Times New Roman"/>
                <w:sz w:val="22"/>
              </w:rPr>
            </w:pPr>
          </w:p>
        </w:tc>
      </w:tr>
      <w:tr w14:paraId="24E5B84E">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1025D418">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77827B42">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414E385B">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rPr>
              <w:t>211.01</w:t>
            </w:r>
          </w:p>
        </w:tc>
      </w:tr>
    </w:tbl>
    <w:p w14:paraId="6AF9939E">
      <w:pPr>
        <w:autoSpaceDE w:val="0"/>
        <w:autoSpaceDN w:val="0"/>
        <w:adjustRightInd w:val="0"/>
        <w:spacing w:line="584" w:lineRule="exact"/>
        <w:ind w:firstLine="640" w:firstLineChars="200"/>
        <w:jc w:val="left"/>
        <w:rPr>
          <w:rFonts w:ascii="Times New Roman" w:hAnsi="黑体" w:eastAsia="黑体" w:cs="Times New Roman"/>
          <w:sz w:val="32"/>
          <w:szCs w:val="32"/>
        </w:rPr>
      </w:pPr>
    </w:p>
    <w:p w14:paraId="766D768A">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八、名词解释</w:t>
      </w:r>
    </w:p>
    <w:p w14:paraId="5B08A680">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w:t>
      </w:r>
      <w:r>
        <w:rPr>
          <w:rFonts w:hint="eastAsia" w:ascii="Times New Roman" w:hAnsi="Times New Roman" w:eastAsia="仿宋_GB2312" w:cs="Times New Roman"/>
          <w:sz w:val="32"/>
          <w:szCs w:val="32"/>
        </w:rPr>
        <w:t>市</w:t>
      </w:r>
      <w:r>
        <w:rPr>
          <w:rFonts w:ascii="Times New Roman" w:hAnsi="Times New Roman" w:eastAsia="仿宋_GB2312" w:cs="Times New Roman"/>
          <w:sz w:val="32"/>
          <w:szCs w:val="32"/>
        </w:rPr>
        <w:t>级财政当年拨付的资金。</w:t>
      </w:r>
    </w:p>
    <w:p w14:paraId="0238B0F0">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14:paraId="110338A9">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14:paraId="0E183F21">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14:paraId="70816B5F">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14:paraId="7DC6AAC9">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14:paraId="362C6BF7">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w:t>
      </w:r>
      <w:r>
        <w:rPr>
          <w:rFonts w:hint="eastAsia" w:ascii="Times New Roman" w:hAnsi="Times New Roman" w:eastAsia="仿宋_GB2312" w:cs="Times New Roman"/>
          <w:sz w:val="32"/>
          <w:szCs w:val="32"/>
        </w:rPr>
        <w:t>市</w:t>
      </w:r>
      <w:r>
        <w:rPr>
          <w:rFonts w:ascii="Times New Roman" w:hAnsi="Times New Roman" w:eastAsia="仿宋_GB2312" w:cs="Times New Roman"/>
          <w:sz w:val="32"/>
          <w:szCs w:val="32"/>
        </w:rPr>
        <w:t>级财政预算管理的“三公”经费，是指</w:t>
      </w:r>
      <w:r>
        <w:rPr>
          <w:rFonts w:hint="eastAsia" w:ascii="Times New Roman" w:hAnsi="Times New Roman" w:eastAsia="仿宋_GB2312" w:cs="Times New Roman"/>
          <w:sz w:val="32"/>
          <w:szCs w:val="32"/>
        </w:rPr>
        <w:t>市</w:t>
      </w:r>
      <w:r>
        <w:rPr>
          <w:rFonts w:ascii="Times New Roman" w:hAnsi="Times New Roman" w:eastAsia="仿宋_GB2312" w:cs="Times New Roman"/>
          <w:sz w:val="32"/>
          <w:szCs w:val="32"/>
        </w:rPr>
        <w:t>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38822DA9">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8F0F7E5">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14:paraId="52AABB65">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14:paraId="392C3DD0">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黑体" w:eastAsia="黑体" w:cs="Times New Roman"/>
          <w:sz w:val="32"/>
          <w:szCs w:val="32"/>
        </w:rPr>
        <w:t>九、其他需要说明的事项</w:t>
      </w:r>
    </w:p>
    <w:p w14:paraId="189F8AB7">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w:t>
      </w:r>
      <w:r>
        <w:rPr>
          <w:rFonts w:hint="eastAsia" w:ascii="Times New Roman" w:hAnsi="Times New Roman" w:eastAsia="仿宋_GB2312" w:cs="Times New Roman"/>
          <w:sz w:val="32"/>
          <w:szCs w:val="32"/>
        </w:rPr>
        <w:t>单位</w:t>
      </w:r>
      <w:r>
        <w:rPr>
          <w:rFonts w:ascii="Times New Roman" w:hAnsi="Times New Roman" w:eastAsia="仿宋_GB2312" w:cs="Times New Roman"/>
          <w:sz w:val="32"/>
          <w:szCs w:val="32"/>
        </w:rPr>
        <w:t>无其他需要说明的事项。</w:t>
      </w:r>
    </w:p>
    <w:p w14:paraId="6A1779DB">
      <w:pPr>
        <w:spacing w:line="584" w:lineRule="exact"/>
        <w:ind w:firstLine="640" w:firstLineChars="200"/>
        <w:rPr>
          <w:rFonts w:ascii="Times New Roman" w:hAnsi="Times New Roman" w:eastAsia="仿宋_GB2312" w:cs="Times New Roman"/>
          <w:sz w:val="32"/>
          <w:szCs w:val="32"/>
        </w:rPr>
      </w:pPr>
    </w:p>
    <w:p w14:paraId="49BFB29F">
      <w:pPr>
        <w:spacing w:line="584" w:lineRule="exact"/>
        <w:rPr>
          <w:rFonts w:ascii="Times New Roman" w:hAnsi="Times New Roman" w:eastAsia="仿宋_GB2312" w:cs="Times New Roman"/>
          <w:sz w:val="32"/>
          <w:szCs w:val="32"/>
        </w:rPr>
      </w:pPr>
    </w:p>
    <w:sectPr>
      <w:footerReference r:id="rId3" w:type="default"/>
      <w:pgSz w:w="16838" w:h="11906" w:orient="landscape"/>
      <w:pgMar w:top="1800" w:right="1440" w:bottom="1800" w:left="144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altName w:val="微软雅黑"/>
    <w:panose1 w:val="00000000000000000000"/>
    <w:charset w:val="86"/>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方正小标宋简体">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方正小标宋_GBK">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4C539D17">
    <w:panose1 w:val="020B0503020204020204"/>
    <w:charset w:val="86"/>
    <w:family w:val="auto"/>
    <w:pitch w:val="default"/>
    <w:sig w:usb0="00000001" w:usb1="00000000" w:usb2="00000000" w:usb3="00000000" w:csb0="00040001" w:csb1="00000000"/>
  </w:font>
  <w:font w:name="KSOF4E0875B6">
    <w:panose1 w:val="020B07030202040202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73297"/>
      <w:docPartObj>
        <w:docPartGallery w:val="AutoText"/>
      </w:docPartObj>
    </w:sdtPr>
    <w:sdtContent>
      <w:p w14:paraId="592BE93F">
        <w:pPr>
          <w:pStyle w:val="3"/>
          <w:jc w:val="center"/>
        </w:pPr>
        <w:r>
          <w:fldChar w:fldCharType="begin"/>
        </w:r>
        <w:r>
          <w:instrText xml:space="preserve"> PAGE   \* MERGEFORMAT </w:instrText>
        </w:r>
        <w:r>
          <w:fldChar w:fldCharType="separate"/>
        </w:r>
        <w:r>
          <w:rPr>
            <w:lang w:val="zh-CN"/>
          </w:rPr>
          <w:t>13</w:t>
        </w:r>
        <w:r>
          <w:rPr>
            <w:lang w:val="zh-CN"/>
          </w:rPr>
          <w:fldChar w:fldCharType="end"/>
        </w:r>
      </w:p>
    </w:sdtContent>
  </w:sdt>
  <w:p w14:paraId="1DE9084C">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A02C0E"/>
    <w:multiLevelType w:val="multilevel"/>
    <w:tmpl w:val="72A02C0E"/>
    <w:lvl w:ilvl="0" w:tentative="0">
      <w:start w:val="1"/>
      <w:numFmt w:val="japaneseCounting"/>
      <w:lvlText w:val="（%1）"/>
      <w:lvlJc w:val="left"/>
      <w:pPr>
        <w:ind w:left="1740" w:hanging="1080"/>
      </w:pPr>
      <w:rPr>
        <w:rFonts w:hint="default"/>
      </w:rPr>
    </w:lvl>
    <w:lvl w:ilvl="1" w:tentative="0">
      <w:start w:val="1"/>
      <w:numFmt w:val="lowerLetter"/>
      <w:lvlText w:val="%2)"/>
      <w:lvlJc w:val="left"/>
      <w:pPr>
        <w:ind w:left="1500" w:hanging="420"/>
      </w:pPr>
    </w:lvl>
    <w:lvl w:ilvl="2" w:tentative="0">
      <w:start w:val="1"/>
      <w:numFmt w:val="lowerRoman"/>
      <w:lvlText w:val="%3."/>
      <w:lvlJc w:val="right"/>
      <w:pPr>
        <w:ind w:left="1920" w:hanging="420"/>
      </w:pPr>
    </w:lvl>
    <w:lvl w:ilvl="3" w:tentative="0">
      <w:start w:val="1"/>
      <w:numFmt w:val="decimal"/>
      <w:lvlText w:val="%4."/>
      <w:lvlJc w:val="left"/>
      <w:pPr>
        <w:ind w:left="2340" w:hanging="420"/>
      </w:pPr>
    </w:lvl>
    <w:lvl w:ilvl="4" w:tentative="0">
      <w:start w:val="1"/>
      <w:numFmt w:val="lowerLetter"/>
      <w:lvlText w:val="%5)"/>
      <w:lvlJc w:val="left"/>
      <w:pPr>
        <w:ind w:left="2760" w:hanging="420"/>
      </w:pPr>
    </w:lvl>
    <w:lvl w:ilvl="5" w:tentative="0">
      <w:start w:val="1"/>
      <w:numFmt w:val="lowerRoman"/>
      <w:lvlText w:val="%6."/>
      <w:lvlJc w:val="right"/>
      <w:pPr>
        <w:ind w:left="3180" w:hanging="420"/>
      </w:pPr>
    </w:lvl>
    <w:lvl w:ilvl="6" w:tentative="0">
      <w:start w:val="1"/>
      <w:numFmt w:val="decimal"/>
      <w:lvlText w:val="%7."/>
      <w:lvlJc w:val="left"/>
      <w:pPr>
        <w:ind w:left="3600" w:hanging="420"/>
      </w:pPr>
    </w:lvl>
    <w:lvl w:ilvl="7" w:tentative="0">
      <w:start w:val="1"/>
      <w:numFmt w:val="lowerLetter"/>
      <w:lvlText w:val="%8)"/>
      <w:lvlJc w:val="left"/>
      <w:pPr>
        <w:ind w:left="4020" w:hanging="420"/>
      </w:pPr>
    </w:lvl>
    <w:lvl w:ilvl="8" w:tentative="0">
      <w:start w:val="1"/>
      <w:numFmt w:val="lowerRoman"/>
      <w:lvlText w:val="%9."/>
      <w:lvlJc w:val="right"/>
      <w:pPr>
        <w:ind w:left="44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66032"/>
    <w:rsid w:val="000053CC"/>
    <w:rsid w:val="00005DD8"/>
    <w:rsid w:val="00007292"/>
    <w:rsid w:val="00007A31"/>
    <w:rsid w:val="000213E2"/>
    <w:rsid w:val="0002784C"/>
    <w:rsid w:val="0003697D"/>
    <w:rsid w:val="00037AF6"/>
    <w:rsid w:val="0004565F"/>
    <w:rsid w:val="00072187"/>
    <w:rsid w:val="00075D5F"/>
    <w:rsid w:val="0008180F"/>
    <w:rsid w:val="00082B29"/>
    <w:rsid w:val="00090940"/>
    <w:rsid w:val="00093DA3"/>
    <w:rsid w:val="00096FC2"/>
    <w:rsid w:val="000B529B"/>
    <w:rsid w:val="000C1A24"/>
    <w:rsid w:val="000C2338"/>
    <w:rsid w:val="000C24E6"/>
    <w:rsid w:val="000C3A19"/>
    <w:rsid w:val="000D0983"/>
    <w:rsid w:val="000D49F2"/>
    <w:rsid w:val="000E4305"/>
    <w:rsid w:val="000E629A"/>
    <w:rsid w:val="000F0D09"/>
    <w:rsid w:val="000F2547"/>
    <w:rsid w:val="00101DF2"/>
    <w:rsid w:val="00121C76"/>
    <w:rsid w:val="00123A3A"/>
    <w:rsid w:val="001245BB"/>
    <w:rsid w:val="001251A3"/>
    <w:rsid w:val="00137B51"/>
    <w:rsid w:val="00143193"/>
    <w:rsid w:val="001601F9"/>
    <w:rsid w:val="00160266"/>
    <w:rsid w:val="001643E8"/>
    <w:rsid w:val="00164641"/>
    <w:rsid w:val="00164B40"/>
    <w:rsid w:val="00176C13"/>
    <w:rsid w:val="00183D1E"/>
    <w:rsid w:val="001919C4"/>
    <w:rsid w:val="0019331A"/>
    <w:rsid w:val="0019412A"/>
    <w:rsid w:val="00195802"/>
    <w:rsid w:val="0019723B"/>
    <w:rsid w:val="001A0943"/>
    <w:rsid w:val="001A3D44"/>
    <w:rsid w:val="001B5C1D"/>
    <w:rsid w:val="001B614C"/>
    <w:rsid w:val="001C2B2C"/>
    <w:rsid w:val="001C3B5E"/>
    <w:rsid w:val="001D42E8"/>
    <w:rsid w:val="001E0757"/>
    <w:rsid w:val="001E5749"/>
    <w:rsid w:val="001E6DDC"/>
    <w:rsid w:val="001E70E9"/>
    <w:rsid w:val="001E7F38"/>
    <w:rsid w:val="001F5C92"/>
    <w:rsid w:val="001F7873"/>
    <w:rsid w:val="00204F37"/>
    <w:rsid w:val="00230E48"/>
    <w:rsid w:val="00232CBD"/>
    <w:rsid w:val="00241FD4"/>
    <w:rsid w:val="00246317"/>
    <w:rsid w:val="00251B12"/>
    <w:rsid w:val="00265318"/>
    <w:rsid w:val="00276ABB"/>
    <w:rsid w:val="00277452"/>
    <w:rsid w:val="002835D7"/>
    <w:rsid w:val="00290B45"/>
    <w:rsid w:val="00290FD6"/>
    <w:rsid w:val="0029588E"/>
    <w:rsid w:val="00296113"/>
    <w:rsid w:val="002A673A"/>
    <w:rsid w:val="002C29A3"/>
    <w:rsid w:val="002C5E13"/>
    <w:rsid w:val="002C62BC"/>
    <w:rsid w:val="002E0EB8"/>
    <w:rsid w:val="002E1B8C"/>
    <w:rsid w:val="002F0296"/>
    <w:rsid w:val="002F3A53"/>
    <w:rsid w:val="002F3E58"/>
    <w:rsid w:val="0030542C"/>
    <w:rsid w:val="003075D4"/>
    <w:rsid w:val="00311B7A"/>
    <w:rsid w:val="003126B6"/>
    <w:rsid w:val="00313D9C"/>
    <w:rsid w:val="00314231"/>
    <w:rsid w:val="00325215"/>
    <w:rsid w:val="0033339C"/>
    <w:rsid w:val="0036386B"/>
    <w:rsid w:val="00371FDA"/>
    <w:rsid w:val="00381F56"/>
    <w:rsid w:val="003856C4"/>
    <w:rsid w:val="0039520A"/>
    <w:rsid w:val="003A04FB"/>
    <w:rsid w:val="003A1736"/>
    <w:rsid w:val="003B6D37"/>
    <w:rsid w:val="003C2A27"/>
    <w:rsid w:val="003C7243"/>
    <w:rsid w:val="003D2E03"/>
    <w:rsid w:val="004041B3"/>
    <w:rsid w:val="004077DF"/>
    <w:rsid w:val="00407B92"/>
    <w:rsid w:val="00415C0E"/>
    <w:rsid w:val="00424943"/>
    <w:rsid w:val="0042727E"/>
    <w:rsid w:val="0043175C"/>
    <w:rsid w:val="00437296"/>
    <w:rsid w:val="0044030E"/>
    <w:rsid w:val="00451590"/>
    <w:rsid w:val="00451871"/>
    <w:rsid w:val="004543C7"/>
    <w:rsid w:val="004706DE"/>
    <w:rsid w:val="00472923"/>
    <w:rsid w:val="00486DCD"/>
    <w:rsid w:val="0049120C"/>
    <w:rsid w:val="004B0C3A"/>
    <w:rsid w:val="004B12F3"/>
    <w:rsid w:val="004B45C1"/>
    <w:rsid w:val="004C49A8"/>
    <w:rsid w:val="004D0AD1"/>
    <w:rsid w:val="004D5788"/>
    <w:rsid w:val="004D7166"/>
    <w:rsid w:val="004E15AE"/>
    <w:rsid w:val="004E3066"/>
    <w:rsid w:val="004E419C"/>
    <w:rsid w:val="004E581C"/>
    <w:rsid w:val="004E74CD"/>
    <w:rsid w:val="00501872"/>
    <w:rsid w:val="00517C46"/>
    <w:rsid w:val="00524EFD"/>
    <w:rsid w:val="005275CB"/>
    <w:rsid w:val="00527CD9"/>
    <w:rsid w:val="00572067"/>
    <w:rsid w:val="005728A1"/>
    <w:rsid w:val="00573562"/>
    <w:rsid w:val="00573966"/>
    <w:rsid w:val="0057546C"/>
    <w:rsid w:val="0059077D"/>
    <w:rsid w:val="00590ECE"/>
    <w:rsid w:val="00597EFC"/>
    <w:rsid w:val="005A130B"/>
    <w:rsid w:val="005A32B6"/>
    <w:rsid w:val="005B041A"/>
    <w:rsid w:val="005C0403"/>
    <w:rsid w:val="005C0E90"/>
    <w:rsid w:val="005D0E1A"/>
    <w:rsid w:val="005D37CA"/>
    <w:rsid w:val="005D5683"/>
    <w:rsid w:val="005F04DE"/>
    <w:rsid w:val="005F0AE6"/>
    <w:rsid w:val="005F5714"/>
    <w:rsid w:val="005F736F"/>
    <w:rsid w:val="005F7AE1"/>
    <w:rsid w:val="00611D03"/>
    <w:rsid w:val="00614A29"/>
    <w:rsid w:val="00616FCE"/>
    <w:rsid w:val="006243C8"/>
    <w:rsid w:val="006465EA"/>
    <w:rsid w:val="00651BA2"/>
    <w:rsid w:val="00657109"/>
    <w:rsid w:val="00665136"/>
    <w:rsid w:val="00672D6C"/>
    <w:rsid w:val="00673D76"/>
    <w:rsid w:val="006750E7"/>
    <w:rsid w:val="00677AC3"/>
    <w:rsid w:val="0068280C"/>
    <w:rsid w:val="006854F0"/>
    <w:rsid w:val="00694D30"/>
    <w:rsid w:val="0069568E"/>
    <w:rsid w:val="006B1C4A"/>
    <w:rsid w:val="006B610D"/>
    <w:rsid w:val="006C3E06"/>
    <w:rsid w:val="006D010F"/>
    <w:rsid w:val="006E18F8"/>
    <w:rsid w:val="006E49F5"/>
    <w:rsid w:val="006F66C9"/>
    <w:rsid w:val="006F74B7"/>
    <w:rsid w:val="007013C8"/>
    <w:rsid w:val="00712002"/>
    <w:rsid w:val="007154DA"/>
    <w:rsid w:val="00716BFB"/>
    <w:rsid w:val="00727C84"/>
    <w:rsid w:val="00740BB2"/>
    <w:rsid w:val="0074338E"/>
    <w:rsid w:val="00753836"/>
    <w:rsid w:val="0075393C"/>
    <w:rsid w:val="00754592"/>
    <w:rsid w:val="00776C08"/>
    <w:rsid w:val="00785B0E"/>
    <w:rsid w:val="007910D2"/>
    <w:rsid w:val="007B0400"/>
    <w:rsid w:val="007B49AA"/>
    <w:rsid w:val="007B5167"/>
    <w:rsid w:val="007C219A"/>
    <w:rsid w:val="007C5EA6"/>
    <w:rsid w:val="007C7C7A"/>
    <w:rsid w:val="007D0179"/>
    <w:rsid w:val="007E0EA5"/>
    <w:rsid w:val="007E1DA8"/>
    <w:rsid w:val="007E2167"/>
    <w:rsid w:val="007E5EC5"/>
    <w:rsid w:val="007F1335"/>
    <w:rsid w:val="007F2A37"/>
    <w:rsid w:val="007F3BE7"/>
    <w:rsid w:val="007F59ED"/>
    <w:rsid w:val="007F6C26"/>
    <w:rsid w:val="00800F72"/>
    <w:rsid w:val="00806294"/>
    <w:rsid w:val="00811795"/>
    <w:rsid w:val="00813208"/>
    <w:rsid w:val="00815157"/>
    <w:rsid w:val="00815F8F"/>
    <w:rsid w:val="00820DD5"/>
    <w:rsid w:val="00820E04"/>
    <w:rsid w:val="008219E1"/>
    <w:rsid w:val="00831AFD"/>
    <w:rsid w:val="0083348E"/>
    <w:rsid w:val="008334AE"/>
    <w:rsid w:val="00835573"/>
    <w:rsid w:val="00836FED"/>
    <w:rsid w:val="0083724E"/>
    <w:rsid w:val="00841D53"/>
    <w:rsid w:val="00845CD2"/>
    <w:rsid w:val="00852B0D"/>
    <w:rsid w:val="0085425A"/>
    <w:rsid w:val="0085679A"/>
    <w:rsid w:val="0085726E"/>
    <w:rsid w:val="008575E3"/>
    <w:rsid w:val="008576D0"/>
    <w:rsid w:val="008616F6"/>
    <w:rsid w:val="00864B7F"/>
    <w:rsid w:val="008731E2"/>
    <w:rsid w:val="00881692"/>
    <w:rsid w:val="008858FF"/>
    <w:rsid w:val="00890675"/>
    <w:rsid w:val="0089075B"/>
    <w:rsid w:val="00895AD7"/>
    <w:rsid w:val="008A62DA"/>
    <w:rsid w:val="008A6576"/>
    <w:rsid w:val="008A6D3B"/>
    <w:rsid w:val="008B3CC5"/>
    <w:rsid w:val="008B52CD"/>
    <w:rsid w:val="008C4AAE"/>
    <w:rsid w:val="008C7C4D"/>
    <w:rsid w:val="008E0AD8"/>
    <w:rsid w:val="008E33D2"/>
    <w:rsid w:val="008E4261"/>
    <w:rsid w:val="008E70D4"/>
    <w:rsid w:val="008F4662"/>
    <w:rsid w:val="00902EA2"/>
    <w:rsid w:val="0090563F"/>
    <w:rsid w:val="00905D08"/>
    <w:rsid w:val="009064C7"/>
    <w:rsid w:val="009161E4"/>
    <w:rsid w:val="009166B4"/>
    <w:rsid w:val="00920908"/>
    <w:rsid w:val="00923F0E"/>
    <w:rsid w:val="00925753"/>
    <w:rsid w:val="00936DDD"/>
    <w:rsid w:val="00937F8B"/>
    <w:rsid w:val="009425F4"/>
    <w:rsid w:val="00943BD8"/>
    <w:rsid w:val="009455C7"/>
    <w:rsid w:val="00950961"/>
    <w:rsid w:val="00954B20"/>
    <w:rsid w:val="00954B2C"/>
    <w:rsid w:val="0096626E"/>
    <w:rsid w:val="00966C5C"/>
    <w:rsid w:val="00973104"/>
    <w:rsid w:val="00975D91"/>
    <w:rsid w:val="009842F6"/>
    <w:rsid w:val="00995BF0"/>
    <w:rsid w:val="009A16D5"/>
    <w:rsid w:val="009A20CE"/>
    <w:rsid w:val="009A353D"/>
    <w:rsid w:val="009A4CDA"/>
    <w:rsid w:val="009B0B77"/>
    <w:rsid w:val="009B511E"/>
    <w:rsid w:val="009B5215"/>
    <w:rsid w:val="009C270C"/>
    <w:rsid w:val="009C6C86"/>
    <w:rsid w:val="009D37D3"/>
    <w:rsid w:val="009F7AAD"/>
    <w:rsid w:val="00A16E6C"/>
    <w:rsid w:val="00A204CF"/>
    <w:rsid w:val="00A40F60"/>
    <w:rsid w:val="00A41932"/>
    <w:rsid w:val="00A44E3D"/>
    <w:rsid w:val="00A45598"/>
    <w:rsid w:val="00A471F0"/>
    <w:rsid w:val="00A57EDD"/>
    <w:rsid w:val="00A72D2E"/>
    <w:rsid w:val="00A736A7"/>
    <w:rsid w:val="00A74447"/>
    <w:rsid w:val="00A74CE5"/>
    <w:rsid w:val="00A77500"/>
    <w:rsid w:val="00A8536F"/>
    <w:rsid w:val="00A911E7"/>
    <w:rsid w:val="00A92170"/>
    <w:rsid w:val="00A939D9"/>
    <w:rsid w:val="00A95DBF"/>
    <w:rsid w:val="00AB77AA"/>
    <w:rsid w:val="00AC1794"/>
    <w:rsid w:val="00AC3370"/>
    <w:rsid w:val="00AC4748"/>
    <w:rsid w:val="00AD5060"/>
    <w:rsid w:val="00AD5259"/>
    <w:rsid w:val="00AE1A02"/>
    <w:rsid w:val="00B01D36"/>
    <w:rsid w:val="00B02FF0"/>
    <w:rsid w:val="00B061E8"/>
    <w:rsid w:val="00B078CD"/>
    <w:rsid w:val="00B20712"/>
    <w:rsid w:val="00B2412F"/>
    <w:rsid w:val="00B33695"/>
    <w:rsid w:val="00B43238"/>
    <w:rsid w:val="00B44608"/>
    <w:rsid w:val="00B45DD3"/>
    <w:rsid w:val="00B54B90"/>
    <w:rsid w:val="00B5563E"/>
    <w:rsid w:val="00B62D0A"/>
    <w:rsid w:val="00B64FA8"/>
    <w:rsid w:val="00B73582"/>
    <w:rsid w:val="00B74527"/>
    <w:rsid w:val="00B75216"/>
    <w:rsid w:val="00B755A2"/>
    <w:rsid w:val="00B75C1E"/>
    <w:rsid w:val="00B9104C"/>
    <w:rsid w:val="00B91D52"/>
    <w:rsid w:val="00B9490F"/>
    <w:rsid w:val="00BA0016"/>
    <w:rsid w:val="00BA1ACD"/>
    <w:rsid w:val="00BB0AD0"/>
    <w:rsid w:val="00BB50F3"/>
    <w:rsid w:val="00BD09F8"/>
    <w:rsid w:val="00BD1E07"/>
    <w:rsid w:val="00BD7278"/>
    <w:rsid w:val="00BE2395"/>
    <w:rsid w:val="00BF2D2F"/>
    <w:rsid w:val="00C005B2"/>
    <w:rsid w:val="00C03F73"/>
    <w:rsid w:val="00C1565C"/>
    <w:rsid w:val="00C21E0F"/>
    <w:rsid w:val="00C362CA"/>
    <w:rsid w:val="00C40286"/>
    <w:rsid w:val="00C56BB2"/>
    <w:rsid w:val="00C61183"/>
    <w:rsid w:val="00C649A9"/>
    <w:rsid w:val="00C772C1"/>
    <w:rsid w:val="00C77976"/>
    <w:rsid w:val="00C77D53"/>
    <w:rsid w:val="00C92468"/>
    <w:rsid w:val="00C92C0B"/>
    <w:rsid w:val="00C96B3A"/>
    <w:rsid w:val="00CA5B1C"/>
    <w:rsid w:val="00CA7176"/>
    <w:rsid w:val="00CB72D6"/>
    <w:rsid w:val="00CC75B0"/>
    <w:rsid w:val="00CD2773"/>
    <w:rsid w:val="00CD3C04"/>
    <w:rsid w:val="00CD52C7"/>
    <w:rsid w:val="00CE01BA"/>
    <w:rsid w:val="00CE143B"/>
    <w:rsid w:val="00CE3A91"/>
    <w:rsid w:val="00CF3278"/>
    <w:rsid w:val="00CF38DE"/>
    <w:rsid w:val="00D03983"/>
    <w:rsid w:val="00D07DBA"/>
    <w:rsid w:val="00D11759"/>
    <w:rsid w:val="00D23C16"/>
    <w:rsid w:val="00D27003"/>
    <w:rsid w:val="00D270FD"/>
    <w:rsid w:val="00D27903"/>
    <w:rsid w:val="00D324AD"/>
    <w:rsid w:val="00D33AAE"/>
    <w:rsid w:val="00D56115"/>
    <w:rsid w:val="00D67AAF"/>
    <w:rsid w:val="00D85A2C"/>
    <w:rsid w:val="00D86ED8"/>
    <w:rsid w:val="00D86FBA"/>
    <w:rsid w:val="00D926D0"/>
    <w:rsid w:val="00D9307A"/>
    <w:rsid w:val="00D95B8B"/>
    <w:rsid w:val="00DB08DA"/>
    <w:rsid w:val="00DB4322"/>
    <w:rsid w:val="00DC6B76"/>
    <w:rsid w:val="00DD1D0C"/>
    <w:rsid w:val="00DD45B2"/>
    <w:rsid w:val="00DD62E6"/>
    <w:rsid w:val="00DD7566"/>
    <w:rsid w:val="00DE186D"/>
    <w:rsid w:val="00DE1C20"/>
    <w:rsid w:val="00DE4AC2"/>
    <w:rsid w:val="00E0381D"/>
    <w:rsid w:val="00E05C03"/>
    <w:rsid w:val="00E13581"/>
    <w:rsid w:val="00E167C7"/>
    <w:rsid w:val="00E55B78"/>
    <w:rsid w:val="00E66527"/>
    <w:rsid w:val="00E74313"/>
    <w:rsid w:val="00E76361"/>
    <w:rsid w:val="00E84020"/>
    <w:rsid w:val="00EB321C"/>
    <w:rsid w:val="00EB53A2"/>
    <w:rsid w:val="00EB7A80"/>
    <w:rsid w:val="00EC47F6"/>
    <w:rsid w:val="00EC797B"/>
    <w:rsid w:val="00ED0C47"/>
    <w:rsid w:val="00EE697F"/>
    <w:rsid w:val="00EE6D6D"/>
    <w:rsid w:val="00EF08C9"/>
    <w:rsid w:val="00EF535E"/>
    <w:rsid w:val="00F10A48"/>
    <w:rsid w:val="00F13B3D"/>
    <w:rsid w:val="00F15CD2"/>
    <w:rsid w:val="00F21842"/>
    <w:rsid w:val="00F22ECF"/>
    <w:rsid w:val="00F36922"/>
    <w:rsid w:val="00F36A2C"/>
    <w:rsid w:val="00F41BFB"/>
    <w:rsid w:val="00F471F7"/>
    <w:rsid w:val="00F47C8F"/>
    <w:rsid w:val="00F506F5"/>
    <w:rsid w:val="00F52717"/>
    <w:rsid w:val="00F56E5A"/>
    <w:rsid w:val="00F60334"/>
    <w:rsid w:val="00F66032"/>
    <w:rsid w:val="00F83B96"/>
    <w:rsid w:val="00F8441D"/>
    <w:rsid w:val="00F87C1E"/>
    <w:rsid w:val="00F90446"/>
    <w:rsid w:val="00F9078A"/>
    <w:rsid w:val="00F958C2"/>
    <w:rsid w:val="00F977F5"/>
    <w:rsid w:val="00F97B98"/>
    <w:rsid w:val="00FA46B0"/>
    <w:rsid w:val="00FA6FE9"/>
    <w:rsid w:val="00FA740E"/>
    <w:rsid w:val="00FC06C7"/>
    <w:rsid w:val="00FC522D"/>
    <w:rsid w:val="00FD5DB4"/>
    <w:rsid w:val="00FE1724"/>
    <w:rsid w:val="00FE375B"/>
    <w:rsid w:val="00FE753C"/>
    <w:rsid w:val="00FF2162"/>
    <w:rsid w:val="00FF2346"/>
    <w:rsid w:val="00FF3B71"/>
    <w:rsid w:val="4EA4725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4">
    <w:name w:val="header"/>
    <w:basedOn w:val="1"/>
    <w:link w:val="11"/>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5">
    <w:name w:val="toc 1"/>
    <w:basedOn w:val="1"/>
    <w:next w:val="1"/>
    <w:autoRedefine/>
    <w:uiPriority w:val="39"/>
    <w:rPr>
      <w:rFonts w:ascii="Times New Roman" w:hAnsi="Times New Roman" w:eastAsia="宋体" w:cs="Times New Roman"/>
      <w:szCs w:val="24"/>
    </w:rPr>
  </w:style>
  <w:style w:type="paragraph" w:styleId="6">
    <w:name w:val="footnote text"/>
    <w:basedOn w:val="1"/>
    <w:link w:val="15"/>
    <w:semiHidden/>
    <w:unhideWhenUsed/>
    <w:uiPriority w:val="99"/>
    <w:pPr>
      <w:snapToGrid w:val="0"/>
      <w:jc w:val="left"/>
    </w:pPr>
    <w:rPr>
      <w:rFonts w:ascii="Calibri" w:hAnsi="Calibri" w:eastAsia="宋体" w:cs="Times New Roman"/>
      <w:sz w:val="18"/>
      <w:szCs w:val="18"/>
    </w:rPr>
  </w:style>
  <w:style w:type="paragraph" w:styleId="7">
    <w:name w:val="toc 2"/>
    <w:basedOn w:val="1"/>
    <w:next w:val="1"/>
    <w:autoRedefine/>
    <w:qFormat/>
    <w:uiPriority w:val="39"/>
    <w:pPr>
      <w:ind w:left="420" w:leftChars="200"/>
    </w:pPr>
    <w:rPr>
      <w:rFonts w:ascii="Times New Roman" w:hAnsi="Times New Roman" w:eastAsia="宋体" w:cs="Times New Roman"/>
      <w:szCs w:val="24"/>
    </w:rPr>
  </w:style>
  <w:style w:type="character" w:styleId="10">
    <w:name w:val="footnote reference"/>
    <w:semiHidden/>
    <w:unhideWhenUsed/>
    <w:uiPriority w:val="99"/>
    <w:rPr>
      <w:vertAlign w:val="superscript"/>
    </w:rPr>
  </w:style>
  <w:style w:type="character" w:customStyle="1" w:styleId="11">
    <w:name w:val="页眉 Char"/>
    <w:basedOn w:val="9"/>
    <w:link w:val="4"/>
    <w:qFormat/>
    <w:uiPriority w:val="99"/>
    <w:rPr>
      <w:rFonts w:ascii="Times New Roman" w:hAnsi="Times New Roman" w:eastAsia="宋体" w:cs="Times New Roman"/>
      <w:sz w:val="18"/>
      <w:szCs w:val="18"/>
    </w:rPr>
  </w:style>
  <w:style w:type="character" w:customStyle="1" w:styleId="12">
    <w:name w:val="页脚 Char"/>
    <w:basedOn w:val="9"/>
    <w:link w:val="3"/>
    <w:uiPriority w:val="99"/>
    <w:rPr>
      <w:rFonts w:ascii="Times New Roman" w:hAnsi="Times New Roman" w:eastAsia="宋体" w:cs="Times New Roman"/>
      <w:sz w:val="18"/>
      <w:szCs w:val="18"/>
    </w:rPr>
  </w:style>
  <w:style w:type="character" w:customStyle="1" w:styleId="13">
    <w:name w:val="批注框文本 Char"/>
    <w:basedOn w:val="9"/>
    <w:link w:val="2"/>
    <w:semiHidden/>
    <w:qFormat/>
    <w:uiPriority w:val="99"/>
    <w:rPr>
      <w:sz w:val="18"/>
      <w:szCs w:val="18"/>
    </w:rPr>
  </w:style>
  <w:style w:type="paragraph" w:customStyle="1" w:styleId="14">
    <w:name w:val="Default"/>
    <w:qFormat/>
    <w:uiPriority w:val="0"/>
    <w:pPr>
      <w:widowControl w:val="0"/>
      <w:autoSpaceDE w:val="0"/>
      <w:autoSpaceDN w:val="0"/>
      <w:adjustRightInd w:val="0"/>
    </w:pPr>
    <w:rPr>
      <w:rFonts w:ascii="Times New Roman" w:hAnsi="Times New Roman" w:cs="Times New Roman" w:eastAsiaTheme="minorEastAsia"/>
      <w:color w:val="000000"/>
      <w:kern w:val="0"/>
      <w:sz w:val="24"/>
      <w:szCs w:val="24"/>
      <w:lang w:val="en-US" w:eastAsia="zh-CN" w:bidi="ar-SA"/>
    </w:rPr>
  </w:style>
  <w:style w:type="character" w:customStyle="1" w:styleId="15">
    <w:name w:val="脚注文本 Char"/>
    <w:basedOn w:val="9"/>
    <w:link w:val="6"/>
    <w:semiHidden/>
    <w:qFormat/>
    <w:uiPriority w:val="99"/>
    <w:rPr>
      <w:rFonts w:ascii="Calibri" w:hAnsi="Calibri" w:eastAsia="宋体" w:cs="Times New Roman"/>
      <w:sz w:val="18"/>
      <w:szCs w:val="18"/>
    </w:rPr>
  </w:style>
  <w:style w:type="paragraph" w:customStyle="1" w:styleId="16">
    <w:name w:val="单元格样式1"/>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17">
    <w:name w:val="单元格样式4"/>
    <w:basedOn w:val="1"/>
    <w:qFormat/>
    <w:uiPriority w:val="0"/>
    <w:pPr>
      <w:widowControl/>
      <w:jc w:val="right"/>
    </w:pPr>
    <w:rPr>
      <w:rFonts w:ascii="方正书宋_GBK" w:hAnsi="方正书宋_GBK" w:eastAsia="方正书宋_GBK" w:cs="方正书宋_GBK"/>
      <w:kern w:val="0"/>
      <w:szCs w:val="24"/>
      <w:lang w:eastAsia="uk-UA"/>
    </w:rPr>
  </w:style>
  <w:style w:type="paragraph" w:customStyle="1" w:styleId="18">
    <w:name w:val="单元格样式2"/>
    <w:basedOn w:val="1"/>
    <w:qFormat/>
    <w:uiPriority w:val="0"/>
    <w:pPr>
      <w:widowControl/>
      <w:jc w:val="left"/>
    </w:pPr>
    <w:rPr>
      <w:rFonts w:ascii="方正书宋_GBK" w:hAnsi="方正书宋_GBK" w:eastAsia="方正书宋_GBK" w:cs="方正书宋_GBK"/>
      <w:kern w:val="0"/>
      <w:szCs w:val="24"/>
      <w:lang w:eastAsia="uk-UA"/>
    </w:rPr>
  </w:style>
  <w:style w:type="paragraph" w:customStyle="1" w:styleId="19">
    <w:name w:val="单元格样式3"/>
    <w:basedOn w:val="1"/>
    <w:qFormat/>
    <w:uiPriority w:val="0"/>
    <w:pPr>
      <w:widowControl/>
      <w:jc w:val="center"/>
    </w:pPr>
    <w:rPr>
      <w:rFonts w:ascii="方正书宋_GBK" w:hAnsi="方正书宋_GBK" w:eastAsia="方正书宋_GBK" w:cs="方正书宋_GBK"/>
      <w:kern w:val="0"/>
      <w:szCs w:val="24"/>
      <w:lang w:eastAsia="uk-UA"/>
    </w:rPr>
  </w:style>
  <w:style w:type="paragraph" w:customStyle="1" w:styleId="20">
    <w:name w:val="单元格样式6"/>
    <w:basedOn w:val="1"/>
    <w:qFormat/>
    <w:uiPriority w:val="0"/>
    <w:pPr>
      <w:widowControl/>
      <w:jc w:val="center"/>
    </w:pPr>
    <w:rPr>
      <w:rFonts w:ascii="方正书宋_GBK" w:hAnsi="方正书宋_GBK" w:eastAsia="方正书宋_GBK" w:cs="方正书宋_GBK"/>
      <w:b/>
      <w:kern w:val="0"/>
      <w:szCs w:val="24"/>
      <w:lang w:eastAsia="uk-UA"/>
    </w:rPr>
  </w:style>
  <w:style w:type="paragraph" w:customStyle="1" w:styleId="21">
    <w:name w:val="单元格样式7"/>
    <w:basedOn w:val="1"/>
    <w:qFormat/>
    <w:uiPriority w:val="0"/>
    <w:pPr>
      <w:widowControl/>
      <w:jc w:val="right"/>
    </w:pPr>
    <w:rPr>
      <w:rFonts w:ascii="方正书宋_GBK" w:hAnsi="方正书宋_GBK" w:eastAsia="方正书宋_GBK" w:cs="方正书宋_GBK"/>
      <w:b/>
      <w:kern w:val="0"/>
      <w:szCs w:val="24"/>
      <w:lang w:eastAsia="uk-UA"/>
    </w:rPr>
  </w:style>
  <w:style w:type="paragraph" w:customStyle="1" w:styleId="22">
    <w:name w:val="单元格样式5"/>
    <w:basedOn w:val="1"/>
    <w:qFormat/>
    <w:uiPriority w:val="0"/>
    <w:pPr>
      <w:widowControl/>
      <w:jc w:val="left"/>
    </w:pPr>
    <w:rPr>
      <w:rFonts w:ascii="方正书宋_GBK" w:hAnsi="方正书宋_GBK" w:eastAsia="方正书宋_GBK" w:cs="方正书宋_GBK"/>
      <w:b/>
      <w:kern w:val="0"/>
      <w:szCs w:val="24"/>
      <w:lang w:eastAsia="uk-UA"/>
    </w:rPr>
  </w:style>
  <w:style w:type="paragraph" w:styleId="2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FB06B-E182-4A1E-A465-C1E1E02C813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4227</Words>
  <Characters>4507</Characters>
  <Lines>42</Lines>
  <Paragraphs>12</Paragraphs>
  <TotalTime>23</TotalTime>
  <ScaleCrop>false</ScaleCrop>
  <LinksUpToDate>false</LinksUpToDate>
  <CharactersWithSpaces>4644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2023-02-01T08:26:00Z</dcterms:created>
  <dc:creator>guest</dc:creator>
  <cp:lastModifiedBy>BianL</cp:lastModifiedBy>
  <cp:lastPrinted>2023-01-29T01:01:00Z</cp:lastPrinted>
  <dcterms:modified xsi:type="dcterms:W3CDTF">2023-02-01T09:04:07Z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eyJoZGlkIjoiZmY5NWQxY2YwYjNiOWFiZTFhMWQ1YWJmNzAxNWU0MmEifQ==</vt:lpwstr>
  </property>
  <property fmtid="{D5CDD505-2E9C-101B-9397-08002B2CF9AE}" pid="3" name="KSOProductBuildVer">
    <vt:lpwstr>2052-12.1.0.26895</vt:lpwstr>
  </property>
  <property fmtid="{D5CDD505-2E9C-101B-9397-08002B2CF9AE}" pid="4" name="ICV">
    <vt:lpwstr>739408854B0C4E64BC79E5FD5880A4BD_12</vt:lpwstr>
  </property>
</Properties>
</file>