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D67EE">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档案馆</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2年部门预算信息公开</w:t>
      </w:r>
      <w:r>
        <w:rPr>
          <w:rFonts w:hint="eastAsia" w:ascii="Times New Roman" w:hAnsi="Times New Roman" w:eastAsia="方正小标宋简体" w:cs="Times New Roman"/>
          <w:sz w:val="44"/>
          <w:szCs w:val="44"/>
        </w:rPr>
        <w:t>情况说明</w:t>
      </w:r>
    </w:p>
    <w:p w14:paraId="288F0D2B">
      <w:pPr>
        <w:spacing w:line="584" w:lineRule="exact"/>
        <w:ind w:firstLine="880" w:firstLineChars="200"/>
        <w:jc w:val="center"/>
        <w:rPr>
          <w:rFonts w:ascii="Times New Roman" w:hAnsi="Times New Roman" w:eastAsia="仿宋_GB2312" w:cs="Times New Roman"/>
          <w:sz w:val="44"/>
          <w:szCs w:val="44"/>
        </w:rPr>
      </w:pPr>
    </w:p>
    <w:p w14:paraId="408DAE50">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14:paraId="63CC43E9">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0924869E">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06487975">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（一）贯彻执行国家、省和市有关档案管理的法律、法规、规章。</w:t>
      </w:r>
    </w:p>
    <w:p w14:paraId="0FD62B51">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（二）集中统一管理市直机关各历史时期的档案资料，保守党和国家机密，维护档案完整，确保档案资料安全。</w:t>
      </w:r>
    </w:p>
    <w:p w14:paraId="57663443">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（三）接收市委、市人大、市政府、市政协、市纪委监委及市直各机关、单位应进馆的档案资料。</w:t>
      </w:r>
    </w:p>
    <w:p w14:paraId="36ADA6B6">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（四）征集散存在社会上对国家和社会有保存价值的珍贵档案资料。</w:t>
      </w:r>
    </w:p>
    <w:p w14:paraId="6ED0D3AC">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（五）负责馆藏档案资料的整理、编目、鉴定、统计和技术保护工作。</w:t>
      </w:r>
    </w:p>
    <w:p w14:paraId="1B6F418A">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（六）依法开放档案，为党和政府及社会各方面提供利用服务。</w:t>
      </w:r>
    </w:p>
    <w:p w14:paraId="08F47991">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（七）承担政府公开信息的收集、管理和集中查阅工作。</w:t>
      </w:r>
    </w:p>
    <w:p w14:paraId="5607A003">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（八）开发档案信息资源，开展档案史料编研出版、展览陈列和社会教育活动。</w:t>
      </w:r>
    </w:p>
    <w:p w14:paraId="50410F45">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（九）运用现代化技术手段，开展馆藏档案信息化建设。</w:t>
      </w:r>
    </w:p>
    <w:p w14:paraId="337EF0A4">
      <w:pPr>
        <w:spacing w:line="500" w:lineRule="exact"/>
        <w:ind w:firstLine="640" w:firstLineChars="200"/>
        <w:jc w:val="left"/>
        <w:rPr>
          <w:rFonts w:ascii="仿宋_GB2312" w:eastAsia="仿宋_GB2312"/>
          <w:sz w:val="32"/>
          <w:szCs w:val="32"/>
        </w:rPr>
      </w:pPr>
      <w:r>
        <w:rPr>
          <w:rFonts w:hint="eastAsia" w:ascii="仿宋_GB2312" w:eastAsia="仿宋_GB2312"/>
          <w:sz w:val="32"/>
          <w:szCs w:val="32"/>
        </w:rPr>
        <w:t>（十）完成市委交办的其他任务。</w:t>
      </w:r>
    </w:p>
    <w:p w14:paraId="2A478CF3">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1D32D072">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861"/>
        <w:gridCol w:w="2716"/>
        <w:gridCol w:w="1276"/>
        <w:gridCol w:w="2902"/>
      </w:tblGrid>
      <w:tr w14:paraId="0794E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2861" w:type="dxa"/>
            <w:vMerge w:val="restart"/>
            <w:shd w:val="clear" w:color="auto" w:fill="auto"/>
            <w:vAlign w:val="center"/>
          </w:tcPr>
          <w:p w14:paraId="6214713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2716" w:type="dxa"/>
            <w:vMerge w:val="restart"/>
            <w:shd w:val="clear" w:color="auto" w:fill="auto"/>
            <w:vAlign w:val="center"/>
          </w:tcPr>
          <w:p w14:paraId="3F4FCA88">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5E5C7B4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60D01DE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4278C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2861" w:type="dxa"/>
            <w:vMerge w:val="continue"/>
            <w:shd w:val="clear" w:color="auto" w:fill="auto"/>
            <w:vAlign w:val="center"/>
          </w:tcPr>
          <w:p w14:paraId="39234978"/>
        </w:tc>
        <w:tc>
          <w:tcPr>
            <w:tcW w:w="2716" w:type="dxa"/>
            <w:vMerge w:val="continue"/>
            <w:shd w:val="clear" w:color="auto" w:fill="auto"/>
            <w:vAlign w:val="center"/>
          </w:tcPr>
          <w:p w14:paraId="5F6549F5"/>
        </w:tc>
        <w:tc>
          <w:tcPr>
            <w:tcW w:w="1276" w:type="dxa"/>
            <w:vMerge w:val="continue"/>
            <w:shd w:val="clear" w:color="auto" w:fill="auto"/>
            <w:vAlign w:val="center"/>
          </w:tcPr>
          <w:p w14:paraId="72BE5E61"/>
        </w:tc>
        <w:tc>
          <w:tcPr>
            <w:tcW w:w="2902" w:type="dxa"/>
            <w:vMerge w:val="continue"/>
            <w:shd w:val="clear" w:color="auto" w:fill="auto"/>
            <w:vAlign w:val="center"/>
          </w:tcPr>
          <w:p w14:paraId="2B6D6AFC"/>
        </w:tc>
      </w:tr>
      <w:tr w14:paraId="7980AE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861" w:type="dxa"/>
            <w:shd w:val="clear" w:color="auto" w:fill="auto"/>
            <w:vAlign w:val="center"/>
          </w:tcPr>
          <w:p w14:paraId="2D35045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廊坊市档案馆</w:t>
            </w:r>
          </w:p>
        </w:tc>
        <w:tc>
          <w:tcPr>
            <w:tcW w:w="2716" w:type="dxa"/>
            <w:shd w:val="clear" w:color="auto" w:fill="auto"/>
            <w:vAlign w:val="center"/>
          </w:tcPr>
          <w:p w14:paraId="36D0AE23">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全额事业</w:t>
            </w:r>
          </w:p>
        </w:tc>
        <w:tc>
          <w:tcPr>
            <w:tcW w:w="1276" w:type="dxa"/>
            <w:shd w:val="clear" w:color="auto" w:fill="auto"/>
            <w:vAlign w:val="center"/>
          </w:tcPr>
          <w:p w14:paraId="0C917A0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7FDE153A">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财政性资金基本保证</w:t>
            </w:r>
          </w:p>
        </w:tc>
      </w:tr>
    </w:tbl>
    <w:p w14:paraId="58D5445D">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7131212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档案馆（无下属单位）</w:t>
      </w:r>
      <w:r>
        <w:rPr>
          <w:rFonts w:ascii="Times New Roman" w:hAnsi="Times New Roman" w:eastAsia="仿宋_GB2312" w:cs="Times New Roman"/>
          <w:sz w:val="32"/>
          <w:szCs w:val="32"/>
        </w:rPr>
        <w:t>的收支包含在部门预算中。</w:t>
      </w:r>
    </w:p>
    <w:p w14:paraId="332041C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07BAFDF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rPr>
        <w:t>2070.49</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2070.49</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0万元</w:t>
      </w:r>
      <w:r>
        <w:rPr>
          <w:rFonts w:ascii="Times New Roman" w:hAnsi="Times New Roman" w:eastAsia="仿宋_GB2312" w:cs="Times New Roman"/>
          <w:sz w:val="32"/>
          <w:szCs w:val="32"/>
        </w:rPr>
        <w:t>。</w:t>
      </w:r>
    </w:p>
    <w:p w14:paraId="38F1512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0A82918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档案馆2022</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rPr>
        <w:t>2070.49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551.96</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499.67</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52.29</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1518.53</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市档案馆搬迁加固改造及设备购置资金（2021年项目尾款）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传统载体档案数字化工程合同尾款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档案馆运行保障经费</w:t>
      </w:r>
      <w:r>
        <w:rPr>
          <w:rFonts w:ascii="Times New Roman" w:hAnsi="Times New Roman" w:eastAsia="仿宋_GB2312" w:cs="Times New Roman"/>
          <w:sz w:val="32"/>
          <w:szCs w:val="32"/>
        </w:rPr>
        <w:t>。</w:t>
      </w:r>
    </w:p>
    <w:p w14:paraId="5231882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75D774E4">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rPr>
        <w:t>2070.49</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w:t>
      </w:r>
      <w:r>
        <w:rPr>
          <w:rFonts w:hint="eastAsia" w:ascii="Times New Roman" w:hAnsi="Times New Roman" w:eastAsia="仿宋_GB2312" w:cs="Times New Roman"/>
          <w:sz w:val="32"/>
          <w:szCs w:val="32"/>
        </w:rPr>
        <w:t>减少1300.95</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51.72</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rPr>
        <w:t>减少1352.67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市档案馆搬迁加固改造及设备购置资金</w:t>
      </w:r>
      <w:r>
        <w:rPr>
          <w:rFonts w:ascii="Times New Roman" w:hAnsi="Times New Roman" w:eastAsia="仿宋_GB2312" w:cs="Times New Roman"/>
          <w:sz w:val="32"/>
          <w:szCs w:val="32"/>
        </w:rPr>
        <w:t>项目支出。</w:t>
      </w:r>
    </w:p>
    <w:p w14:paraId="10BD2D0D">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002CBBE1">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52.29</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办公区的日常维修、办公用房水电费、办公用房物业管理费等日常运行支出。</w:t>
      </w:r>
    </w:p>
    <w:p w14:paraId="5DA11ED2">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7BAAC174">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2.51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0.32</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相比减少0.21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减少0.21</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减少0.21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0.32万元，</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1年相比持平，无增减变化。</w:t>
      </w:r>
    </w:p>
    <w:p w14:paraId="35494E9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04A8F923">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5BF3E1F5">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47C3A325">
      <w:pPr>
        <w:shd w:val="solid" w:color="FDFDFD" w:fill="auto"/>
        <w:overflowPunct w:val="0"/>
        <w:spacing w:line="584" w:lineRule="exact"/>
        <w:ind w:firstLine="640" w:firstLineChars="200"/>
        <w:rPr>
          <w:rFonts w:eastAsia="仿宋_GB2312"/>
          <w:sz w:val="32"/>
          <w:szCs w:val="32"/>
        </w:rPr>
      </w:pPr>
      <w:r>
        <w:rPr>
          <w:rFonts w:hint="eastAsia" w:ascii="仿宋_GB2312" w:eastAsia="仿宋_GB2312"/>
          <w:sz w:val="32"/>
          <w:szCs w:val="32"/>
        </w:rPr>
        <w:t>深入贯彻落实党的十九大和习近平新时代中国特色社会主义思想</w:t>
      </w:r>
      <w:bookmarkStart w:id="3" w:name="_GoBack"/>
      <w:bookmarkEnd w:id="3"/>
      <w:r>
        <w:rPr>
          <w:rFonts w:hint="eastAsia" w:ascii="仿宋_GB2312" w:eastAsia="仿宋_GB2312"/>
          <w:sz w:val="32"/>
          <w:szCs w:val="32"/>
        </w:rPr>
        <w:t>，以习近平总书记系列重要讲话精神为指导，坚定不移地把“为党管档、为国守史、为民服务”的职责落实到每一项具体的档案工作任务中，增强档案意识，实现档案文化价值，扎实推进各级档案馆（室）建设，完善档案资源管理制度，加快档案信息化建设，把建设数字档案馆（室）作为档案事业发展的重要任务，列入信息化建设整体规划。我馆在2022年传统载体档案数字化工程项目中完成档案资料数字化扫描22万页，著录条目达到2万条。扎实做好档案安全与修复管理工作，保证国家档案资源得到高质量的安全修复及有效使用。</w:t>
      </w:r>
    </w:p>
    <w:p w14:paraId="6241168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5D23BCA5">
      <w:pPr>
        <w:overflowPunct w:val="0"/>
        <w:spacing w:line="584" w:lineRule="exact"/>
        <w:ind w:firstLine="630"/>
        <w:rPr>
          <w:rFonts w:eastAsia="仿宋_GB2312"/>
          <w:sz w:val="32"/>
          <w:szCs w:val="32"/>
        </w:rPr>
      </w:pPr>
      <w:r>
        <w:rPr>
          <w:rFonts w:hint="eastAsia" w:ascii="楷体_GB2312" w:eastAsia="楷体_GB2312"/>
          <w:b/>
          <w:bCs/>
          <w:sz w:val="32"/>
          <w:szCs w:val="32"/>
        </w:rPr>
        <w:t>1、加快档案资料数字化</w:t>
      </w:r>
    </w:p>
    <w:p w14:paraId="3C6538B9">
      <w:pPr>
        <w:overflowPunct w:val="0"/>
        <w:spacing w:line="584" w:lineRule="exact"/>
        <w:ind w:firstLine="630"/>
        <w:rPr>
          <w:rFonts w:eastAsia="仿宋_GB2312"/>
          <w:sz w:val="32"/>
          <w:szCs w:val="32"/>
        </w:rPr>
      </w:pPr>
      <w:r>
        <w:rPr>
          <w:rFonts w:eastAsia="仿宋_GB2312"/>
          <w:b/>
          <w:bCs/>
          <w:sz w:val="32"/>
          <w:szCs w:val="32"/>
        </w:rPr>
        <w:t>绩效目标：</w:t>
      </w:r>
      <w:r>
        <w:rPr>
          <w:rFonts w:hint="eastAsia" w:eastAsia="仿宋_GB2312"/>
          <w:bCs/>
          <w:sz w:val="32"/>
          <w:szCs w:val="32"/>
        </w:rPr>
        <w:t>通过实施传统载体档案数字化工程项目，提升档案信息化管理水平，加快存量档案数字化和增量档案电子化步伐，逐步形成以数字资源为基础、安全管理为保障的数字档案资源管理利用体系。</w:t>
      </w:r>
    </w:p>
    <w:p w14:paraId="26F14FDE">
      <w:pPr>
        <w:overflowPunct w:val="0"/>
        <w:spacing w:line="584" w:lineRule="exact"/>
        <w:ind w:firstLine="630"/>
        <w:rPr>
          <w:rFonts w:eastAsia="仿宋_GB2312"/>
          <w:sz w:val="32"/>
          <w:szCs w:val="32"/>
        </w:rPr>
      </w:pPr>
      <w:r>
        <w:rPr>
          <w:rFonts w:eastAsia="仿宋_GB2312"/>
          <w:b/>
          <w:bCs/>
          <w:sz w:val="32"/>
          <w:szCs w:val="32"/>
        </w:rPr>
        <w:t>绩效指标：</w:t>
      </w:r>
      <w:r>
        <w:rPr>
          <w:rFonts w:hint="eastAsia" w:ascii="仿宋_GB2312" w:eastAsia="仿宋_GB2312"/>
          <w:bCs/>
          <w:sz w:val="32"/>
          <w:szCs w:val="32"/>
        </w:rPr>
        <w:t>通过实施传统载体档案数字化工程项目，完成数字化扫描页数22万页，生成数字化扫描电子目录2万条，数字化扫描合格率达到100%，完成及时率达到90%以上。</w:t>
      </w:r>
    </w:p>
    <w:p w14:paraId="3E295CF1">
      <w:pPr>
        <w:overflowPunct w:val="0"/>
        <w:spacing w:line="584" w:lineRule="exact"/>
        <w:ind w:firstLine="630"/>
        <w:rPr>
          <w:rFonts w:ascii="楷体_GB2312" w:eastAsia="楷体_GB2312"/>
          <w:b/>
          <w:bCs/>
          <w:sz w:val="32"/>
          <w:szCs w:val="32"/>
        </w:rPr>
      </w:pPr>
      <w:r>
        <w:rPr>
          <w:rFonts w:hint="eastAsia" w:ascii="楷体_GB2312" w:eastAsia="楷体_GB2312"/>
          <w:b/>
          <w:bCs/>
          <w:sz w:val="32"/>
          <w:szCs w:val="32"/>
        </w:rPr>
        <w:t>2、保障档案的接收及保管安全有序</w:t>
      </w:r>
    </w:p>
    <w:p w14:paraId="7BFFC73B">
      <w:pPr>
        <w:overflowPunct w:val="0"/>
        <w:spacing w:line="584" w:lineRule="exact"/>
        <w:ind w:firstLine="630"/>
        <w:rPr>
          <w:rFonts w:eastAsia="仿宋_GB2312"/>
          <w:b/>
          <w:bCs/>
          <w:sz w:val="32"/>
          <w:szCs w:val="32"/>
        </w:rPr>
      </w:pPr>
      <w:r>
        <w:rPr>
          <w:rFonts w:eastAsia="仿宋_GB2312"/>
          <w:b/>
          <w:bCs/>
          <w:sz w:val="32"/>
          <w:szCs w:val="32"/>
        </w:rPr>
        <w:t>绩效目标：</w:t>
      </w:r>
      <w:r>
        <w:rPr>
          <w:rFonts w:hint="eastAsia" w:eastAsia="仿宋_GB2312"/>
          <w:bCs/>
          <w:sz w:val="32"/>
          <w:szCs w:val="32"/>
        </w:rPr>
        <w:t>及时接收各级部门送存的档案资料，严格进行档案资料的存储及安全管理，加强档案保管场地的维护，确保档案馆日常工作的有序进行。</w:t>
      </w:r>
    </w:p>
    <w:p w14:paraId="0882D1C5">
      <w:pPr>
        <w:overflowPunct w:val="0"/>
        <w:spacing w:line="584" w:lineRule="exact"/>
        <w:ind w:firstLine="630"/>
        <w:rPr>
          <w:rFonts w:eastAsia="仿宋_GB2312"/>
          <w:b/>
          <w:bCs/>
          <w:sz w:val="32"/>
          <w:szCs w:val="32"/>
        </w:rPr>
      </w:pPr>
      <w:r>
        <w:rPr>
          <w:rFonts w:eastAsia="仿宋_GB2312"/>
          <w:b/>
          <w:bCs/>
          <w:sz w:val="32"/>
          <w:szCs w:val="32"/>
        </w:rPr>
        <w:t>绩效指标：</w:t>
      </w:r>
      <w:r>
        <w:rPr>
          <w:rFonts w:hint="eastAsia" w:eastAsia="仿宋_GB2312"/>
          <w:bCs/>
          <w:sz w:val="32"/>
          <w:szCs w:val="32"/>
        </w:rPr>
        <w:t>严格执行档案接收及存储制度，文书档案保管工作覆盖197个单位，保管册数达到98000卷；定期进行防火防虫等安全防护管控，计划2022年充装干粉灭火器10个、充装检测二氧化碳灭火器30个，为档案资料的存储提供安全保障。</w:t>
      </w:r>
    </w:p>
    <w:p w14:paraId="05418B66">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CF62389">
      <w:pPr>
        <w:overflowPunct w:val="0"/>
        <w:spacing w:line="584" w:lineRule="exact"/>
        <w:ind w:firstLine="630"/>
        <w:rPr>
          <w:rFonts w:eastAsia="仿宋_GB2312"/>
          <w:sz w:val="32"/>
          <w:szCs w:val="32"/>
        </w:rPr>
      </w:pPr>
      <w:r>
        <w:rPr>
          <w:rFonts w:hint="eastAsia" w:ascii="楷体_GB2312" w:eastAsia="楷体_GB2312"/>
          <w:b/>
          <w:bCs/>
          <w:sz w:val="32"/>
          <w:szCs w:val="32"/>
        </w:rPr>
        <w:t>1、完善制度建设。</w:t>
      </w:r>
      <w:r>
        <w:rPr>
          <w:rFonts w:hint="eastAsia" w:eastAsia="仿宋_GB2312"/>
          <w:sz w:val="32"/>
          <w:szCs w:val="32"/>
        </w:rPr>
        <w:t>根据我馆2021年工作总结及经验归纳，制定完善的预算绩效管理制度、财务管理制度、资产管理制度、工作保障制度等，为全年预算绩效目标的实现奠定制度基础。</w:t>
      </w:r>
    </w:p>
    <w:p w14:paraId="1462AE54">
      <w:pPr>
        <w:overflowPunct w:val="0"/>
        <w:spacing w:line="584" w:lineRule="exact"/>
        <w:ind w:firstLine="630"/>
        <w:rPr>
          <w:rFonts w:eastAsia="仿宋_GB2312"/>
          <w:sz w:val="32"/>
          <w:szCs w:val="32"/>
        </w:rPr>
      </w:pPr>
      <w:r>
        <w:rPr>
          <w:rFonts w:hint="eastAsia" w:ascii="楷体_GB2312" w:eastAsia="楷体_GB2312"/>
          <w:b/>
          <w:bCs/>
          <w:sz w:val="32"/>
          <w:szCs w:val="32"/>
        </w:rPr>
        <w:t>2、</w:t>
      </w:r>
      <w:r>
        <w:rPr>
          <w:rFonts w:ascii="楷体_GB2312" w:eastAsia="楷体_GB2312"/>
          <w:b/>
          <w:bCs/>
          <w:sz w:val="32"/>
          <w:szCs w:val="32"/>
        </w:rPr>
        <w:t>加强支出管理。</w:t>
      </w:r>
      <w:r>
        <w:rPr>
          <w:rFonts w:hint="eastAsia" w:eastAsia="仿宋_GB2312"/>
          <w:sz w:val="32"/>
          <w:szCs w:val="32"/>
        </w:rPr>
        <w:t>根据财政局文件要求，通过优化</w:t>
      </w:r>
      <w:r>
        <w:rPr>
          <w:rFonts w:eastAsia="仿宋_GB2312"/>
          <w:sz w:val="32"/>
          <w:szCs w:val="32"/>
        </w:rPr>
        <w:t>支出结构、编细编实预算、加快履行政府采购手续、尽快启动项目、及时支付资金、</w:t>
      </w:r>
      <w:r>
        <w:rPr>
          <w:rFonts w:hint="eastAsia" w:eastAsia="仿宋_GB2312"/>
          <w:sz w:val="32"/>
          <w:szCs w:val="32"/>
        </w:rPr>
        <w:t>做到</w:t>
      </w:r>
      <w:r>
        <w:rPr>
          <w:rFonts w:eastAsia="仿宋_GB2312"/>
          <w:sz w:val="32"/>
          <w:szCs w:val="32"/>
        </w:rPr>
        <w:t>6月底</w:t>
      </w:r>
      <w:r>
        <w:rPr>
          <w:rFonts w:hint="eastAsia" w:eastAsia="仿宋_GB2312"/>
          <w:sz w:val="32"/>
          <w:szCs w:val="32"/>
        </w:rPr>
        <w:t>支出60%，10月底支出90%，</w:t>
      </w:r>
      <w:r>
        <w:rPr>
          <w:rFonts w:eastAsia="仿宋_GB2312"/>
          <w:sz w:val="32"/>
          <w:szCs w:val="32"/>
        </w:rPr>
        <w:t>确保支出进度达标。</w:t>
      </w:r>
    </w:p>
    <w:p w14:paraId="77540737">
      <w:pPr>
        <w:overflowPunct w:val="0"/>
        <w:spacing w:line="584" w:lineRule="exact"/>
        <w:ind w:firstLine="630"/>
        <w:rPr>
          <w:rFonts w:eastAsia="仿宋_GB2312"/>
          <w:sz w:val="32"/>
          <w:szCs w:val="32"/>
        </w:rPr>
      </w:pPr>
      <w:r>
        <w:rPr>
          <w:rFonts w:hint="eastAsia" w:eastAsia="仿宋_GB2312"/>
          <w:sz w:val="32"/>
          <w:szCs w:val="32"/>
        </w:rPr>
        <w:t>3、</w:t>
      </w:r>
      <w:r>
        <w:rPr>
          <w:rFonts w:ascii="楷体_GB2312" w:eastAsia="楷体_GB2312"/>
          <w:b/>
          <w:bCs/>
          <w:sz w:val="32"/>
          <w:szCs w:val="32"/>
        </w:rPr>
        <w:t>加强绩效运行监控。</w:t>
      </w:r>
      <w:r>
        <w:rPr>
          <w:rFonts w:hint="eastAsia" w:eastAsia="仿宋_GB2312"/>
          <w:sz w:val="32"/>
          <w:szCs w:val="32"/>
        </w:rPr>
        <w:t>根据财政局预算绩效办文件要求，及时</w:t>
      </w:r>
      <w:r>
        <w:rPr>
          <w:rFonts w:eastAsia="仿宋_GB2312"/>
          <w:sz w:val="32"/>
          <w:szCs w:val="32"/>
        </w:rPr>
        <w:t>开展绩效运行监控，发现问题及时采取措施，确保绩效目标如期保质实现。</w:t>
      </w:r>
    </w:p>
    <w:p w14:paraId="446577D5">
      <w:pPr>
        <w:overflowPunct w:val="0"/>
        <w:spacing w:line="584" w:lineRule="exact"/>
        <w:ind w:firstLine="630"/>
        <w:rPr>
          <w:rFonts w:eastAsia="仿宋_GB2312"/>
          <w:sz w:val="32"/>
          <w:szCs w:val="32"/>
        </w:rPr>
      </w:pPr>
      <w:r>
        <w:rPr>
          <w:rFonts w:hint="eastAsia" w:eastAsia="仿宋_GB2312"/>
          <w:sz w:val="32"/>
          <w:szCs w:val="32"/>
        </w:rPr>
        <w:t>4、</w:t>
      </w:r>
      <w:r>
        <w:rPr>
          <w:rFonts w:ascii="楷体_GB2312" w:eastAsia="楷体_GB2312"/>
          <w:b/>
          <w:bCs/>
          <w:sz w:val="32"/>
          <w:szCs w:val="32"/>
        </w:rPr>
        <w:t>做好绩效自评。</w:t>
      </w:r>
      <w:r>
        <w:rPr>
          <w:rFonts w:hint="eastAsia" w:eastAsia="仿宋_GB2312"/>
          <w:sz w:val="32"/>
          <w:szCs w:val="32"/>
        </w:rPr>
        <w:t>根据财政局预算绩效办文件要求，及时开展</w:t>
      </w:r>
      <w:r>
        <w:rPr>
          <w:rFonts w:eastAsia="仿宋_GB2312"/>
          <w:sz w:val="32"/>
          <w:szCs w:val="32"/>
        </w:rPr>
        <w:t>上年度部门预算绩效自评和重点评价工作，对评价中发现的问题及时整改，调整优化支出结构，提高财政资金使用效益。</w:t>
      </w:r>
    </w:p>
    <w:p w14:paraId="41D506DA">
      <w:pPr>
        <w:overflowPunct w:val="0"/>
        <w:spacing w:line="584" w:lineRule="exact"/>
        <w:ind w:firstLine="630"/>
        <w:rPr>
          <w:rFonts w:eastAsia="仿宋_GB2312"/>
          <w:sz w:val="32"/>
          <w:szCs w:val="32"/>
        </w:rPr>
      </w:pPr>
      <w:r>
        <w:rPr>
          <w:rFonts w:hint="eastAsia" w:eastAsia="仿宋_GB2312"/>
          <w:sz w:val="32"/>
          <w:szCs w:val="32"/>
        </w:rPr>
        <w:t>5、</w:t>
      </w:r>
      <w:r>
        <w:rPr>
          <w:rFonts w:ascii="楷体_GB2312" w:eastAsia="楷体_GB2312"/>
          <w:b/>
          <w:bCs/>
          <w:sz w:val="32"/>
          <w:szCs w:val="32"/>
        </w:rPr>
        <w:t>规范财务资产管理。</w:t>
      </w:r>
      <w:r>
        <w:rPr>
          <w:rFonts w:hint="eastAsia" w:eastAsia="仿宋_GB2312"/>
          <w:sz w:val="32"/>
          <w:szCs w:val="32"/>
        </w:rPr>
        <w:t>为了规范资产管理，加强和完善资产管理制度、财务管理</w:t>
      </w:r>
      <w:r>
        <w:rPr>
          <w:rFonts w:eastAsia="仿宋_GB2312"/>
          <w:sz w:val="32"/>
          <w:szCs w:val="32"/>
        </w:rPr>
        <w:t>制度，严格</w:t>
      </w:r>
      <w:r>
        <w:rPr>
          <w:rFonts w:hint="eastAsia" w:eastAsia="仿宋_GB2312"/>
          <w:sz w:val="32"/>
          <w:szCs w:val="32"/>
        </w:rPr>
        <w:t>按照资产</w:t>
      </w:r>
      <w:r>
        <w:rPr>
          <w:rFonts w:eastAsia="仿宋_GB2312"/>
          <w:sz w:val="32"/>
          <w:szCs w:val="32"/>
        </w:rPr>
        <w:t>审批程序</w:t>
      </w:r>
      <w:r>
        <w:rPr>
          <w:rFonts w:hint="eastAsia" w:eastAsia="仿宋_GB2312"/>
          <w:sz w:val="32"/>
          <w:szCs w:val="32"/>
        </w:rPr>
        <w:t>进行使用和报废处置管理</w:t>
      </w:r>
      <w:r>
        <w:rPr>
          <w:rFonts w:eastAsia="仿宋_GB2312"/>
          <w:sz w:val="32"/>
          <w:szCs w:val="32"/>
        </w:rPr>
        <w:t>，做到支出合理，物尽其用</w:t>
      </w:r>
      <w:r>
        <w:rPr>
          <w:rFonts w:hint="eastAsia" w:eastAsia="仿宋_GB2312"/>
          <w:sz w:val="32"/>
          <w:szCs w:val="32"/>
        </w:rPr>
        <w:t>，做好资产系统的使用及一体化平台记账工作，做到账实相符</w:t>
      </w:r>
      <w:r>
        <w:rPr>
          <w:rFonts w:eastAsia="仿宋_GB2312"/>
          <w:sz w:val="32"/>
          <w:szCs w:val="32"/>
        </w:rPr>
        <w:t>。</w:t>
      </w:r>
    </w:p>
    <w:p w14:paraId="71194205">
      <w:pPr>
        <w:overflowPunct w:val="0"/>
        <w:spacing w:line="584" w:lineRule="exact"/>
        <w:ind w:firstLine="630"/>
        <w:rPr>
          <w:rFonts w:eastAsia="仿宋_GB2312"/>
          <w:sz w:val="32"/>
          <w:szCs w:val="32"/>
        </w:rPr>
      </w:pPr>
      <w:r>
        <w:rPr>
          <w:rFonts w:hint="eastAsia" w:eastAsia="仿宋_GB2312"/>
          <w:sz w:val="32"/>
          <w:szCs w:val="32"/>
        </w:rPr>
        <w:t>6、</w:t>
      </w:r>
      <w:r>
        <w:rPr>
          <w:rFonts w:ascii="楷体_GB2312" w:eastAsia="楷体_GB2312"/>
          <w:b/>
          <w:bCs/>
          <w:sz w:val="32"/>
          <w:szCs w:val="32"/>
        </w:rPr>
        <w:t>加强内部监督。</w:t>
      </w:r>
      <w:r>
        <w:rPr>
          <w:rFonts w:hint="eastAsia" w:eastAsia="仿宋_GB2312"/>
          <w:sz w:val="32"/>
          <w:szCs w:val="32"/>
        </w:rPr>
        <w:t>为了完善工作监管机制，加强</w:t>
      </w:r>
      <w:r>
        <w:rPr>
          <w:rFonts w:eastAsia="仿宋_GB2312"/>
          <w:sz w:val="32"/>
          <w:szCs w:val="32"/>
        </w:rPr>
        <w:t>内部监督制度建设，对绩效运行情况、重大支出决策、资产处置及其他重要经济业务事项的决策和执行进行督导，对会计资料</w:t>
      </w:r>
      <w:r>
        <w:rPr>
          <w:rFonts w:hint="eastAsia" w:eastAsia="仿宋_GB2312"/>
          <w:sz w:val="32"/>
          <w:szCs w:val="32"/>
        </w:rPr>
        <w:t>一年</w:t>
      </w:r>
      <w:r>
        <w:rPr>
          <w:rFonts w:eastAsia="仿宋_GB2312"/>
          <w:sz w:val="32"/>
          <w:szCs w:val="32"/>
        </w:rPr>
        <w:t>进行</w:t>
      </w:r>
      <w:r>
        <w:rPr>
          <w:rFonts w:hint="eastAsia" w:eastAsia="仿宋_GB2312"/>
          <w:sz w:val="32"/>
          <w:szCs w:val="32"/>
        </w:rPr>
        <w:t>一次</w:t>
      </w:r>
      <w:r>
        <w:rPr>
          <w:rFonts w:eastAsia="仿宋_GB2312"/>
          <w:sz w:val="32"/>
          <w:szCs w:val="32"/>
        </w:rPr>
        <w:t>内部审计，并配合做好审计、财政监督等外部监督工作，确保财政资金安全有效。</w:t>
      </w:r>
    </w:p>
    <w:p w14:paraId="13D8BB3A">
      <w:pPr>
        <w:overflowPunct w:val="0"/>
        <w:spacing w:line="584" w:lineRule="exact"/>
        <w:ind w:firstLine="630"/>
        <w:rPr>
          <w:rFonts w:eastAsia="仿宋_GB2312"/>
          <w:sz w:val="32"/>
          <w:szCs w:val="32"/>
        </w:rPr>
      </w:pPr>
      <w:r>
        <w:rPr>
          <w:rFonts w:hint="eastAsia" w:eastAsia="仿宋_GB2312"/>
          <w:sz w:val="32"/>
          <w:szCs w:val="32"/>
        </w:rPr>
        <w:t>7、</w:t>
      </w:r>
      <w:r>
        <w:rPr>
          <w:rFonts w:ascii="楷体_GB2312" w:eastAsia="楷体_GB2312"/>
          <w:b/>
          <w:bCs/>
          <w:sz w:val="32"/>
          <w:szCs w:val="32"/>
        </w:rPr>
        <w:t>加强宣传培训调研等。</w:t>
      </w:r>
      <w:r>
        <w:rPr>
          <w:rFonts w:hint="eastAsia" w:eastAsia="仿宋_GB2312"/>
          <w:sz w:val="32"/>
          <w:szCs w:val="32"/>
        </w:rPr>
        <w:t>根据部门实际情况，加</w:t>
      </w:r>
      <w:r>
        <w:rPr>
          <w:rFonts w:eastAsia="仿宋_GB2312"/>
          <w:sz w:val="32"/>
          <w:szCs w:val="32"/>
        </w:rPr>
        <w:t>强人员培训，提高本部门职工业务素质；加强调研，提</w:t>
      </w:r>
      <w:r>
        <w:rPr>
          <w:rFonts w:hint="eastAsia" w:eastAsia="仿宋_GB2312"/>
          <w:sz w:val="32"/>
          <w:szCs w:val="32"/>
        </w:rPr>
        <w:t>高</w:t>
      </w:r>
      <w:r>
        <w:rPr>
          <w:rFonts w:eastAsia="仿宋_GB2312"/>
          <w:sz w:val="32"/>
          <w:szCs w:val="32"/>
        </w:rPr>
        <w:t>优化财政资金配置、提高资金使用效益；加大宣传力度，强化预算绩效管理意识，促进预算绩效管理水平进一步提升。</w:t>
      </w:r>
    </w:p>
    <w:p w14:paraId="5102CEE4">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14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409"/>
        <w:gridCol w:w="1143"/>
        <w:gridCol w:w="1570"/>
        <w:gridCol w:w="2592"/>
        <w:gridCol w:w="3329"/>
        <w:gridCol w:w="709"/>
        <w:gridCol w:w="850"/>
        <w:gridCol w:w="992"/>
        <w:gridCol w:w="1604"/>
      </w:tblGrid>
      <w:tr w14:paraId="4DC7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81" w:hRule="atLeast"/>
          <w:tblHeader/>
          <w:jc w:val="center"/>
        </w:trPr>
        <w:tc>
          <w:tcPr>
            <w:tcW w:w="1409" w:type="dxa"/>
            <w:vMerge w:val="restart"/>
            <w:tcBorders>
              <w:tl2br w:val="nil"/>
              <w:tr2bl w:val="nil"/>
            </w:tcBorders>
            <w:vAlign w:val="center"/>
          </w:tcPr>
          <w:p w14:paraId="1D8A7C0D">
            <w:pPr>
              <w:widowControl/>
              <w:adjustRightInd w:val="0"/>
              <w:snapToGrid w:val="0"/>
              <w:jc w:val="center"/>
              <w:rPr>
                <w:rFonts w:ascii="方正书宋_GBK" w:eastAsia="方正书宋_GBK"/>
                <w:b/>
              </w:rPr>
            </w:pPr>
            <w:r>
              <w:rPr>
                <w:rFonts w:ascii="方正书宋_GBK" w:eastAsia="方正书宋_GBK"/>
                <w:b/>
              </w:rPr>
              <w:t>一级指标</w:t>
            </w:r>
          </w:p>
        </w:tc>
        <w:tc>
          <w:tcPr>
            <w:tcW w:w="1143" w:type="dxa"/>
            <w:vMerge w:val="restart"/>
            <w:tcBorders>
              <w:tl2br w:val="nil"/>
              <w:tr2bl w:val="nil"/>
            </w:tcBorders>
            <w:vAlign w:val="center"/>
          </w:tcPr>
          <w:p w14:paraId="56AA496D">
            <w:pPr>
              <w:widowControl/>
              <w:adjustRightInd w:val="0"/>
              <w:snapToGrid w:val="0"/>
              <w:jc w:val="center"/>
              <w:rPr>
                <w:rFonts w:ascii="方正书宋_GBK" w:eastAsia="方正书宋_GBK"/>
                <w:b/>
              </w:rPr>
            </w:pPr>
            <w:r>
              <w:rPr>
                <w:rFonts w:ascii="方正书宋_GBK" w:eastAsia="方正书宋_GBK"/>
                <w:b/>
              </w:rPr>
              <w:t>二级</w:t>
            </w:r>
          </w:p>
          <w:p w14:paraId="542AD953">
            <w:pPr>
              <w:widowControl/>
              <w:adjustRightInd w:val="0"/>
              <w:snapToGrid w:val="0"/>
              <w:jc w:val="center"/>
              <w:rPr>
                <w:rFonts w:ascii="方正书宋_GBK" w:eastAsia="方正书宋_GBK"/>
                <w:b/>
              </w:rPr>
            </w:pPr>
            <w:r>
              <w:rPr>
                <w:rFonts w:ascii="方正书宋_GBK" w:eastAsia="方正书宋_GBK"/>
                <w:b/>
              </w:rPr>
              <w:t>指标</w:t>
            </w:r>
          </w:p>
        </w:tc>
        <w:tc>
          <w:tcPr>
            <w:tcW w:w="1570" w:type="dxa"/>
            <w:vMerge w:val="restart"/>
            <w:tcBorders>
              <w:tl2br w:val="nil"/>
              <w:tr2bl w:val="nil"/>
            </w:tcBorders>
            <w:vAlign w:val="center"/>
          </w:tcPr>
          <w:p w14:paraId="03CD394C">
            <w:pPr>
              <w:widowControl/>
              <w:adjustRightInd w:val="0"/>
              <w:snapToGrid w:val="0"/>
              <w:jc w:val="center"/>
              <w:rPr>
                <w:rFonts w:ascii="方正书宋_GBK" w:eastAsia="方正书宋_GBK"/>
                <w:b/>
              </w:rPr>
            </w:pPr>
            <w:r>
              <w:rPr>
                <w:rFonts w:ascii="方正书宋_GBK" w:eastAsia="方正书宋_GBK"/>
                <w:b/>
              </w:rPr>
              <w:t>三级</w:t>
            </w:r>
          </w:p>
          <w:p w14:paraId="3B12CE88">
            <w:pPr>
              <w:widowControl/>
              <w:adjustRightInd w:val="0"/>
              <w:snapToGrid w:val="0"/>
              <w:jc w:val="center"/>
              <w:rPr>
                <w:rFonts w:ascii="方正书宋_GBK" w:eastAsia="方正书宋_GBK"/>
                <w:b/>
              </w:rPr>
            </w:pPr>
            <w:r>
              <w:rPr>
                <w:rFonts w:ascii="方正书宋_GBK" w:eastAsia="方正书宋_GBK"/>
                <w:b/>
              </w:rPr>
              <w:t>指标</w:t>
            </w:r>
          </w:p>
        </w:tc>
        <w:tc>
          <w:tcPr>
            <w:tcW w:w="2592" w:type="dxa"/>
            <w:vMerge w:val="restart"/>
            <w:tcBorders>
              <w:tl2br w:val="nil"/>
              <w:tr2bl w:val="nil"/>
            </w:tcBorders>
            <w:vAlign w:val="center"/>
          </w:tcPr>
          <w:p w14:paraId="1BC09022">
            <w:pPr>
              <w:widowControl/>
              <w:adjustRightInd w:val="0"/>
              <w:snapToGrid w:val="0"/>
              <w:jc w:val="center"/>
              <w:rPr>
                <w:rFonts w:ascii="方正书宋_GBK" w:eastAsia="方正书宋_GBK"/>
                <w:b/>
              </w:rPr>
            </w:pPr>
            <w:r>
              <w:rPr>
                <w:rFonts w:ascii="方正书宋_GBK" w:eastAsia="方正书宋_GBK"/>
                <w:b/>
              </w:rPr>
              <w:t>评（扣）分标准</w:t>
            </w:r>
          </w:p>
        </w:tc>
        <w:tc>
          <w:tcPr>
            <w:tcW w:w="3329" w:type="dxa"/>
            <w:vMerge w:val="restart"/>
            <w:tcBorders>
              <w:tl2br w:val="nil"/>
              <w:tr2bl w:val="nil"/>
            </w:tcBorders>
            <w:vAlign w:val="center"/>
          </w:tcPr>
          <w:p w14:paraId="135FD425">
            <w:pPr>
              <w:widowControl/>
              <w:adjustRightInd w:val="0"/>
              <w:snapToGrid w:val="0"/>
              <w:jc w:val="center"/>
              <w:rPr>
                <w:rFonts w:ascii="方正书宋_GBK" w:eastAsia="方正书宋_GBK"/>
                <w:b/>
              </w:rPr>
            </w:pPr>
            <w:r>
              <w:rPr>
                <w:rFonts w:ascii="方正书宋_GBK" w:eastAsia="方正书宋_GBK"/>
                <w:b/>
              </w:rPr>
              <w:t>绩效指标</w:t>
            </w:r>
          </w:p>
          <w:p w14:paraId="4A0B37BF">
            <w:pPr>
              <w:widowControl/>
              <w:adjustRightInd w:val="0"/>
              <w:snapToGrid w:val="0"/>
              <w:jc w:val="center"/>
              <w:rPr>
                <w:rFonts w:ascii="方正书宋_GBK" w:eastAsia="方正书宋_GBK"/>
                <w:b/>
              </w:rPr>
            </w:pPr>
            <w:r>
              <w:rPr>
                <w:rFonts w:ascii="方正书宋_GBK" w:eastAsia="方正书宋_GBK"/>
                <w:b/>
              </w:rPr>
              <w:t>描述</w:t>
            </w:r>
          </w:p>
        </w:tc>
        <w:tc>
          <w:tcPr>
            <w:tcW w:w="2551" w:type="dxa"/>
            <w:gridSpan w:val="3"/>
            <w:tcBorders>
              <w:tl2br w:val="nil"/>
              <w:tr2bl w:val="nil"/>
            </w:tcBorders>
            <w:vAlign w:val="center"/>
          </w:tcPr>
          <w:p w14:paraId="188E8BAC">
            <w:pPr>
              <w:widowControl/>
              <w:adjustRightInd w:val="0"/>
              <w:snapToGrid w:val="0"/>
              <w:jc w:val="center"/>
              <w:rPr>
                <w:rFonts w:ascii="方正书宋_GBK" w:eastAsia="方正书宋_GBK"/>
                <w:b/>
              </w:rPr>
            </w:pPr>
            <w:r>
              <w:rPr>
                <w:rFonts w:ascii="方正书宋_GBK" w:eastAsia="方正书宋_GBK"/>
                <w:b/>
              </w:rPr>
              <w:t>指标值</w:t>
            </w:r>
          </w:p>
        </w:tc>
        <w:tc>
          <w:tcPr>
            <w:tcW w:w="1604" w:type="dxa"/>
            <w:vMerge w:val="restart"/>
            <w:tcBorders>
              <w:tl2br w:val="nil"/>
              <w:tr2bl w:val="nil"/>
            </w:tcBorders>
            <w:vAlign w:val="center"/>
          </w:tcPr>
          <w:p w14:paraId="3A7294B0">
            <w:pPr>
              <w:widowControl/>
              <w:adjustRightInd w:val="0"/>
              <w:snapToGrid w:val="0"/>
              <w:jc w:val="center"/>
              <w:rPr>
                <w:rFonts w:ascii="方正书宋_GBK" w:eastAsia="方正书宋_GBK"/>
                <w:b/>
              </w:rPr>
            </w:pPr>
            <w:r>
              <w:rPr>
                <w:rFonts w:ascii="方正书宋_GBK" w:eastAsia="方正书宋_GBK"/>
                <w:b/>
              </w:rPr>
              <w:t>指标值</w:t>
            </w:r>
          </w:p>
          <w:p w14:paraId="4F61828D">
            <w:pPr>
              <w:widowControl/>
              <w:adjustRightInd w:val="0"/>
              <w:snapToGrid w:val="0"/>
              <w:jc w:val="center"/>
              <w:rPr>
                <w:rFonts w:ascii="方正书宋_GBK" w:eastAsia="方正书宋_GBK"/>
                <w:b/>
              </w:rPr>
            </w:pPr>
            <w:r>
              <w:rPr>
                <w:rFonts w:ascii="方正书宋_GBK" w:eastAsia="方正书宋_GBK"/>
                <w:b/>
              </w:rPr>
              <w:t>确定依据</w:t>
            </w:r>
          </w:p>
        </w:tc>
      </w:tr>
      <w:tr w14:paraId="539B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23" w:hRule="atLeast"/>
          <w:tblHeader/>
          <w:jc w:val="center"/>
        </w:trPr>
        <w:tc>
          <w:tcPr>
            <w:tcW w:w="1409" w:type="dxa"/>
            <w:vMerge w:val="continue"/>
            <w:tcBorders>
              <w:tl2br w:val="nil"/>
              <w:tr2bl w:val="nil"/>
            </w:tcBorders>
            <w:vAlign w:val="center"/>
          </w:tcPr>
          <w:p w14:paraId="282B3D33"/>
        </w:tc>
        <w:tc>
          <w:tcPr>
            <w:tcW w:w="1143" w:type="dxa"/>
            <w:vMerge w:val="continue"/>
            <w:tcBorders>
              <w:tl2br w:val="nil"/>
              <w:tr2bl w:val="nil"/>
            </w:tcBorders>
            <w:vAlign w:val="center"/>
          </w:tcPr>
          <w:p w14:paraId="187309BB"/>
        </w:tc>
        <w:tc>
          <w:tcPr>
            <w:tcW w:w="1570" w:type="dxa"/>
            <w:vMerge w:val="continue"/>
            <w:tcBorders>
              <w:tl2br w:val="nil"/>
              <w:tr2bl w:val="nil"/>
            </w:tcBorders>
            <w:vAlign w:val="center"/>
          </w:tcPr>
          <w:p w14:paraId="1AAAC9C2"/>
        </w:tc>
        <w:tc>
          <w:tcPr>
            <w:tcW w:w="2592" w:type="dxa"/>
            <w:vMerge w:val="continue"/>
            <w:tcBorders>
              <w:tl2br w:val="nil"/>
              <w:tr2bl w:val="nil"/>
            </w:tcBorders>
            <w:vAlign w:val="center"/>
          </w:tcPr>
          <w:p w14:paraId="0882CE0D"/>
        </w:tc>
        <w:tc>
          <w:tcPr>
            <w:tcW w:w="3329" w:type="dxa"/>
            <w:vMerge w:val="continue"/>
            <w:tcBorders>
              <w:tl2br w:val="nil"/>
              <w:tr2bl w:val="nil"/>
            </w:tcBorders>
            <w:vAlign w:val="center"/>
          </w:tcPr>
          <w:p w14:paraId="6271F1F3"/>
        </w:tc>
        <w:tc>
          <w:tcPr>
            <w:tcW w:w="709" w:type="dxa"/>
            <w:tcBorders>
              <w:tl2br w:val="nil"/>
              <w:tr2bl w:val="nil"/>
            </w:tcBorders>
            <w:vAlign w:val="center"/>
          </w:tcPr>
          <w:p w14:paraId="1E08E61F">
            <w:pPr>
              <w:widowControl/>
              <w:adjustRightInd w:val="0"/>
              <w:snapToGrid w:val="0"/>
              <w:jc w:val="center"/>
              <w:rPr>
                <w:rFonts w:ascii="方正书宋_GBK" w:eastAsia="方正书宋_GBK"/>
                <w:b/>
              </w:rPr>
            </w:pPr>
            <w:r>
              <w:rPr>
                <w:rFonts w:ascii="方正书宋_GBK" w:eastAsia="方正书宋_GBK"/>
                <w:b/>
              </w:rPr>
              <w:t>符号</w:t>
            </w:r>
          </w:p>
        </w:tc>
        <w:tc>
          <w:tcPr>
            <w:tcW w:w="850" w:type="dxa"/>
            <w:tcBorders>
              <w:tl2br w:val="nil"/>
              <w:tr2bl w:val="nil"/>
            </w:tcBorders>
            <w:vAlign w:val="center"/>
          </w:tcPr>
          <w:p w14:paraId="05F84FD3">
            <w:pPr>
              <w:widowControl/>
              <w:adjustRightInd w:val="0"/>
              <w:snapToGrid w:val="0"/>
              <w:jc w:val="center"/>
              <w:rPr>
                <w:rFonts w:ascii="方正书宋_GBK" w:eastAsia="方正书宋_GBK"/>
                <w:b/>
              </w:rPr>
            </w:pPr>
            <w:r>
              <w:rPr>
                <w:rFonts w:ascii="方正书宋_GBK" w:eastAsia="方正书宋_GBK"/>
                <w:b/>
              </w:rPr>
              <w:t>值</w:t>
            </w:r>
          </w:p>
        </w:tc>
        <w:tc>
          <w:tcPr>
            <w:tcW w:w="992" w:type="dxa"/>
            <w:tcBorders>
              <w:tl2br w:val="nil"/>
              <w:tr2bl w:val="nil"/>
            </w:tcBorders>
            <w:vAlign w:val="center"/>
          </w:tcPr>
          <w:p w14:paraId="093AE7EC">
            <w:pPr>
              <w:widowControl/>
              <w:adjustRightInd w:val="0"/>
              <w:snapToGrid w:val="0"/>
              <w:jc w:val="center"/>
              <w:rPr>
                <w:rFonts w:ascii="方正书宋_GBK" w:eastAsia="方正书宋_GBK"/>
                <w:b/>
              </w:rPr>
            </w:pPr>
            <w:r>
              <w:rPr>
                <w:rFonts w:ascii="方正书宋_GBK" w:eastAsia="方正书宋_GBK"/>
                <w:b/>
              </w:rPr>
              <w:t>单位</w:t>
            </w:r>
          </w:p>
        </w:tc>
        <w:tc>
          <w:tcPr>
            <w:tcW w:w="1604" w:type="dxa"/>
            <w:vMerge w:val="continue"/>
            <w:tcBorders>
              <w:tl2br w:val="nil"/>
              <w:tr2bl w:val="nil"/>
            </w:tcBorders>
            <w:vAlign w:val="center"/>
          </w:tcPr>
          <w:p w14:paraId="669DB091"/>
        </w:tc>
      </w:tr>
      <w:tr w14:paraId="1FA8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95" w:hRule="atLeast"/>
          <w:jc w:val="center"/>
        </w:trPr>
        <w:tc>
          <w:tcPr>
            <w:tcW w:w="1409" w:type="dxa"/>
            <w:vMerge w:val="restart"/>
            <w:tcBorders>
              <w:tl2br w:val="nil"/>
              <w:tr2bl w:val="nil"/>
            </w:tcBorders>
            <w:vAlign w:val="center"/>
          </w:tcPr>
          <w:p w14:paraId="0FFF2ED6">
            <w:pPr>
              <w:widowControl/>
              <w:adjustRightInd w:val="0"/>
              <w:snapToGrid w:val="0"/>
              <w:jc w:val="center"/>
              <w:rPr>
                <w:rFonts w:ascii="方正书宋_GBK" w:eastAsia="方正书宋_GBK"/>
              </w:rPr>
            </w:pPr>
            <w:r>
              <w:rPr>
                <w:rFonts w:ascii="方正书宋_GBK" w:eastAsia="方正书宋_GBK"/>
              </w:rPr>
              <w:t>部门产出</w:t>
            </w:r>
          </w:p>
        </w:tc>
        <w:tc>
          <w:tcPr>
            <w:tcW w:w="1143" w:type="dxa"/>
            <w:tcBorders>
              <w:tl2br w:val="nil"/>
              <w:tr2bl w:val="nil"/>
            </w:tcBorders>
            <w:vAlign w:val="center"/>
          </w:tcPr>
          <w:p w14:paraId="4A4DCC97">
            <w:pPr>
              <w:widowControl/>
              <w:adjustRightInd w:val="0"/>
              <w:snapToGrid w:val="0"/>
              <w:jc w:val="center"/>
              <w:rPr>
                <w:rFonts w:ascii="方正书宋_GBK" w:eastAsia="方正书宋_GBK"/>
              </w:rPr>
            </w:pPr>
            <w:r>
              <w:rPr>
                <w:rFonts w:ascii="方正书宋_GBK" w:eastAsia="方正书宋_GBK"/>
              </w:rPr>
              <w:t>数量</w:t>
            </w:r>
          </w:p>
        </w:tc>
        <w:tc>
          <w:tcPr>
            <w:tcW w:w="1570" w:type="dxa"/>
            <w:tcBorders>
              <w:tl2br w:val="nil"/>
              <w:tr2bl w:val="nil"/>
            </w:tcBorders>
            <w:vAlign w:val="center"/>
          </w:tcPr>
          <w:p w14:paraId="4F3C4C06">
            <w:pPr>
              <w:widowControl/>
              <w:adjustRightInd w:val="0"/>
              <w:snapToGrid w:val="0"/>
              <w:rPr>
                <w:rFonts w:ascii="方正书宋_GBK" w:eastAsiaTheme="minorEastAsia"/>
              </w:rPr>
            </w:pPr>
            <w:r>
              <w:rPr>
                <w:rFonts w:hint="eastAsia" w:ascii="方正书宋_GBK" w:eastAsiaTheme="minorEastAsia"/>
              </w:rPr>
              <w:t>数字化扫描的页数</w:t>
            </w:r>
          </w:p>
        </w:tc>
        <w:tc>
          <w:tcPr>
            <w:tcW w:w="2592" w:type="dxa"/>
            <w:tcBorders>
              <w:tl2br w:val="nil"/>
              <w:tr2bl w:val="nil"/>
            </w:tcBorders>
            <w:vAlign w:val="center"/>
          </w:tcPr>
          <w:p w14:paraId="318EB3D6">
            <w:pPr>
              <w:widowControl/>
              <w:adjustRightInd w:val="0"/>
              <w:snapToGrid w:val="0"/>
              <w:rPr>
                <w:rFonts w:ascii="方正书宋_GBK" w:eastAsiaTheme="minorEastAsia"/>
              </w:rPr>
            </w:pPr>
            <w:r>
              <w:rPr>
                <w:rFonts w:hint="eastAsia" w:ascii="方正书宋_GBK" w:eastAsiaTheme="minorEastAsia"/>
              </w:rPr>
              <w:t>扫描页数每少2万页，扣分10%，低于指标值的60%不得分</w:t>
            </w:r>
          </w:p>
        </w:tc>
        <w:tc>
          <w:tcPr>
            <w:tcW w:w="3329" w:type="dxa"/>
            <w:tcBorders>
              <w:tl2br w:val="nil"/>
              <w:tr2bl w:val="nil"/>
            </w:tcBorders>
            <w:vAlign w:val="center"/>
          </w:tcPr>
          <w:p w14:paraId="10E12150">
            <w:pPr>
              <w:widowControl/>
              <w:adjustRightInd w:val="0"/>
              <w:snapToGrid w:val="0"/>
              <w:rPr>
                <w:rFonts w:ascii="方正书宋_GBK" w:eastAsiaTheme="minorEastAsia"/>
              </w:rPr>
            </w:pPr>
            <w:r>
              <w:rPr>
                <w:rFonts w:hint="eastAsia" w:ascii="方正书宋_GBK" w:eastAsiaTheme="minorEastAsia"/>
              </w:rPr>
              <w:t>反映2022年档案资料数字化扫描完成的总页数</w:t>
            </w:r>
          </w:p>
        </w:tc>
        <w:tc>
          <w:tcPr>
            <w:tcW w:w="709" w:type="dxa"/>
            <w:tcBorders>
              <w:tl2br w:val="nil"/>
              <w:tr2bl w:val="nil"/>
            </w:tcBorders>
            <w:vAlign w:val="center"/>
          </w:tcPr>
          <w:p w14:paraId="4D4C0C97">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3702851D">
            <w:pPr>
              <w:widowControl/>
              <w:adjustRightInd w:val="0"/>
              <w:snapToGrid w:val="0"/>
              <w:jc w:val="center"/>
              <w:rPr>
                <w:rFonts w:ascii="方正书宋_GBK" w:eastAsiaTheme="minorEastAsia"/>
              </w:rPr>
            </w:pPr>
            <w:r>
              <w:rPr>
                <w:rFonts w:hint="eastAsia" w:ascii="方正书宋_GBK" w:eastAsiaTheme="minorEastAsia"/>
              </w:rPr>
              <w:t>22</w:t>
            </w:r>
          </w:p>
        </w:tc>
        <w:tc>
          <w:tcPr>
            <w:tcW w:w="992" w:type="dxa"/>
            <w:tcBorders>
              <w:tl2br w:val="nil"/>
              <w:tr2bl w:val="nil"/>
            </w:tcBorders>
            <w:vAlign w:val="center"/>
          </w:tcPr>
          <w:p w14:paraId="192D5F54">
            <w:pPr>
              <w:widowControl/>
              <w:adjustRightInd w:val="0"/>
              <w:snapToGrid w:val="0"/>
              <w:jc w:val="center"/>
              <w:rPr>
                <w:rFonts w:ascii="方正书宋_GBK" w:eastAsiaTheme="minorEastAsia"/>
              </w:rPr>
            </w:pPr>
            <w:r>
              <w:rPr>
                <w:rFonts w:hint="eastAsia" w:ascii="方正书宋_GBK" w:eastAsiaTheme="minorEastAsia"/>
              </w:rPr>
              <w:t>万页</w:t>
            </w:r>
          </w:p>
        </w:tc>
        <w:tc>
          <w:tcPr>
            <w:tcW w:w="1604" w:type="dxa"/>
            <w:tcBorders>
              <w:tl2br w:val="nil"/>
              <w:tr2bl w:val="nil"/>
            </w:tcBorders>
            <w:vAlign w:val="center"/>
          </w:tcPr>
          <w:p w14:paraId="29A3DF1E">
            <w:pPr>
              <w:widowControl/>
              <w:adjustRightInd w:val="0"/>
              <w:snapToGrid w:val="0"/>
              <w:rPr>
                <w:rFonts w:ascii="方正书宋_GBK" w:eastAsiaTheme="minorEastAsia"/>
              </w:rPr>
            </w:pPr>
            <w:r>
              <w:rPr>
                <w:rFonts w:hint="eastAsia" w:ascii="方正书宋_GBK" w:eastAsiaTheme="minorEastAsia"/>
              </w:rPr>
              <w:t>依历史数据</w:t>
            </w:r>
          </w:p>
        </w:tc>
      </w:tr>
      <w:tr w14:paraId="634B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18" w:hRule="atLeast"/>
          <w:jc w:val="center"/>
        </w:trPr>
        <w:tc>
          <w:tcPr>
            <w:tcW w:w="1409" w:type="dxa"/>
            <w:vMerge w:val="continue"/>
            <w:tcBorders>
              <w:tl2br w:val="nil"/>
              <w:tr2bl w:val="nil"/>
            </w:tcBorders>
            <w:vAlign w:val="center"/>
          </w:tcPr>
          <w:p w14:paraId="037106C5"/>
        </w:tc>
        <w:tc>
          <w:tcPr>
            <w:tcW w:w="1143" w:type="dxa"/>
            <w:tcBorders>
              <w:tl2br w:val="nil"/>
              <w:tr2bl w:val="nil"/>
            </w:tcBorders>
            <w:vAlign w:val="center"/>
          </w:tcPr>
          <w:p w14:paraId="07D89118">
            <w:pPr>
              <w:widowControl/>
              <w:adjustRightInd w:val="0"/>
              <w:snapToGrid w:val="0"/>
              <w:jc w:val="center"/>
              <w:rPr>
                <w:rFonts w:ascii="方正书宋_GBK" w:eastAsia="方正书宋_GBK"/>
              </w:rPr>
            </w:pPr>
            <w:r>
              <w:rPr>
                <w:rFonts w:ascii="方正书宋_GBK" w:eastAsia="方正书宋_GBK"/>
              </w:rPr>
              <w:t>质量</w:t>
            </w:r>
          </w:p>
        </w:tc>
        <w:tc>
          <w:tcPr>
            <w:tcW w:w="1570" w:type="dxa"/>
            <w:tcBorders>
              <w:tl2br w:val="nil"/>
              <w:tr2bl w:val="nil"/>
            </w:tcBorders>
            <w:vAlign w:val="center"/>
          </w:tcPr>
          <w:p w14:paraId="548D9DFE">
            <w:pPr>
              <w:widowControl/>
              <w:adjustRightInd w:val="0"/>
              <w:snapToGrid w:val="0"/>
              <w:rPr>
                <w:rFonts w:ascii="方正书宋_GBK" w:eastAsiaTheme="minorEastAsia"/>
              </w:rPr>
            </w:pPr>
            <w:r>
              <w:rPr>
                <w:rFonts w:hint="eastAsia" w:ascii="方正书宋_GBK" w:eastAsiaTheme="minorEastAsia"/>
              </w:rPr>
              <w:t>数字化扫描页数合格率</w:t>
            </w:r>
          </w:p>
        </w:tc>
        <w:tc>
          <w:tcPr>
            <w:tcW w:w="2592" w:type="dxa"/>
            <w:tcBorders>
              <w:tl2br w:val="nil"/>
              <w:tr2bl w:val="nil"/>
            </w:tcBorders>
            <w:vAlign w:val="center"/>
          </w:tcPr>
          <w:p w14:paraId="608969C8">
            <w:pPr>
              <w:widowControl/>
              <w:adjustRightInd w:val="0"/>
              <w:snapToGrid w:val="0"/>
              <w:rPr>
                <w:rFonts w:ascii="方正书宋_GBK" w:eastAsiaTheme="minorEastAsia"/>
              </w:rPr>
            </w:pPr>
            <w:r>
              <w:rPr>
                <w:rFonts w:hint="eastAsia" w:ascii="方正书宋_GBK" w:eastAsiaTheme="minorEastAsia"/>
              </w:rPr>
              <w:t>合格率每降低1%扣分5%，不达60%不得分</w:t>
            </w:r>
          </w:p>
        </w:tc>
        <w:tc>
          <w:tcPr>
            <w:tcW w:w="3329" w:type="dxa"/>
            <w:tcBorders>
              <w:tl2br w:val="nil"/>
              <w:tr2bl w:val="nil"/>
            </w:tcBorders>
            <w:vAlign w:val="center"/>
          </w:tcPr>
          <w:p w14:paraId="1B56DD1C">
            <w:pPr>
              <w:widowControl/>
              <w:adjustRightInd w:val="0"/>
              <w:snapToGrid w:val="0"/>
              <w:rPr>
                <w:rFonts w:ascii="方正书宋_GBK" w:eastAsiaTheme="minorEastAsia"/>
              </w:rPr>
            </w:pPr>
            <w:r>
              <w:rPr>
                <w:rFonts w:hint="eastAsia" w:ascii="方正书宋_GBK" w:eastAsiaTheme="minorEastAsia"/>
              </w:rPr>
              <w:t>合格率＝扫描合格的档案页数/扫描的总页数</w:t>
            </w:r>
          </w:p>
        </w:tc>
        <w:tc>
          <w:tcPr>
            <w:tcW w:w="709" w:type="dxa"/>
            <w:tcBorders>
              <w:tl2br w:val="nil"/>
              <w:tr2bl w:val="nil"/>
            </w:tcBorders>
            <w:vAlign w:val="center"/>
          </w:tcPr>
          <w:p w14:paraId="7F95E576">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1086C543">
            <w:pPr>
              <w:widowControl/>
              <w:adjustRightInd w:val="0"/>
              <w:snapToGrid w:val="0"/>
              <w:jc w:val="center"/>
              <w:rPr>
                <w:rFonts w:ascii="方正书宋_GBK" w:eastAsiaTheme="minorEastAsia"/>
              </w:rPr>
            </w:pPr>
            <w:r>
              <w:rPr>
                <w:rFonts w:hint="eastAsia" w:ascii="方正书宋_GBK" w:eastAsiaTheme="minorEastAsia"/>
              </w:rPr>
              <w:t>99</w:t>
            </w:r>
          </w:p>
        </w:tc>
        <w:tc>
          <w:tcPr>
            <w:tcW w:w="992" w:type="dxa"/>
            <w:tcBorders>
              <w:tl2br w:val="nil"/>
              <w:tr2bl w:val="nil"/>
            </w:tcBorders>
            <w:vAlign w:val="center"/>
          </w:tcPr>
          <w:p w14:paraId="757E55C8">
            <w:pPr>
              <w:widowControl/>
              <w:adjustRightInd w:val="0"/>
              <w:snapToGrid w:val="0"/>
              <w:jc w:val="center"/>
              <w:rPr>
                <w:rFonts w:ascii="方正书宋_GBK" w:eastAsiaTheme="minorEastAsia"/>
              </w:rPr>
            </w:pPr>
            <w:r>
              <w:rPr>
                <w:rFonts w:hint="eastAsia" w:ascii="方正书宋_GBK" w:eastAsiaTheme="minorEastAsia"/>
              </w:rPr>
              <w:t>%</w:t>
            </w:r>
          </w:p>
        </w:tc>
        <w:tc>
          <w:tcPr>
            <w:tcW w:w="1604" w:type="dxa"/>
            <w:tcBorders>
              <w:tl2br w:val="nil"/>
              <w:tr2bl w:val="nil"/>
            </w:tcBorders>
            <w:vAlign w:val="center"/>
          </w:tcPr>
          <w:p w14:paraId="1E65DF34">
            <w:pPr>
              <w:widowControl/>
              <w:adjustRightInd w:val="0"/>
              <w:snapToGrid w:val="0"/>
              <w:rPr>
                <w:rFonts w:ascii="方正书宋_GBK" w:eastAsiaTheme="minorEastAsia"/>
              </w:rPr>
            </w:pPr>
            <w:r>
              <w:rPr>
                <w:rFonts w:hint="eastAsia" w:ascii="方正书宋_GBK" w:eastAsiaTheme="minorEastAsia"/>
              </w:rPr>
              <w:t>项目验收单</w:t>
            </w:r>
          </w:p>
        </w:tc>
      </w:tr>
      <w:tr w14:paraId="0FFA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4" w:hRule="atLeast"/>
          <w:jc w:val="center"/>
        </w:trPr>
        <w:tc>
          <w:tcPr>
            <w:tcW w:w="1409" w:type="dxa"/>
            <w:vMerge w:val="continue"/>
            <w:tcBorders>
              <w:tl2br w:val="nil"/>
              <w:tr2bl w:val="nil"/>
            </w:tcBorders>
            <w:vAlign w:val="center"/>
          </w:tcPr>
          <w:p w14:paraId="229E6019"/>
        </w:tc>
        <w:tc>
          <w:tcPr>
            <w:tcW w:w="1143" w:type="dxa"/>
            <w:tcBorders>
              <w:tl2br w:val="nil"/>
              <w:tr2bl w:val="nil"/>
            </w:tcBorders>
            <w:vAlign w:val="center"/>
          </w:tcPr>
          <w:p w14:paraId="0F525563">
            <w:pPr>
              <w:widowControl/>
              <w:adjustRightInd w:val="0"/>
              <w:snapToGrid w:val="0"/>
              <w:jc w:val="center"/>
              <w:rPr>
                <w:rFonts w:ascii="方正书宋_GBK" w:eastAsia="方正书宋_GBK"/>
              </w:rPr>
            </w:pPr>
            <w:r>
              <w:rPr>
                <w:rFonts w:ascii="方正书宋_GBK" w:eastAsia="方正书宋_GBK"/>
              </w:rPr>
              <w:t>时效</w:t>
            </w:r>
          </w:p>
        </w:tc>
        <w:tc>
          <w:tcPr>
            <w:tcW w:w="1570" w:type="dxa"/>
            <w:tcBorders>
              <w:tl2br w:val="nil"/>
              <w:tr2bl w:val="nil"/>
            </w:tcBorders>
            <w:vAlign w:val="center"/>
          </w:tcPr>
          <w:p w14:paraId="0BB69533">
            <w:pPr>
              <w:widowControl/>
              <w:adjustRightInd w:val="0"/>
              <w:snapToGrid w:val="0"/>
              <w:rPr>
                <w:rFonts w:ascii="方正书宋_GBK" w:eastAsiaTheme="minorEastAsia"/>
              </w:rPr>
            </w:pPr>
            <w:r>
              <w:rPr>
                <w:rFonts w:hint="eastAsia" w:ascii="方正书宋_GBK" w:eastAsiaTheme="minorEastAsia"/>
              </w:rPr>
              <w:t>数字化扫描完成及时率</w:t>
            </w:r>
          </w:p>
        </w:tc>
        <w:tc>
          <w:tcPr>
            <w:tcW w:w="2592" w:type="dxa"/>
            <w:tcBorders>
              <w:tl2br w:val="nil"/>
              <w:tr2bl w:val="nil"/>
            </w:tcBorders>
            <w:vAlign w:val="center"/>
          </w:tcPr>
          <w:p w14:paraId="0F76339F">
            <w:pPr>
              <w:widowControl/>
              <w:adjustRightInd w:val="0"/>
              <w:snapToGrid w:val="0"/>
              <w:rPr>
                <w:rFonts w:ascii="方正书宋_GBK" w:eastAsiaTheme="minorEastAsia"/>
              </w:rPr>
            </w:pPr>
            <w:r>
              <w:rPr>
                <w:rFonts w:hint="eastAsia" w:ascii="方正书宋_GBK" w:eastAsiaTheme="minorEastAsia"/>
              </w:rPr>
              <w:t>及时率每降低1%扣分5%，不达60%不得分</w:t>
            </w:r>
          </w:p>
        </w:tc>
        <w:tc>
          <w:tcPr>
            <w:tcW w:w="3329" w:type="dxa"/>
            <w:tcBorders>
              <w:tl2br w:val="nil"/>
              <w:tr2bl w:val="nil"/>
            </w:tcBorders>
            <w:vAlign w:val="center"/>
          </w:tcPr>
          <w:p w14:paraId="5A4981CC">
            <w:pPr>
              <w:widowControl/>
              <w:adjustRightInd w:val="0"/>
              <w:snapToGrid w:val="0"/>
              <w:rPr>
                <w:rFonts w:ascii="方正书宋_GBK" w:eastAsiaTheme="minorEastAsia"/>
              </w:rPr>
            </w:pPr>
            <w:r>
              <w:rPr>
                <w:rFonts w:hint="eastAsia" w:ascii="方正书宋_GBK" w:eastAsiaTheme="minorEastAsia"/>
              </w:rPr>
              <w:t>及时率＝在约定时间内（完成扫描的页数+扫描生成的目录条　数）/扫描完成的档案与生成目录总数</w:t>
            </w:r>
          </w:p>
        </w:tc>
        <w:tc>
          <w:tcPr>
            <w:tcW w:w="709" w:type="dxa"/>
            <w:tcBorders>
              <w:tl2br w:val="nil"/>
              <w:tr2bl w:val="nil"/>
            </w:tcBorders>
            <w:vAlign w:val="center"/>
          </w:tcPr>
          <w:p w14:paraId="7791D21A">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78DBF154">
            <w:pPr>
              <w:widowControl/>
              <w:adjustRightInd w:val="0"/>
              <w:snapToGrid w:val="0"/>
              <w:jc w:val="center"/>
              <w:rPr>
                <w:rFonts w:ascii="方正书宋_GBK" w:eastAsiaTheme="minorEastAsia"/>
              </w:rPr>
            </w:pPr>
            <w:r>
              <w:rPr>
                <w:rFonts w:hint="eastAsia" w:ascii="方正书宋_GBK" w:eastAsiaTheme="minorEastAsia"/>
              </w:rPr>
              <w:t>90</w:t>
            </w:r>
          </w:p>
        </w:tc>
        <w:tc>
          <w:tcPr>
            <w:tcW w:w="992" w:type="dxa"/>
            <w:tcBorders>
              <w:tl2br w:val="nil"/>
              <w:tr2bl w:val="nil"/>
            </w:tcBorders>
            <w:vAlign w:val="center"/>
          </w:tcPr>
          <w:p w14:paraId="01A7CBD6">
            <w:pPr>
              <w:widowControl/>
              <w:adjustRightInd w:val="0"/>
              <w:snapToGrid w:val="0"/>
              <w:jc w:val="center"/>
              <w:rPr>
                <w:rFonts w:ascii="方正书宋_GBK" w:eastAsiaTheme="minorEastAsia"/>
              </w:rPr>
            </w:pPr>
            <w:r>
              <w:rPr>
                <w:rFonts w:hint="eastAsia" w:ascii="方正书宋_GBK" w:eastAsiaTheme="minorEastAsia"/>
              </w:rPr>
              <w:t>%</w:t>
            </w:r>
          </w:p>
        </w:tc>
        <w:tc>
          <w:tcPr>
            <w:tcW w:w="1604" w:type="dxa"/>
            <w:tcBorders>
              <w:tl2br w:val="nil"/>
              <w:tr2bl w:val="nil"/>
            </w:tcBorders>
            <w:vAlign w:val="center"/>
          </w:tcPr>
          <w:p w14:paraId="18A73962">
            <w:pPr>
              <w:widowControl/>
              <w:adjustRightInd w:val="0"/>
              <w:snapToGrid w:val="0"/>
              <w:rPr>
                <w:rFonts w:ascii="方正书宋_GBK" w:eastAsiaTheme="minorEastAsia"/>
              </w:rPr>
            </w:pPr>
            <w:r>
              <w:rPr>
                <w:rFonts w:hint="eastAsia" w:ascii="方正书宋_GBK" w:eastAsiaTheme="minorEastAsia"/>
              </w:rPr>
              <w:t>项目验收单</w:t>
            </w:r>
          </w:p>
        </w:tc>
      </w:tr>
      <w:tr w14:paraId="10F0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18" w:hRule="atLeast"/>
          <w:jc w:val="center"/>
        </w:trPr>
        <w:tc>
          <w:tcPr>
            <w:tcW w:w="1409" w:type="dxa"/>
            <w:vMerge w:val="continue"/>
            <w:tcBorders>
              <w:tl2br w:val="nil"/>
              <w:tr2bl w:val="nil"/>
            </w:tcBorders>
            <w:vAlign w:val="center"/>
          </w:tcPr>
          <w:p w14:paraId="4C8284E6"/>
        </w:tc>
        <w:tc>
          <w:tcPr>
            <w:tcW w:w="1143" w:type="dxa"/>
            <w:tcBorders>
              <w:tl2br w:val="nil"/>
              <w:tr2bl w:val="nil"/>
            </w:tcBorders>
            <w:vAlign w:val="center"/>
          </w:tcPr>
          <w:p w14:paraId="2B91D91F">
            <w:pPr>
              <w:widowControl/>
              <w:adjustRightInd w:val="0"/>
              <w:snapToGrid w:val="0"/>
              <w:jc w:val="center"/>
              <w:rPr>
                <w:rFonts w:ascii="方正书宋_GBK" w:eastAsia="方正书宋_GBK"/>
              </w:rPr>
            </w:pPr>
            <w:r>
              <w:rPr>
                <w:rFonts w:ascii="方正书宋_GBK" w:eastAsia="方正书宋_GBK"/>
              </w:rPr>
              <w:t>成本</w:t>
            </w:r>
          </w:p>
        </w:tc>
        <w:tc>
          <w:tcPr>
            <w:tcW w:w="1570" w:type="dxa"/>
            <w:tcBorders>
              <w:tl2br w:val="nil"/>
              <w:tr2bl w:val="nil"/>
            </w:tcBorders>
            <w:vAlign w:val="center"/>
          </w:tcPr>
          <w:p w14:paraId="517DD397">
            <w:pPr>
              <w:widowControl/>
              <w:adjustRightInd w:val="0"/>
              <w:snapToGrid w:val="0"/>
              <w:rPr>
                <w:rFonts w:ascii="方正书宋_GBK" w:eastAsiaTheme="minorEastAsia"/>
              </w:rPr>
            </w:pPr>
            <w:r>
              <w:rPr>
                <w:rFonts w:hint="eastAsia" w:ascii="方正书宋_GBK" w:eastAsiaTheme="minorEastAsia"/>
              </w:rPr>
              <w:t>数字化扫描的单页成本</w:t>
            </w:r>
          </w:p>
        </w:tc>
        <w:tc>
          <w:tcPr>
            <w:tcW w:w="2592" w:type="dxa"/>
            <w:tcBorders>
              <w:tl2br w:val="nil"/>
              <w:tr2bl w:val="nil"/>
            </w:tcBorders>
            <w:vAlign w:val="center"/>
          </w:tcPr>
          <w:p w14:paraId="1AEB2A81">
            <w:pPr>
              <w:widowControl/>
              <w:adjustRightInd w:val="0"/>
              <w:snapToGrid w:val="0"/>
              <w:rPr>
                <w:rFonts w:ascii="方正书宋_GBK" w:eastAsiaTheme="minorEastAsia"/>
              </w:rPr>
            </w:pPr>
            <w:r>
              <w:rPr>
                <w:rFonts w:hint="eastAsia" w:ascii="方正书宋_GBK" w:eastAsiaTheme="minorEastAsia"/>
              </w:rPr>
              <w:t>控制在预算成本之内得100分，超出预算成本不得分</w:t>
            </w:r>
          </w:p>
        </w:tc>
        <w:tc>
          <w:tcPr>
            <w:tcW w:w="3329" w:type="dxa"/>
            <w:tcBorders>
              <w:tl2br w:val="nil"/>
              <w:tr2bl w:val="nil"/>
            </w:tcBorders>
            <w:vAlign w:val="center"/>
          </w:tcPr>
          <w:p w14:paraId="13C274C6">
            <w:pPr>
              <w:widowControl/>
              <w:adjustRightInd w:val="0"/>
              <w:snapToGrid w:val="0"/>
              <w:rPr>
                <w:rFonts w:ascii="方正书宋_GBK" w:eastAsiaTheme="minorEastAsia"/>
              </w:rPr>
            </w:pPr>
            <w:r>
              <w:rPr>
                <w:rFonts w:hint="eastAsia" w:ascii="方正书宋_GBK" w:eastAsiaTheme="minorEastAsia"/>
              </w:rPr>
              <w:t>反映档案馆数字化扫描完成的单页成本</w:t>
            </w:r>
          </w:p>
        </w:tc>
        <w:tc>
          <w:tcPr>
            <w:tcW w:w="709" w:type="dxa"/>
            <w:tcBorders>
              <w:tl2br w:val="nil"/>
              <w:tr2bl w:val="nil"/>
            </w:tcBorders>
            <w:vAlign w:val="center"/>
          </w:tcPr>
          <w:p w14:paraId="2C010581">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73786C8D">
            <w:pPr>
              <w:widowControl/>
              <w:adjustRightInd w:val="0"/>
              <w:snapToGrid w:val="0"/>
              <w:jc w:val="center"/>
              <w:rPr>
                <w:rFonts w:ascii="方正书宋_GBK" w:eastAsiaTheme="minorEastAsia"/>
              </w:rPr>
            </w:pPr>
            <w:r>
              <w:rPr>
                <w:rFonts w:hint="eastAsia" w:ascii="方正书宋_GBK" w:eastAsiaTheme="minorEastAsia"/>
              </w:rPr>
              <w:t>1</w:t>
            </w:r>
          </w:p>
        </w:tc>
        <w:tc>
          <w:tcPr>
            <w:tcW w:w="992" w:type="dxa"/>
            <w:tcBorders>
              <w:tl2br w:val="nil"/>
              <w:tr2bl w:val="nil"/>
            </w:tcBorders>
            <w:vAlign w:val="center"/>
          </w:tcPr>
          <w:p w14:paraId="17E3D1F5">
            <w:pPr>
              <w:widowControl/>
              <w:adjustRightInd w:val="0"/>
              <w:snapToGrid w:val="0"/>
              <w:jc w:val="center"/>
              <w:rPr>
                <w:rFonts w:ascii="方正书宋_GBK" w:eastAsiaTheme="minorEastAsia"/>
              </w:rPr>
            </w:pPr>
            <w:r>
              <w:rPr>
                <w:rFonts w:hint="eastAsia" w:ascii="方正书宋_GBK" w:eastAsiaTheme="minorEastAsia"/>
              </w:rPr>
              <w:t>元</w:t>
            </w:r>
          </w:p>
        </w:tc>
        <w:tc>
          <w:tcPr>
            <w:tcW w:w="1604" w:type="dxa"/>
            <w:tcBorders>
              <w:tl2br w:val="nil"/>
              <w:tr2bl w:val="nil"/>
            </w:tcBorders>
            <w:vAlign w:val="center"/>
          </w:tcPr>
          <w:p w14:paraId="7B3EE3A5">
            <w:pPr>
              <w:widowControl/>
              <w:adjustRightInd w:val="0"/>
              <w:snapToGrid w:val="0"/>
              <w:rPr>
                <w:rFonts w:ascii="方正书宋_GBK" w:eastAsiaTheme="minorEastAsia"/>
              </w:rPr>
            </w:pPr>
            <w:r>
              <w:rPr>
                <w:rFonts w:hint="eastAsia" w:ascii="方正书宋_GBK" w:eastAsiaTheme="minorEastAsia"/>
              </w:rPr>
              <w:t>依历史数据</w:t>
            </w:r>
          </w:p>
        </w:tc>
      </w:tr>
      <w:tr w14:paraId="320D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18" w:hRule="atLeast"/>
          <w:jc w:val="center"/>
        </w:trPr>
        <w:tc>
          <w:tcPr>
            <w:tcW w:w="1409" w:type="dxa"/>
            <w:vMerge w:val="restart"/>
            <w:tcBorders>
              <w:tl2br w:val="nil"/>
              <w:tr2bl w:val="nil"/>
            </w:tcBorders>
            <w:vAlign w:val="center"/>
          </w:tcPr>
          <w:p w14:paraId="26D037EA">
            <w:pPr>
              <w:adjustRightInd w:val="0"/>
              <w:snapToGrid w:val="0"/>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1143" w:type="dxa"/>
            <w:tcBorders>
              <w:tl2br w:val="nil"/>
              <w:tr2bl w:val="nil"/>
            </w:tcBorders>
            <w:vAlign w:val="center"/>
          </w:tcPr>
          <w:p w14:paraId="57900982">
            <w:pPr>
              <w:widowControl/>
              <w:adjustRightInd w:val="0"/>
              <w:snapToGrid w:val="0"/>
              <w:jc w:val="center"/>
              <w:rPr>
                <w:rFonts w:ascii="方正书宋_GBK" w:eastAsia="方正书宋_GBK"/>
              </w:rPr>
            </w:pPr>
            <w:r>
              <w:rPr>
                <w:rFonts w:ascii="方正书宋_GBK" w:eastAsia="方正书宋_GBK"/>
              </w:rPr>
              <w:t>社会</w:t>
            </w:r>
          </w:p>
          <w:p w14:paraId="1ABFFB59">
            <w:pPr>
              <w:widowControl/>
              <w:adjustRightInd w:val="0"/>
              <w:snapToGrid w:val="0"/>
              <w:jc w:val="center"/>
              <w:rPr>
                <w:rFonts w:ascii="方正书宋_GBK" w:eastAsia="方正书宋_GBK"/>
              </w:rPr>
            </w:pPr>
            <w:r>
              <w:rPr>
                <w:rFonts w:ascii="方正书宋_GBK" w:eastAsia="方正书宋_GBK"/>
              </w:rPr>
              <w:t>效益</w:t>
            </w:r>
          </w:p>
        </w:tc>
        <w:tc>
          <w:tcPr>
            <w:tcW w:w="1570" w:type="dxa"/>
            <w:tcBorders>
              <w:tl2br w:val="nil"/>
              <w:tr2bl w:val="nil"/>
            </w:tcBorders>
            <w:vAlign w:val="center"/>
          </w:tcPr>
          <w:p w14:paraId="17445AE0">
            <w:pPr>
              <w:widowControl/>
              <w:adjustRightInd w:val="0"/>
              <w:snapToGrid w:val="0"/>
              <w:rPr>
                <w:rFonts w:ascii="方正书宋_GBK" w:eastAsiaTheme="minorEastAsia"/>
              </w:rPr>
            </w:pPr>
            <w:r>
              <w:rPr>
                <w:rFonts w:hint="eastAsia" w:ascii="方正书宋_GBK" w:eastAsiaTheme="minorEastAsia"/>
              </w:rPr>
              <w:t>提供查阅档案卷数</w:t>
            </w:r>
          </w:p>
        </w:tc>
        <w:tc>
          <w:tcPr>
            <w:tcW w:w="2592" w:type="dxa"/>
            <w:tcBorders>
              <w:tl2br w:val="nil"/>
              <w:tr2bl w:val="nil"/>
            </w:tcBorders>
            <w:vAlign w:val="center"/>
          </w:tcPr>
          <w:p w14:paraId="646210CD">
            <w:pPr>
              <w:widowControl/>
              <w:adjustRightInd w:val="0"/>
              <w:snapToGrid w:val="0"/>
              <w:rPr>
                <w:rFonts w:ascii="方正书宋_GBK" w:eastAsiaTheme="minorEastAsia"/>
              </w:rPr>
            </w:pPr>
            <w:r>
              <w:rPr>
                <w:rFonts w:hint="eastAsia" w:ascii="方正书宋_GBK" w:eastAsiaTheme="minorEastAsia"/>
              </w:rPr>
              <w:t>提供查阅卷数每减少100卷，扣分10%</w:t>
            </w:r>
          </w:p>
        </w:tc>
        <w:tc>
          <w:tcPr>
            <w:tcW w:w="3329" w:type="dxa"/>
            <w:tcBorders>
              <w:tl2br w:val="nil"/>
              <w:tr2bl w:val="nil"/>
            </w:tcBorders>
            <w:vAlign w:val="center"/>
          </w:tcPr>
          <w:p w14:paraId="4AE3AF3F">
            <w:pPr>
              <w:widowControl/>
              <w:adjustRightInd w:val="0"/>
              <w:snapToGrid w:val="0"/>
              <w:rPr>
                <w:rFonts w:ascii="方正书宋_GBK" w:eastAsiaTheme="minorEastAsia"/>
              </w:rPr>
            </w:pPr>
            <w:r>
              <w:rPr>
                <w:rFonts w:hint="eastAsia" w:ascii="方正书宋_GBK" w:eastAsiaTheme="minorEastAsia"/>
              </w:rPr>
              <w:t>反映档案馆全年提供查阅档案卷数</w:t>
            </w:r>
          </w:p>
        </w:tc>
        <w:tc>
          <w:tcPr>
            <w:tcW w:w="709" w:type="dxa"/>
            <w:tcBorders>
              <w:tl2br w:val="nil"/>
              <w:tr2bl w:val="nil"/>
            </w:tcBorders>
            <w:vAlign w:val="center"/>
          </w:tcPr>
          <w:p w14:paraId="538FD003">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1D73E5F7">
            <w:pPr>
              <w:widowControl/>
              <w:adjustRightInd w:val="0"/>
              <w:snapToGrid w:val="0"/>
              <w:jc w:val="center"/>
              <w:rPr>
                <w:rFonts w:ascii="方正书宋_GBK" w:eastAsiaTheme="minorEastAsia"/>
              </w:rPr>
            </w:pPr>
            <w:r>
              <w:rPr>
                <w:rFonts w:hint="eastAsia" w:ascii="方正书宋_GBK" w:eastAsiaTheme="minorEastAsia"/>
              </w:rPr>
              <w:t>1000</w:t>
            </w:r>
          </w:p>
        </w:tc>
        <w:tc>
          <w:tcPr>
            <w:tcW w:w="992" w:type="dxa"/>
            <w:tcBorders>
              <w:tl2br w:val="nil"/>
              <w:tr2bl w:val="nil"/>
            </w:tcBorders>
            <w:vAlign w:val="center"/>
          </w:tcPr>
          <w:p w14:paraId="7EC75C5C">
            <w:pPr>
              <w:widowControl/>
              <w:adjustRightInd w:val="0"/>
              <w:snapToGrid w:val="0"/>
              <w:jc w:val="center"/>
              <w:rPr>
                <w:rFonts w:ascii="方正书宋_GBK" w:eastAsiaTheme="minorEastAsia"/>
              </w:rPr>
            </w:pPr>
            <w:r>
              <w:rPr>
                <w:rFonts w:hint="eastAsia" w:ascii="方正书宋_GBK" w:eastAsiaTheme="minorEastAsia"/>
              </w:rPr>
              <w:t>卷</w:t>
            </w:r>
          </w:p>
        </w:tc>
        <w:tc>
          <w:tcPr>
            <w:tcW w:w="1604" w:type="dxa"/>
            <w:tcBorders>
              <w:tl2br w:val="nil"/>
              <w:tr2bl w:val="nil"/>
            </w:tcBorders>
            <w:vAlign w:val="center"/>
          </w:tcPr>
          <w:p w14:paraId="3D7DE54D">
            <w:pPr>
              <w:widowControl/>
              <w:adjustRightInd w:val="0"/>
              <w:snapToGrid w:val="0"/>
              <w:rPr>
                <w:rFonts w:ascii="方正书宋_GBK" w:eastAsiaTheme="minorEastAsia"/>
              </w:rPr>
            </w:pPr>
            <w:r>
              <w:rPr>
                <w:rFonts w:hint="eastAsia" w:ascii="方正书宋_GBK" w:eastAsiaTheme="minorEastAsia"/>
              </w:rPr>
              <w:t>历史数据</w:t>
            </w:r>
          </w:p>
        </w:tc>
      </w:tr>
      <w:tr w14:paraId="6469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06" w:hRule="atLeast"/>
          <w:jc w:val="center"/>
        </w:trPr>
        <w:tc>
          <w:tcPr>
            <w:tcW w:w="1409" w:type="dxa"/>
            <w:vMerge w:val="continue"/>
            <w:tcBorders>
              <w:tl2br w:val="nil"/>
              <w:tr2bl w:val="nil"/>
            </w:tcBorders>
            <w:vAlign w:val="center"/>
          </w:tcPr>
          <w:p w14:paraId="7D01C24D"/>
        </w:tc>
        <w:tc>
          <w:tcPr>
            <w:tcW w:w="1143" w:type="dxa"/>
            <w:tcBorders>
              <w:tl2br w:val="nil"/>
              <w:tr2bl w:val="nil"/>
            </w:tcBorders>
            <w:vAlign w:val="center"/>
          </w:tcPr>
          <w:p w14:paraId="395F63D9">
            <w:pPr>
              <w:widowControl/>
              <w:adjustRightInd w:val="0"/>
              <w:snapToGrid w:val="0"/>
              <w:jc w:val="center"/>
              <w:rPr>
                <w:rFonts w:ascii="方正书宋_GBK" w:eastAsia="方正书宋_GBK"/>
              </w:rPr>
            </w:pPr>
            <w:r>
              <w:rPr>
                <w:rFonts w:hint="eastAsia" w:ascii="方正书宋_GBK" w:eastAsia="方正书宋_GBK"/>
              </w:rPr>
              <w:t>满意度</w:t>
            </w:r>
          </w:p>
        </w:tc>
        <w:tc>
          <w:tcPr>
            <w:tcW w:w="1570" w:type="dxa"/>
            <w:tcBorders>
              <w:tl2br w:val="nil"/>
              <w:tr2bl w:val="nil"/>
            </w:tcBorders>
            <w:noWrap/>
            <w:vAlign w:val="center"/>
          </w:tcPr>
          <w:p w14:paraId="772CF579">
            <w:pPr>
              <w:widowControl/>
              <w:adjustRightInd w:val="0"/>
              <w:snapToGrid w:val="0"/>
              <w:rPr>
                <w:rFonts w:ascii="方正书宋_GBK" w:eastAsiaTheme="minorEastAsia"/>
              </w:rPr>
            </w:pPr>
            <w:r>
              <w:rPr>
                <w:rFonts w:hint="eastAsia" w:ascii="方正书宋_GBK" w:eastAsiaTheme="minorEastAsia"/>
              </w:rPr>
              <w:t>服务对象满意度</w:t>
            </w:r>
          </w:p>
        </w:tc>
        <w:tc>
          <w:tcPr>
            <w:tcW w:w="2592" w:type="dxa"/>
            <w:tcBorders>
              <w:tl2br w:val="nil"/>
              <w:tr2bl w:val="nil"/>
            </w:tcBorders>
            <w:noWrap/>
            <w:vAlign w:val="center"/>
          </w:tcPr>
          <w:p w14:paraId="5566379F">
            <w:pPr>
              <w:widowControl/>
              <w:adjustRightInd w:val="0"/>
              <w:snapToGrid w:val="0"/>
              <w:rPr>
                <w:rFonts w:ascii="方正书宋_GBK" w:eastAsiaTheme="minorEastAsia"/>
              </w:rPr>
            </w:pPr>
            <w:r>
              <w:rPr>
                <w:rFonts w:hint="eastAsia" w:ascii="方正书宋_GBK" w:eastAsiaTheme="minorEastAsia"/>
              </w:rPr>
              <w:t>满意度每降低10%扣分10%，不达60%不得分</w:t>
            </w:r>
          </w:p>
        </w:tc>
        <w:tc>
          <w:tcPr>
            <w:tcW w:w="3329" w:type="dxa"/>
            <w:tcBorders>
              <w:tl2br w:val="nil"/>
              <w:tr2bl w:val="nil"/>
            </w:tcBorders>
            <w:noWrap/>
            <w:vAlign w:val="center"/>
          </w:tcPr>
          <w:p w14:paraId="77E1C6A4">
            <w:pPr>
              <w:widowControl/>
              <w:adjustRightInd w:val="0"/>
              <w:snapToGrid w:val="0"/>
              <w:rPr>
                <w:rFonts w:ascii="方正书宋_GBK" w:eastAsiaTheme="minorEastAsia"/>
              </w:rPr>
            </w:pPr>
            <w:r>
              <w:rPr>
                <w:rFonts w:hint="eastAsia" w:ascii="方正书宋_GBK" w:eastAsiaTheme="minorEastAsia"/>
              </w:rPr>
              <w:t>反映查阅档案人员满意度</w:t>
            </w:r>
          </w:p>
        </w:tc>
        <w:tc>
          <w:tcPr>
            <w:tcW w:w="709" w:type="dxa"/>
            <w:tcBorders>
              <w:tl2br w:val="nil"/>
              <w:tr2bl w:val="nil"/>
            </w:tcBorders>
            <w:vAlign w:val="center"/>
          </w:tcPr>
          <w:p w14:paraId="4B7222DA">
            <w:pPr>
              <w:widowControl/>
              <w:adjustRightInd w:val="0"/>
              <w:snapToGrid w:val="0"/>
              <w:jc w:val="center"/>
              <w:rPr>
                <w:rFonts w:ascii="方正书宋_GBK" w:eastAsia="方正书宋_GBK"/>
              </w:rPr>
            </w:pPr>
            <w:r>
              <w:rPr>
                <w:rFonts w:hint="eastAsia" w:ascii="方正书宋_GBK" w:eastAsia="方正书宋_GBK"/>
              </w:rPr>
              <w:t>≥</w:t>
            </w:r>
          </w:p>
        </w:tc>
        <w:tc>
          <w:tcPr>
            <w:tcW w:w="850" w:type="dxa"/>
            <w:tcBorders>
              <w:tl2br w:val="nil"/>
              <w:tr2bl w:val="nil"/>
            </w:tcBorders>
            <w:vAlign w:val="center"/>
          </w:tcPr>
          <w:p w14:paraId="2D36894E">
            <w:pPr>
              <w:widowControl/>
              <w:adjustRightInd w:val="0"/>
              <w:snapToGrid w:val="0"/>
              <w:jc w:val="center"/>
              <w:rPr>
                <w:rFonts w:ascii="方正书宋_GBK" w:eastAsiaTheme="minorEastAsia"/>
              </w:rPr>
            </w:pPr>
            <w:r>
              <w:rPr>
                <w:rFonts w:hint="eastAsia" w:ascii="方正书宋_GBK" w:eastAsiaTheme="minorEastAsia"/>
              </w:rPr>
              <w:t>90</w:t>
            </w:r>
          </w:p>
        </w:tc>
        <w:tc>
          <w:tcPr>
            <w:tcW w:w="992" w:type="dxa"/>
            <w:tcBorders>
              <w:tl2br w:val="nil"/>
              <w:tr2bl w:val="nil"/>
            </w:tcBorders>
            <w:vAlign w:val="center"/>
          </w:tcPr>
          <w:p w14:paraId="7DC1B4FC">
            <w:pPr>
              <w:widowControl/>
              <w:adjustRightInd w:val="0"/>
              <w:snapToGrid w:val="0"/>
              <w:rPr>
                <w:rFonts w:ascii="方正书宋_GBK" w:eastAsiaTheme="minorEastAsia"/>
              </w:rPr>
            </w:pPr>
            <w:r>
              <w:rPr>
                <w:rFonts w:hint="eastAsia" w:ascii="方正书宋_GBK" w:eastAsiaTheme="minorEastAsia"/>
              </w:rPr>
              <w:t>%</w:t>
            </w:r>
          </w:p>
        </w:tc>
        <w:tc>
          <w:tcPr>
            <w:tcW w:w="1604" w:type="dxa"/>
            <w:tcBorders>
              <w:tl2br w:val="nil"/>
              <w:tr2bl w:val="nil"/>
            </w:tcBorders>
            <w:vAlign w:val="center"/>
          </w:tcPr>
          <w:p w14:paraId="705A8231">
            <w:pPr>
              <w:widowControl/>
              <w:adjustRightInd w:val="0"/>
              <w:snapToGrid w:val="0"/>
              <w:rPr>
                <w:rFonts w:ascii="方正书宋_GBK" w:eastAsiaTheme="minorEastAsia"/>
              </w:rPr>
            </w:pPr>
            <w:r>
              <w:rPr>
                <w:rFonts w:hint="eastAsia" w:ascii="方正书宋_GBK" w:eastAsiaTheme="minorEastAsia"/>
              </w:rPr>
              <w:t>调查问卷</w:t>
            </w:r>
          </w:p>
        </w:tc>
      </w:tr>
    </w:tbl>
    <w:p w14:paraId="353FF944">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6F0AD9EE">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档案馆运行保障经费</w:t>
      </w:r>
      <w:r>
        <w:rPr>
          <w:rFonts w:ascii="Times New Roman" w:hAnsi="Times New Roman" w:eastAsia="仿宋_GB2312" w:cs="Times New Roman"/>
          <w:sz w:val="28"/>
        </w:rPr>
        <w:t>绩效目标表</w:t>
      </w:r>
      <w:bookmarkStart w:id="0" w:name="_Toc29799657"/>
      <w:bookmarkEnd w:id="0"/>
    </w:p>
    <w:p w14:paraId="0BEA1B4A">
      <w:pPr>
        <w:spacing w:line="14" w:lineRule="exact"/>
        <w:ind w:firstLine="420" w:firstLineChars="200"/>
        <w:jc w:val="center"/>
        <w:rPr>
          <w:rFonts w:ascii="Times New Roman" w:hAnsi="Times New Roman" w:eastAsia="仿宋_GB2312" w:cs="Times New Roman"/>
        </w:rPr>
      </w:pPr>
    </w:p>
    <w:tbl>
      <w:tblPr>
        <w:tblStyle w:val="8"/>
        <w:tblW w:w="1432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54"/>
        <w:gridCol w:w="1642"/>
        <w:gridCol w:w="2886"/>
        <w:gridCol w:w="2745"/>
        <w:gridCol w:w="2018"/>
        <w:gridCol w:w="2576"/>
      </w:tblGrid>
      <w:tr w14:paraId="578462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14" w:hRule="atLeast"/>
          <w:tblHeader/>
          <w:jc w:val="center"/>
        </w:trPr>
        <w:tc>
          <w:tcPr>
            <w:tcW w:w="2454" w:type="dxa"/>
            <w:shd w:val="clear" w:color="auto" w:fill="auto"/>
            <w:vAlign w:val="center"/>
          </w:tcPr>
          <w:p w14:paraId="4B1556E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867" w:type="dxa"/>
            <w:gridSpan w:val="5"/>
            <w:shd w:val="clear" w:color="auto" w:fill="auto"/>
            <w:vAlign w:val="center"/>
          </w:tcPr>
          <w:p w14:paraId="7261A1B0">
            <w:pPr>
              <w:spacing w:line="300" w:lineRule="exact"/>
              <w:rPr>
                <w:rFonts w:ascii="Times New Roman" w:hAnsi="Times New Roman" w:eastAsia="仿宋_GB2312" w:cs="Times New Roman"/>
                <w:b/>
              </w:rPr>
            </w:pPr>
            <w:r>
              <w:rPr>
                <w:rFonts w:hint="eastAsia" w:ascii="Times New Roman" w:hAnsi="Times New Roman" w:eastAsia="仿宋_GB2312" w:cs="Times New Roman"/>
                <w:b/>
              </w:rPr>
              <w:t>1、保障档案馆的业务正常开展；2、保障档案馆日常工作正常进行；3、保障档案馆能够正常有序地运转</w:t>
            </w:r>
          </w:p>
        </w:tc>
      </w:tr>
      <w:tr w14:paraId="6AD9BD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14" w:hRule="atLeast"/>
          <w:tblHeader/>
          <w:jc w:val="center"/>
        </w:trPr>
        <w:tc>
          <w:tcPr>
            <w:tcW w:w="2454" w:type="dxa"/>
            <w:shd w:val="clear" w:color="auto" w:fill="auto"/>
            <w:vAlign w:val="center"/>
          </w:tcPr>
          <w:p w14:paraId="0E1B14E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1642" w:type="dxa"/>
            <w:shd w:val="clear" w:color="auto" w:fill="auto"/>
            <w:vAlign w:val="center"/>
          </w:tcPr>
          <w:p w14:paraId="3A9629F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886" w:type="dxa"/>
            <w:shd w:val="clear" w:color="auto" w:fill="auto"/>
            <w:vAlign w:val="center"/>
          </w:tcPr>
          <w:p w14:paraId="47794A5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2745" w:type="dxa"/>
            <w:shd w:val="clear" w:color="auto" w:fill="auto"/>
            <w:vAlign w:val="center"/>
          </w:tcPr>
          <w:p w14:paraId="0BC307E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2018" w:type="dxa"/>
            <w:shd w:val="clear" w:color="auto" w:fill="auto"/>
            <w:vAlign w:val="center"/>
          </w:tcPr>
          <w:p w14:paraId="6895D90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576" w:type="dxa"/>
            <w:shd w:val="clear" w:color="auto" w:fill="auto"/>
            <w:vAlign w:val="center"/>
          </w:tcPr>
          <w:p w14:paraId="4F100F4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A36D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vMerge w:val="restart"/>
            <w:shd w:val="clear" w:color="auto" w:fill="auto"/>
            <w:vAlign w:val="center"/>
          </w:tcPr>
          <w:p w14:paraId="2A6CFF6D">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1642" w:type="dxa"/>
            <w:shd w:val="clear" w:color="auto" w:fill="auto"/>
            <w:vAlign w:val="center"/>
          </w:tcPr>
          <w:p w14:paraId="50BF514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2886" w:type="dxa"/>
            <w:shd w:val="clear" w:color="auto" w:fill="auto"/>
            <w:vAlign w:val="center"/>
          </w:tcPr>
          <w:p w14:paraId="0BBD641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物业提供服务内容数量</w:t>
            </w:r>
          </w:p>
        </w:tc>
        <w:tc>
          <w:tcPr>
            <w:tcW w:w="2745" w:type="dxa"/>
            <w:shd w:val="clear" w:color="auto" w:fill="auto"/>
            <w:vAlign w:val="center"/>
          </w:tcPr>
          <w:p w14:paraId="65FED5B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物业提供3种服务内容</w:t>
            </w:r>
          </w:p>
        </w:tc>
        <w:tc>
          <w:tcPr>
            <w:tcW w:w="2018" w:type="dxa"/>
            <w:shd w:val="clear" w:color="auto" w:fill="auto"/>
            <w:vAlign w:val="center"/>
          </w:tcPr>
          <w:p w14:paraId="1C5A394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3种</w:t>
            </w:r>
          </w:p>
        </w:tc>
        <w:tc>
          <w:tcPr>
            <w:tcW w:w="2576" w:type="dxa"/>
            <w:shd w:val="clear" w:color="auto" w:fill="auto"/>
            <w:vAlign w:val="center"/>
          </w:tcPr>
          <w:p w14:paraId="65FD81C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1214C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vMerge w:val="continue"/>
            <w:shd w:val="clear" w:color="auto" w:fill="auto"/>
            <w:vAlign w:val="center"/>
          </w:tcPr>
          <w:p w14:paraId="6D0D5F46"/>
        </w:tc>
        <w:tc>
          <w:tcPr>
            <w:tcW w:w="1642" w:type="dxa"/>
            <w:shd w:val="clear" w:color="auto" w:fill="auto"/>
            <w:vAlign w:val="center"/>
          </w:tcPr>
          <w:p w14:paraId="2A55CEB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2886" w:type="dxa"/>
            <w:shd w:val="clear" w:color="auto" w:fill="auto"/>
            <w:vAlign w:val="center"/>
          </w:tcPr>
          <w:p w14:paraId="5352911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正常运转率</w:t>
            </w:r>
          </w:p>
        </w:tc>
        <w:tc>
          <w:tcPr>
            <w:tcW w:w="2745" w:type="dxa"/>
            <w:shd w:val="clear" w:color="auto" w:fill="auto"/>
            <w:vAlign w:val="center"/>
          </w:tcPr>
          <w:p w14:paraId="21F5A81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保障工作的正常运转</w:t>
            </w:r>
          </w:p>
        </w:tc>
        <w:tc>
          <w:tcPr>
            <w:tcW w:w="2018" w:type="dxa"/>
            <w:shd w:val="clear" w:color="auto" w:fill="auto"/>
            <w:vAlign w:val="center"/>
          </w:tcPr>
          <w:p w14:paraId="7C18E73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576" w:type="dxa"/>
            <w:shd w:val="clear" w:color="auto" w:fill="auto"/>
            <w:vAlign w:val="center"/>
          </w:tcPr>
          <w:p w14:paraId="6548732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69C73D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vMerge w:val="continue"/>
            <w:shd w:val="clear" w:color="auto" w:fill="auto"/>
            <w:vAlign w:val="center"/>
          </w:tcPr>
          <w:p w14:paraId="2B0EB977"/>
        </w:tc>
        <w:tc>
          <w:tcPr>
            <w:tcW w:w="1642" w:type="dxa"/>
            <w:shd w:val="clear" w:color="auto" w:fill="auto"/>
            <w:vAlign w:val="center"/>
          </w:tcPr>
          <w:p w14:paraId="665B946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2886" w:type="dxa"/>
            <w:shd w:val="clear" w:color="auto" w:fill="auto"/>
            <w:vAlign w:val="center"/>
          </w:tcPr>
          <w:p w14:paraId="5934011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完成及时性</w:t>
            </w:r>
          </w:p>
        </w:tc>
        <w:tc>
          <w:tcPr>
            <w:tcW w:w="2745" w:type="dxa"/>
            <w:shd w:val="clear" w:color="auto" w:fill="auto"/>
            <w:vAlign w:val="center"/>
          </w:tcPr>
          <w:p w14:paraId="70C00C8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物业提供服务的及时率</w:t>
            </w:r>
          </w:p>
        </w:tc>
        <w:tc>
          <w:tcPr>
            <w:tcW w:w="2018" w:type="dxa"/>
            <w:shd w:val="clear" w:color="auto" w:fill="auto"/>
            <w:vAlign w:val="center"/>
          </w:tcPr>
          <w:p w14:paraId="73C7B1A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576" w:type="dxa"/>
            <w:shd w:val="clear" w:color="auto" w:fill="auto"/>
            <w:vAlign w:val="center"/>
          </w:tcPr>
          <w:p w14:paraId="67288C1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310182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vMerge w:val="continue"/>
            <w:shd w:val="clear" w:color="auto" w:fill="auto"/>
            <w:vAlign w:val="center"/>
          </w:tcPr>
          <w:p w14:paraId="06EE07A0"/>
        </w:tc>
        <w:tc>
          <w:tcPr>
            <w:tcW w:w="1642" w:type="dxa"/>
            <w:shd w:val="clear" w:color="auto" w:fill="auto"/>
            <w:vAlign w:val="center"/>
          </w:tcPr>
          <w:p w14:paraId="25E9DED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2886" w:type="dxa"/>
            <w:shd w:val="clear" w:color="auto" w:fill="auto"/>
            <w:vAlign w:val="center"/>
          </w:tcPr>
          <w:p w14:paraId="1379517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档案盒的成本</w:t>
            </w:r>
          </w:p>
        </w:tc>
        <w:tc>
          <w:tcPr>
            <w:tcW w:w="2745" w:type="dxa"/>
            <w:shd w:val="clear" w:color="auto" w:fill="auto"/>
            <w:vAlign w:val="center"/>
          </w:tcPr>
          <w:p w14:paraId="05C40A5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档案盒的最低成本</w:t>
            </w:r>
          </w:p>
        </w:tc>
        <w:tc>
          <w:tcPr>
            <w:tcW w:w="2018" w:type="dxa"/>
            <w:shd w:val="clear" w:color="auto" w:fill="auto"/>
            <w:vAlign w:val="center"/>
          </w:tcPr>
          <w:p w14:paraId="5D815B68">
            <w:pPr>
              <w:spacing w:line="300" w:lineRule="exact"/>
              <w:jc w:val="left"/>
              <w:rPr>
                <w:rFonts w:ascii="Times New Roman" w:hAnsi="Times New Roman" w:cs="Times New Roman" w:eastAsiaTheme="minorEastAsia"/>
              </w:rPr>
            </w:pPr>
            <w:r>
              <w:rPr>
                <w:rFonts w:hint="eastAsia" w:ascii="方正书宋_GBK" w:eastAsia="方正书宋_GBK"/>
              </w:rPr>
              <w:t>≤</w:t>
            </w:r>
            <w:r>
              <w:rPr>
                <w:rFonts w:hint="eastAsia" w:ascii="方正书宋_GBK" w:eastAsiaTheme="minorEastAsia"/>
              </w:rPr>
              <w:t>5元</w:t>
            </w:r>
          </w:p>
        </w:tc>
        <w:tc>
          <w:tcPr>
            <w:tcW w:w="2576" w:type="dxa"/>
            <w:shd w:val="clear" w:color="auto" w:fill="auto"/>
            <w:vAlign w:val="center"/>
          </w:tcPr>
          <w:p w14:paraId="54AE8D6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依年初计划</w:t>
            </w:r>
          </w:p>
        </w:tc>
      </w:tr>
      <w:tr w14:paraId="0A730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shd w:val="clear" w:color="auto" w:fill="auto"/>
            <w:vAlign w:val="center"/>
          </w:tcPr>
          <w:p w14:paraId="3A666647">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1642" w:type="dxa"/>
            <w:shd w:val="clear" w:color="auto" w:fill="auto"/>
            <w:vAlign w:val="center"/>
          </w:tcPr>
          <w:p w14:paraId="6F6DE4A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2886" w:type="dxa"/>
            <w:shd w:val="clear" w:color="auto" w:fill="auto"/>
            <w:vAlign w:val="center"/>
          </w:tcPr>
          <w:p w14:paraId="0D38242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对档案馆运行保障程度</w:t>
            </w:r>
          </w:p>
        </w:tc>
        <w:tc>
          <w:tcPr>
            <w:tcW w:w="2745" w:type="dxa"/>
            <w:shd w:val="clear" w:color="auto" w:fill="auto"/>
            <w:vAlign w:val="center"/>
          </w:tcPr>
          <w:p w14:paraId="1A9B4AD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物业提供的服务对档案馆运行保障的程度</w:t>
            </w:r>
          </w:p>
        </w:tc>
        <w:tc>
          <w:tcPr>
            <w:tcW w:w="2018" w:type="dxa"/>
            <w:shd w:val="clear" w:color="auto" w:fill="auto"/>
            <w:vAlign w:val="center"/>
          </w:tcPr>
          <w:p w14:paraId="3B876CE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正常有序</w:t>
            </w:r>
          </w:p>
        </w:tc>
        <w:tc>
          <w:tcPr>
            <w:tcW w:w="2576" w:type="dxa"/>
            <w:shd w:val="clear" w:color="auto" w:fill="auto"/>
            <w:vAlign w:val="center"/>
          </w:tcPr>
          <w:p w14:paraId="672F74F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5F4DF5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2" w:hRule="atLeast"/>
          <w:jc w:val="center"/>
        </w:trPr>
        <w:tc>
          <w:tcPr>
            <w:tcW w:w="2454" w:type="dxa"/>
            <w:shd w:val="clear" w:color="auto" w:fill="auto"/>
            <w:vAlign w:val="center"/>
          </w:tcPr>
          <w:p w14:paraId="63E28EDF">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1642" w:type="dxa"/>
            <w:shd w:val="clear" w:color="auto" w:fill="auto"/>
            <w:vAlign w:val="center"/>
          </w:tcPr>
          <w:p w14:paraId="58851E2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2886" w:type="dxa"/>
            <w:shd w:val="clear" w:color="auto" w:fill="auto"/>
            <w:vAlign w:val="center"/>
          </w:tcPr>
          <w:p w14:paraId="580EDA2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客户满意度</w:t>
            </w:r>
          </w:p>
        </w:tc>
        <w:tc>
          <w:tcPr>
            <w:tcW w:w="2745" w:type="dxa"/>
            <w:shd w:val="clear" w:color="auto" w:fill="auto"/>
            <w:vAlign w:val="center"/>
          </w:tcPr>
          <w:p w14:paraId="4430EC8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利用者满意度</w:t>
            </w:r>
          </w:p>
        </w:tc>
        <w:tc>
          <w:tcPr>
            <w:tcW w:w="2018" w:type="dxa"/>
            <w:shd w:val="clear" w:color="auto" w:fill="auto"/>
            <w:vAlign w:val="center"/>
          </w:tcPr>
          <w:p w14:paraId="7A78AC57">
            <w:pPr>
              <w:spacing w:line="300" w:lineRule="exact"/>
              <w:jc w:val="left"/>
              <w:rPr>
                <w:rFonts w:ascii="Times New Roman" w:hAnsi="Times New Roman" w:cs="Times New Roman" w:eastAsiaTheme="minorEastAsia"/>
              </w:rPr>
            </w:pPr>
            <w:r>
              <w:rPr>
                <w:rFonts w:hint="eastAsia" w:ascii="方正书宋_GBK" w:eastAsia="方正书宋_GBK"/>
              </w:rPr>
              <w:t>≥</w:t>
            </w:r>
            <w:r>
              <w:rPr>
                <w:rFonts w:hint="eastAsia" w:ascii="方正书宋_GBK" w:eastAsiaTheme="minorEastAsia"/>
              </w:rPr>
              <w:t>90%</w:t>
            </w:r>
          </w:p>
        </w:tc>
        <w:tc>
          <w:tcPr>
            <w:tcW w:w="2576" w:type="dxa"/>
            <w:shd w:val="clear" w:color="auto" w:fill="auto"/>
            <w:vAlign w:val="center"/>
          </w:tcPr>
          <w:p w14:paraId="15C0323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00B13BB">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市档案馆搬迁加固改造及设备购置资金（2021年项目尾款）</w:t>
      </w:r>
      <w:r>
        <w:rPr>
          <w:rFonts w:ascii="Times New Roman" w:hAnsi="Times New Roman" w:eastAsia="仿宋_GB2312" w:cs="Times New Roman"/>
          <w:sz w:val="28"/>
        </w:rPr>
        <w:t>绩效目标表</w:t>
      </w:r>
    </w:p>
    <w:p w14:paraId="0F4BBF9E">
      <w:pPr>
        <w:spacing w:line="14" w:lineRule="exact"/>
        <w:ind w:firstLine="420" w:firstLineChars="200"/>
        <w:jc w:val="center"/>
        <w:rPr>
          <w:rFonts w:ascii="Times New Roman" w:hAnsi="Times New Roman" w:eastAsia="仿宋_GB2312" w:cs="Times New Roman"/>
        </w:rPr>
      </w:pPr>
    </w:p>
    <w:tbl>
      <w:tblPr>
        <w:tblStyle w:val="8"/>
        <w:tblW w:w="1421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35"/>
        <w:gridCol w:w="2292"/>
        <w:gridCol w:w="2007"/>
        <w:gridCol w:w="3439"/>
        <w:gridCol w:w="1864"/>
        <w:gridCol w:w="2180"/>
      </w:tblGrid>
      <w:tr w14:paraId="218B89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10" w:hRule="atLeast"/>
          <w:tblHeader/>
          <w:jc w:val="center"/>
        </w:trPr>
        <w:tc>
          <w:tcPr>
            <w:tcW w:w="2435" w:type="dxa"/>
            <w:shd w:val="clear" w:color="auto" w:fill="auto"/>
            <w:vAlign w:val="center"/>
          </w:tcPr>
          <w:p w14:paraId="2914B92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781" w:type="dxa"/>
            <w:gridSpan w:val="5"/>
            <w:shd w:val="clear" w:color="auto" w:fill="auto"/>
            <w:vAlign w:val="center"/>
          </w:tcPr>
          <w:p w14:paraId="02229818">
            <w:pPr>
              <w:spacing w:line="300" w:lineRule="exact"/>
              <w:rPr>
                <w:rFonts w:ascii="Times New Roman" w:hAnsi="Times New Roman" w:eastAsia="仿宋_GB2312" w:cs="Times New Roman"/>
                <w:b/>
              </w:rPr>
            </w:pPr>
          </w:p>
        </w:tc>
      </w:tr>
      <w:tr w14:paraId="44672F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10" w:hRule="atLeast"/>
          <w:tblHeader/>
          <w:jc w:val="center"/>
        </w:trPr>
        <w:tc>
          <w:tcPr>
            <w:tcW w:w="2435" w:type="dxa"/>
            <w:shd w:val="clear" w:color="auto" w:fill="auto"/>
            <w:vAlign w:val="center"/>
          </w:tcPr>
          <w:p w14:paraId="4C28EB6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92" w:type="dxa"/>
            <w:shd w:val="clear" w:color="auto" w:fill="auto"/>
            <w:vAlign w:val="center"/>
          </w:tcPr>
          <w:p w14:paraId="7CE28D9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007" w:type="dxa"/>
            <w:shd w:val="clear" w:color="auto" w:fill="auto"/>
            <w:vAlign w:val="center"/>
          </w:tcPr>
          <w:p w14:paraId="1825CEBA">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39" w:type="dxa"/>
            <w:shd w:val="clear" w:color="auto" w:fill="auto"/>
            <w:vAlign w:val="center"/>
          </w:tcPr>
          <w:p w14:paraId="18301D9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64" w:type="dxa"/>
            <w:shd w:val="clear" w:color="auto" w:fill="auto"/>
            <w:vAlign w:val="center"/>
          </w:tcPr>
          <w:p w14:paraId="7DCEF329">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80" w:type="dxa"/>
            <w:shd w:val="clear" w:color="auto" w:fill="auto"/>
            <w:vAlign w:val="center"/>
          </w:tcPr>
          <w:p w14:paraId="61FD92C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1B2A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vMerge w:val="restart"/>
            <w:shd w:val="clear" w:color="auto" w:fill="auto"/>
            <w:vAlign w:val="center"/>
          </w:tcPr>
          <w:p w14:paraId="4BA986CC">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92" w:type="dxa"/>
            <w:shd w:val="clear" w:color="auto" w:fill="auto"/>
            <w:vAlign w:val="center"/>
          </w:tcPr>
          <w:p w14:paraId="63229D9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2007" w:type="dxa"/>
            <w:shd w:val="clear" w:color="auto" w:fill="auto"/>
            <w:vAlign w:val="center"/>
          </w:tcPr>
          <w:p w14:paraId="2A13139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总建筑面积</w:t>
            </w:r>
          </w:p>
        </w:tc>
        <w:tc>
          <w:tcPr>
            <w:tcW w:w="3439" w:type="dxa"/>
            <w:shd w:val="clear" w:color="auto" w:fill="auto"/>
            <w:vAlign w:val="center"/>
          </w:tcPr>
          <w:p w14:paraId="360674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改造档案馆总建筑面积</w:t>
            </w:r>
          </w:p>
        </w:tc>
        <w:tc>
          <w:tcPr>
            <w:tcW w:w="1864" w:type="dxa"/>
            <w:shd w:val="clear" w:color="auto" w:fill="auto"/>
            <w:vAlign w:val="center"/>
          </w:tcPr>
          <w:p w14:paraId="60C4D4CD">
            <w:pPr>
              <w:spacing w:line="300" w:lineRule="exact"/>
              <w:jc w:val="left"/>
              <w:rPr>
                <w:rFonts w:ascii="Times New Roman" w:hAnsi="Times New Roman" w:eastAsia="仿宋_GB2312" w:cs="Times New Roman"/>
              </w:rPr>
            </w:pPr>
            <w:r>
              <w:rPr>
                <w:rFonts w:hint="eastAsia" w:ascii="方正书宋_GBK" w:eastAsia="方正书宋_GBK"/>
              </w:rPr>
              <w:t>≥</w:t>
            </w:r>
            <w:r>
              <w:rPr>
                <w:rFonts w:hint="eastAsia" w:ascii="方正书宋_GBK" w:eastAsiaTheme="minorEastAsia"/>
              </w:rPr>
              <w:t>5500平米</w:t>
            </w:r>
          </w:p>
        </w:tc>
        <w:tc>
          <w:tcPr>
            <w:tcW w:w="2180" w:type="dxa"/>
            <w:shd w:val="clear" w:color="auto" w:fill="auto"/>
            <w:vAlign w:val="center"/>
          </w:tcPr>
          <w:p w14:paraId="6269EB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依政府文件</w:t>
            </w:r>
          </w:p>
        </w:tc>
      </w:tr>
      <w:tr w14:paraId="3E0D06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vMerge w:val="continue"/>
            <w:shd w:val="clear" w:color="auto" w:fill="auto"/>
            <w:vAlign w:val="center"/>
          </w:tcPr>
          <w:p w14:paraId="356785E8"/>
        </w:tc>
        <w:tc>
          <w:tcPr>
            <w:tcW w:w="2292" w:type="dxa"/>
            <w:shd w:val="clear" w:color="auto" w:fill="auto"/>
            <w:vAlign w:val="center"/>
          </w:tcPr>
          <w:p w14:paraId="4881443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2007" w:type="dxa"/>
            <w:shd w:val="clear" w:color="auto" w:fill="auto"/>
            <w:vAlign w:val="center"/>
          </w:tcPr>
          <w:p w14:paraId="5AB00AB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加固改造工程合格率</w:t>
            </w:r>
          </w:p>
        </w:tc>
        <w:tc>
          <w:tcPr>
            <w:tcW w:w="3439" w:type="dxa"/>
            <w:shd w:val="clear" w:color="auto" w:fill="auto"/>
            <w:vAlign w:val="center"/>
          </w:tcPr>
          <w:p w14:paraId="2D02F71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档案馆加固改造工程合格率</w:t>
            </w:r>
          </w:p>
        </w:tc>
        <w:tc>
          <w:tcPr>
            <w:tcW w:w="1864" w:type="dxa"/>
            <w:shd w:val="clear" w:color="auto" w:fill="auto"/>
            <w:vAlign w:val="center"/>
          </w:tcPr>
          <w:p w14:paraId="745AD2E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80" w:type="dxa"/>
            <w:shd w:val="clear" w:color="auto" w:fill="auto"/>
            <w:vAlign w:val="center"/>
          </w:tcPr>
          <w:p w14:paraId="00CAD44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360D28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vMerge w:val="continue"/>
            <w:shd w:val="clear" w:color="auto" w:fill="auto"/>
            <w:vAlign w:val="center"/>
          </w:tcPr>
          <w:p w14:paraId="22319921"/>
        </w:tc>
        <w:tc>
          <w:tcPr>
            <w:tcW w:w="2292" w:type="dxa"/>
            <w:shd w:val="clear" w:color="auto" w:fill="auto"/>
            <w:vAlign w:val="center"/>
          </w:tcPr>
          <w:p w14:paraId="03CE975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2007" w:type="dxa"/>
            <w:shd w:val="clear" w:color="auto" w:fill="auto"/>
            <w:vAlign w:val="center"/>
          </w:tcPr>
          <w:p w14:paraId="54F99ED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改造完成及时性</w:t>
            </w:r>
          </w:p>
        </w:tc>
        <w:tc>
          <w:tcPr>
            <w:tcW w:w="3439" w:type="dxa"/>
            <w:shd w:val="clear" w:color="auto" w:fill="auto"/>
            <w:vAlign w:val="center"/>
          </w:tcPr>
          <w:p w14:paraId="0465575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完成档案馆改造工程及时性</w:t>
            </w:r>
          </w:p>
        </w:tc>
        <w:tc>
          <w:tcPr>
            <w:tcW w:w="1864" w:type="dxa"/>
            <w:shd w:val="clear" w:color="auto" w:fill="auto"/>
            <w:vAlign w:val="center"/>
          </w:tcPr>
          <w:p w14:paraId="697B9E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80" w:type="dxa"/>
            <w:shd w:val="clear" w:color="auto" w:fill="auto"/>
            <w:vAlign w:val="center"/>
          </w:tcPr>
          <w:p w14:paraId="3976E66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66C9F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vMerge w:val="continue"/>
            <w:shd w:val="clear" w:color="auto" w:fill="auto"/>
            <w:vAlign w:val="center"/>
          </w:tcPr>
          <w:p w14:paraId="38ADEC4F"/>
        </w:tc>
        <w:tc>
          <w:tcPr>
            <w:tcW w:w="2292" w:type="dxa"/>
            <w:shd w:val="clear" w:color="auto" w:fill="auto"/>
            <w:vAlign w:val="center"/>
          </w:tcPr>
          <w:p w14:paraId="24F542B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2007" w:type="dxa"/>
            <w:shd w:val="clear" w:color="auto" w:fill="auto"/>
            <w:vAlign w:val="center"/>
          </w:tcPr>
          <w:p w14:paraId="2F2192E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造价咨询费</w:t>
            </w:r>
          </w:p>
        </w:tc>
        <w:tc>
          <w:tcPr>
            <w:tcW w:w="3439" w:type="dxa"/>
            <w:shd w:val="clear" w:color="auto" w:fill="auto"/>
            <w:vAlign w:val="center"/>
          </w:tcPr>
          <w:p w14:paraId="181132B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造价咨询的最低成本</w:t>
            </w:r>
          </w:p>
        </w:tc>
        <w:tc>
          <w:tcPr>
            <w:tcW w:w="1864" w:type="dxa"/>
            <w:shd w:val="clear" w:color="auto" w:fill="auto"/>
            <w:vAlign w:val="center"/>
          </w:tcPr>
          <w:p w14:paraId="5C37380E">
            <w:pPr>
              <w:spacing w:line="300" w:lineRule="exact"/>
              <w:jc w:val="left"/>
              <w:rPr>
                <w:rFonts w:ascii="Times New Roman" w:hAnsi="Times New Roman" w:cs="Times New Roman" w:eastAsiaTheme="minorEastAsia"/>
              </w:rPr>
            </w:pPr>
            <w:r>
              <w:rPr>
                <w:rFonts w:hint="eastAsia" w:ascii="方正书宋_GBK" w:eastAsia="方正书宋_GBK"/>
              </w:rPr>
              <w:t>≤</w:t>
            </w:r>
            <w:r>
              <w:rPr>
                <w:rFonts w:hint="eastAsia" w:ascii="方正书宋_GBK" w:eastAsiaTheme="minorEastAsia"/>
              </w:rPr>
              <w:t>16.47万元</w:t>
            </w:r>
          </w:p>
        </w:tc>
        <w:tc>
          <w:tcPr>
            <w:tcW w:w="2180" w:type="dxa"/>
            <w:shd w:val="clear" w:color="auto" w:fill="auto"/>
            <w:vAlign w:val="center"/>
          </w:tcPr>
          <w:p w14:paraId="639BF69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依设计概算书</w:t>
            </w:r>
          </w:p>
        </w:tc>
      </w:tr>
      <w:tr w14:paraId="451B68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shd w:val="clear" w:color="auto" w:fill="auto"/>
            <w:vAlign w:val="center"/>
          </w:tcPr>
          <w:p w14:paraId="32F5C482">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92" w:type="dxa"/>
            <w:shd w:val="clear" w:color="auto" w:fill="auto"/>
            <w:vAlign w:val="center"/>
          </w:tcPr>
          <w:p w14:paraId="29B1281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2007" w:type="dxa"/>
            <w:shd w:val="clear" w:color="auto" w:fill="auto"/>
            <w:vAlign w:val="center"/>
          </w:tcPr>
          <w:p w14:paraId="00F3466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提升服务水平</w:t>
            </w:r>
          </w:p>
        </w:tc>
        <w:tc>
          <w:tcPr>
            <w:tcW w:w="3439" w:type="dxa"/>
            <w:shd w:val="clear" w:color="auto" w:fill="auto"/>
            <w:vAlign w:val="center"/>
          </w:tcPr>
          <w:p w14:paraId="25522F2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通过综合档案馆新馆建设提升全市公共服务水平</w:t>
            </w:r>
          </w:p>
        </w:tc>
        <w:tc>
          <w:tcPr>
            <w:tcW w:w="1864" w:type="dxa"/>
            <w:shd w:val="clear" w:color="auto" w:fill="auto"/>
            <w:vAlign w:val="center"/>
          </w:tcPr>
          <w:p w14:paraId="6E160613">
            <w:pPr>
              <w:spacing w:line="300" w:lineRule="exact"/>
              <w:jc w:val="left"/>
              <w:rPr>
                <w:rFonts w:ascii="Times New Roman" w:hAnsi="Times New Roman" w:cs="Times New Roman" w:eastAsiaTheme="minorEastAsia"/>
              </w:rPr>
            </w:pPr>
            <w:r>
              <w:rPr>
                <w:rFonts w:hint="eastAsia" w:ascii="方正书宋_GBK" w:eastAsia="方正书宋_GBK"/>
              </w:rPr>
              <w:t>≥</w:t>
            </w:r>
            <w:r>
              <w:rPr>
                <w:rFonts w:hint="eastAsia" w:ascii="方正书宋_GBK" w:eastAsiaTheme="minorEastAsia"/>
              </w:rPr>
              <w:t>95%</w:t>
            </w:r>
          </w:p>
        </w:tc>
        <w:tc>
          <w:tcPr>
            <w:tcW w:w="2180" w:type="dxa"/>
            <w:shd w:val="clear" w:color="auto" w:fill="auto"/>
            <w:vAlign w:val="center"/>
          </w:tcPr>
          <w:p w14:paraId="0EB9083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依设计概算书</w:t>
            </w:r>
          </w:p>
        </w:tc>
      </w:tr>
      <w:tr w14:paraId="15AC4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52" w:hRule="atLeast"/>
          <w:jc w:val="center"/>
        </w:trPr>
        <w:tc>
          <w:tcPr>
            <w:tcW w:w="2435" w:type="dxa"/>
            <w:shd w:val="clear" w:color="auto" w:fill="auto"/>
            <w:vAlign w:val="center"/>
          </w:tcPr>
          <w:p w14:paraId="06D1745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92" w:type="dxa"/>
            <w:shd w:val="clear" w:color="auto" w:fill="auto"/>
            <w:vAlign w:val="center"/>
          </w:tcPr>
          <w:p w14:paraId="2C2F5A4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2007" w:type="dxa"/>
            <w:shd w:val="clear" w:color="auto" w:fill="auto"/>
            <w:vAlign w:val="center"/>
          </w:tcPr>
          <w:p w14:paraId="46491EF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3439" w:type="dxa"/>
            <w:shd w:val="clear" w:color="auto" w:fill="auto"/>
            <w:vAlign w:val="center"/>
          </w:tcPr>
          <w:p w14:paraId="0B7A2C5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档案馆部门人员对新馆的满意度</w:t>
            </w:r>
          </w:p>
        </w:tc>
        <w:tc>
          <w:tcPr>
            <w:tcW w:w="1864" w:type="dxa"/>
            <w:shd w:val="clear" w:color="auto" w:fill="auto"/>
            <w:vAlign w:val="center"/>
          </w:tcPr>
          <w:p w14:paraId="47EB3451">
            <w:pPr>
              <w:spacing w:line="300" w:lineRule="exact"/>
              <w:jc w:val="left"/>
              <w:rPr>
                <w:rFonts w:ascii="Times New Roman" w:hAnsi="Times New Roman" w:eastAsia="仿宋_GB2312" w:cs="Times New Roman"/>
              </w:rPr>
            </w:pPr>
            <w:r>
              <w:rPr>
                <w:rFonts w:hint="eastAsia" w:ascii="方正书宋_GBK" w:eastAsia="方正书宋_GBK"/>
              </w:rPr>
              <w:t>≥</w:t>
            </w:r>
            <w:r>
              <w:rPr>
                <w:rFonts w:hint="eastAsia" w:ascii="方正书宋_GBK" w:eastAsiaTheme="minorEastAsia"/>
              </w:rPr>
              <w:t>90%</w:t>
            </w:r>
          </w:p>
        </w:tc>
        <w:tc>
          <w:tcPr>
            <w:tcW w:w="2180" w:type="dxa"/>
            <w:shd w:val="clear" w:color="auto" w:fill="auto"/>
            <w:vAlign w:val="center"/>
          </w:tcPr>
          <w:p w14:paraId="0AA1A36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39B3A39E">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06AE7185">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rPr>
        <w:t>187</w:t>
      </w:r>
      <w:r>
        <w:rPr>
          <w:rFonts w:ascii="Times New Roman" w:hAnsi="Times New Roman" w:eastAsia="仿宋_GB2312" w:cs="Times New Roman"/>
          <w:sz w:val="32"/>
          <w:szCs w:val="24"/>
        </w:rPr>
        <w:t>万元。具体内容见下表。</w:t>
      </w:r>
    </w:p>
    <w:bookmarkEnd w:id="1"/>
    <w:p w14:paraId="44FDFC39">
      <w:pPr>
        <w:jc w:val="center"/>
        <w:outlineLvl w:val="1"/>
        <w:rPr>
          <w:rFonts w:ascii="方正小标宋_GBK" w:eastAsia="方正小标宋_GBK" w:cs="Times New Roman"/>
          <w:sz w:val="32"/>
        </w:rPr>
      </w:pPr>
      <w:bookmarkStart w:id="2" w:name="_Toc64920910"/>
      <w:r>
        <w:rPr>
          <w:rFonts w:hint="eastAsia" w:ascii="方正小标宋_GBK" w:eastAsia="方正小标宋_GBK" w:cs="Times New Roman"/>
          <w:sz w:val="32"/>
        </w:rPr>
        <w:t>部门政府采购预算</w:t>
      </w:r>
      <w:bookmarkEnd w:id="2"/>
    </w:p>
    <w:p w14:paraId="2CB8ECF4">
      <w:pPr>
        <w:outlineLvl w:val="1"/>
        <w:rPr>
          <w:rFonts w:ascii="方正小标宋_GBK" w:eastAsia="方正小标宋_GBK" w:cs="Times New Roman"/>
          <w:sz w:val="32"/>
        </w:rPr>
      </w:pPr>
      <w:r>
        <w:rPr>
          <w:rFonts w:hint="eastAsia"/>
        </w:rPr>
        <w:t>421</w:t>
      </w:r>
      <w:r>
        <w:t>廊坊市</w:t>
      </w:r>
      <w:r>
        <w:rPr>
          <w:rFonts w:hint="eastAsia"/>
        </w:rPr>
        <w:t>档案馆</w:t>
      </w:r>
      <w:r>
        <w:t xml:space="preserve">                                                                                                           单位：万元</w:t>
      </w:r>
    </w:p>
    <w:tbl>
      <w:tblPr>
        <w:tblStyle w:val="8"/>
        <w:tblW w:w="148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20"/>
        <w:gridCol w:w="850"/>
        <w:gridCol w:w="1134"/>
        <w:gridCol w:w="1418"/>
        <w:gridCol w:w="850"/>
        <w:gridCol w:w="709"/>
        <w:gridCol w:w="709"/>
        <w:gridCol w:w="850"/>
        <w:gridCol w:w="851"/>
        <w:gridCol w:w="708"/>
        <w:gridCol w:w="993"/>
        <w:gridCol w:w="850"/>
        <w:gridCol w:w="851"/>
        <w:gridCol w:w="850"/>
        <w:gridCol w:w="851"/>
        <w:gridCol w:w="918"/>
      </w:tblGrid>
      <w:tr w14:paraId="199E9B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23" w:hRule="atLeast"/>
          <w:tblHeader/>
          <w:jc w:val="center"/>
        </w:trPr>
        <w:tc>
          <w:tcPr>
            <w:tcW w:w="2270" w:type="dxa"/>
            <w:gridSpan w:val="2"/>
            <w:vAlign w:val="center"/>
          </w:tcPr>
          <w:p w14:paraId="02FDF532">
            <w:pPr>
              <w:pStyle w:val="12"/>
            </w:pPr>
            <w:r>
              <w:t>政府采购项目来源</w:t>
            </w:r>
          </w:p>
        </w:tc>
        <w:tc>
          <w:tcPr>
            <w:tcW w:w="1134" w:type="dxa"/>
            <w:vMerge w:val="restart"/>
            <w:vAlign w:val="center"/>
          </w:tcPr>
          <w:p w14:paraId="50028331">
            <w:pPr>
              <w:pStyle w:val="12"/>
            </w:pPr>
            <w:r>
              <w:t>采购物品名称</w:t>
            </w:r>
          </w:p>
        </w:tc>
        <w:tc>
          <w:tcPr>
            <w:tcW w:w="1418" w:type="dxa"/>
            <w:vMerge w:val="restart"/>
            <w:vAlign w:val="center"/>
          </w:tcPr>
          <w:p w14:paraId="3FB3AAD8">
            <w:pPr>
              <w:pStyle w:val="12"/>
            </w:pPr>
            <w:r>
              <w:t>政府采购目录序号</w:t>
            </w:r>
          </w:p>
        </w:tc>
        <w:tc>
          <w:tcPr>
            <w:tcW w:w="850" w:type="dxa"/>
            <w:vMerge w:val="restart"/>
            <w:vAlign w:val="center"/>
          </w:tcPr>
          <w:p w14:paraId="524D51F7">
            <w:pPr>
              <w:pStyle w:val="12"/>
            </w:pPr>
            <w:r>
              <w:t>计量  单位</w:t>
            </w:r>
          </w:p>
        </w:tc>
        <w:tc>
          <w:tcPr>
            <w:tcW w:w="709" w:type="dxa"/>
            <w:vMerge w:val="restart"/>
            <w:vAlign w:val="center"/>
          </w:tcPr>
          <w:p w14:paraId="1A0F6C81">
            <w:pPr>
              <w:pStyle w:val="12"/>
            </w:pPr>
            <w:r>
              <w:t>数量</w:t>
            </w:r>
          </w:p>
        </w:tc>
        <w:tc>
          <w:tcPr>
            <w:tcW w:w="709" w:type="dxa"/>
            <w:vMerge w:val="restart"/>
            <w:vAlign w:val="center"/>
          </w:tcPr>
          <w:p w14:paraId="69D70036">
            <w:pPr>
              <w:pStyle w:val="12"/>
            </w:pPr>
            <w:r>
              <w:t>单价</w:t>
            </w:r>
          </w:p>
        </w:tc>
        <w:tc>
          <w:tcPr>
            <w:tcW w:w="6804" w:type="dxa"/>
            <w:gridSpan w:val="8"/>
            <w:vAlign w:val="center"/>
          </w:tcPr>
          <w:p w14:paraId="387CD3E1">
            <w:pPr>
              <w:pStyle w:val="12"/>
            </w:pPr>
            <w:r>
              <w:t>政府采购金额（当年部门预算安排资金）</w:t>
            </w:r>
          </w:p>
        </w:tc>
        <w:tc>
          <w:tcPr>
            <w:tcW w:w="918" w:type="dxa"/>
            <w:vMerge w:val="restart"/>
            <w:vAlign w:val="center"/>
          </w:tcPr>
          <w:p w14:paraId="22A3E9D4">
            <w:pPr>
              <w:pStyle w:val="12"/>
            </w:pPr>
            <w:r>
              <w:t>2022年  预留中  小微企  业份额</w:t>
            </w:r>
          </w:p>
        </w:tc>
      </w:tr>
      <w:tr w14:paraId="3F6AE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78" w:hRule="atLeast"/>
          <w:tblHeader/>
          <w:jc w:val="center"/>
        </w:trPr>
        <w:tc>
          <w:tcPr>
            <w:tcW w:w="1420" w:type="dxa"/>
            <w:vAlign w:val="center"/>
          </w:tcPr>
          <w:p w14:paraId="76E7F234">
            <w:pPr>
              <w:pStyle w:val="12"/>
            </w:pPr>
            <w:r>
              <w:t>项目名称</w:t>
            </w:r>
          </w:p>
        </w:tc>
        <w:tc>
          <w:tcPr>
            <w:tcW w:w="850" w:type="dxa"/>
            <w:vAlign w:val="center"/>
          </w:tcPr>
          <w:p w14:paraId="7CA6EB72">
            <w:pPr>
              <w:pStyle w:val="12"/>
            </w:pPr>
            <w:r>
              <w:t>预算    资金</w:t>
            </w:r>
          </w:p>
        </w:tc>
        <w:tc>
          <w:tcPr>
            <w:tcW w:w="1134" w:type="dxa"/>
            <w:vMerge w:val="continue"/>
          </w:tcPr>
          <w:p w14:paraId="153892C5"/>
        </w:tc>
        <w:tc>
          <w:tcPr>
            <w:tcW w:w="1418" w:type="dxa"/>
            <w:vMerge w:val="continue"/>
          </w:tcPr>
          <w:p w14:paraId="182AEC2F"/>
        </w:tc>
        <w:tc>
          <w:tcPr>
            <w:tcW w:w="850" w:type="dxa"/>
            <w:vMerge w:val="continue"/>
          </w:tcPr>
          <w:p w14:paraId="7396FE75"/>
        </w:tc>
        <w:tc>
          <w:tcPr>
            <w:tcW w:w="709" w:type="dxa"/>
            <w:vMerge w:val="continue"/>
          </w:tcPr>
          <w:p w14:paraId="2C40130D"/>
        </w:tc>
        <w:tc>
          <w:tcPr>
            <w:tcW w:w="709" w:type="dxa"/>
            <w:vMerge w:val="continue"/>
          </w:tcPr>
          <w:p w14:paraId="19DE6E05"/>
        </w:tc>
        <w:tc>
          <w:tcPr>
            <w:tcW w:w="850" w:type="dxa"/>
            <w:vAlign w:val="center"/>
          </w:tcPr>
          <w:p w14:paraId="698680EA">
            <w:pPr>
              <w:pStyle w:val="12"/>
            </w:pPr>
            <w:r>
              <w:t>合计</w:t>
            </w:r>
          </w:p>
        </w:tc>
        <w:tc>
          <w:tcPr>
            <w:tcW w:w="851" w:type="dxa"/>
            <w:vAlign w:val="center"/>
          </w:tcPr>
          <w:p w14:paraId="1FBDF217">
            <w:pPr>
              <w:pStyle w:val="12"/>
            </w:pPr>
            <w:r>
              <w:t>一般公共预算拨款</w:t>
            </w:r>
          </w:p>
        </w:tc>
        <w:tc>
          <w:tcPr>
            <w:tcW w:w="708" w:type="dxa"/>
            <w:vAlign w:val="center"/>
          </w:tcPr>
          <w:p w14:paraId="7685AB89">
            <w:pPr>
              <w:pStyle w:val="12"/>
            </w:pPr>
            <w:r>
              <w:t>基金预算拨款</w:t>
            </w:r>
          </w:p>
        </w:tc>
        <w:tc>
          <w:tcPr>
            <w:tcW w:w="993" w:type="dxa"/>
            <w:vAlign w:val="center"/>
          </w:tcPr>
          <w:p w14:paraId="6FEF5D4F">
            <w:pPr>
              <w:pStyle w:val="12"/>
            </w:pPr>
            <w:r>
              <w:t>国有资本经营预算拨款</w:t>
            </w:r>
          </w:p>
        </w:tc>
        <w:tc>
          <w:tcPr>
            <w:tcW w:w="850" w:type="dxa"/>
            <w:vAlign w:val="center"/>
          </w:tcPr>
          <w:p w14:paraId="74E3868C">
            <w:pPr>
              <w:pStyle w:val="12"/>
            </w:pPr>
            <w:r>
              <w:t>财政专户核拨</w:t>
            </w:r>
          </w:p>
        </w:tc>
        <w:tc>
          <w:tcPr>
            <w:tcW w:w="851" w:type="dxa"/>
            <w:vAlign w:val="center"/>
          </w:tcPr>
          <w:p w14:paraId="4B10FA11">
            <w:pPr>
              <w:pStyle w:val="12"/>
            </w:pPr>
            <w:r>
              <w:t>单位    资金</w:t>
            </w:r>
          </w:p>
        </w:tc>
        <w:tc>
          <w:tcPr>
            <w:tcW w:w="850" w:type="dxa"/>
            <w:vAlign w:val="center"/>
          </w:tcPr>
          <w:p w14:paraId="6C61A331">
            <w:pPr>
              <w:pStyle w:val="12"/>
            </w:pPr>
            <w:r>
              <w:t>财政拨    款结转</w:t>
            </w:r>
          </w:p>
        </w:tc>
        <w:tc>
          <w:tcPr>
            <w:tcW w:w="851" w:type="dxa"/>
            <w:vAlign w:val="center"/>
          </w:tcPr>
          <w:p w14:paraId="7B882857">
            <w:pPr>
              <w:pStyle w:val="12"/>
            </w:pPr>
            <w:r>
              <w:t>非财政    拨款结    转结余</w:t>
            </w:r>
          </w:p>
        </w:tc>
        <w:tc>
          <w:tcPr>
            <w:tcW w:w="918" w:type="dxa"/>
            <w:vMerge w:val="continue"/>
          </w:tcPr>
          <w:p w14:paraId="2D7301D0"/>
        </w:tc>
      </w:tr>
      <w:tr w14:paraId="7CB1DF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3" w:hRule="atLeast"/>
          <w:jc w:val="center"/>
        </w:trPr>
        <w:tc>
          <w:tcPr>
            <w:tcW w:w="1420" w:type="dxa"/>
            <w:vAlign w:val="center"/>
          </w:tcPr>
          <w:p w14:paraId="39BCC0E5">
            <w:pPr>
              <w:pStyle w:val="16"/>
            </w:pPr>
            <w:r>
              <w:t>合  计</w:t>
            </w:r>
          </w:p>
        </w:tc>
        <w:tc>
          <w:tcPr>
            <w:tcW w:w="850" w:type="dxa"/>
            <w:vAlign w:val="center"/>
          </w:tcPr>
          <w:p w14:paraId="7B026B34">
            <w:pPr>
              <w:pStyle w:val="17"/>
            </w:pPr>
          </w:p>
        </w:tc>
        <w:tc>
          <w:tcPr>
            <w:tcW w:w="1134" w:type="dxa"/>
            <w:vAlign w:val="center"/>
          </w:tcPr>
          <w:p w14:paraId="5D4482E4">
            <w:pPr>
              <w:pStyle w:val="18"/>
            </w:pPr>
          </w:p>
        </w:tc>
        <w:tc>
          <w:tcPr>
            <w:tcW w:w="1418" w:type="dxa"/>
            <w:vAlign w:val="center"/>
          </w:tcPr>
          <w:p w14:paraId="21418875">
            <w:pPr>
              <w:pStyle w:val="18"/>
            </w:pPr>
          </w:p>
        </w:tc>
        <w:tc>
          <w:tcPr>
            <w:tcW w:w="850" w:type="dxa"/>
            <w:vAlign w:val="center"/>
          </w:tcPr>
          <w:p w14:paraId="3F736938">
            <w:pPr>
              <w:pStyle w:val="16"/>
            </w:pPr>
          </w:p>
        </w:tc>
        <w:tc>
          <w:tcPr>
            <w:tcW w:w="709" w:type="dxa"/>
            <w:vAlign w:val="center"/>
          </w:tcPr>
          <w:p w14:paraId="31E9372D">
            <w:pPr>
              <w:pStyle w:val="17"/>
            </w:pPr>
          </w:p>
        </w:tc>
        <w:tc>
          <w:tcPr>
            <w:tcW w:w="709" w:type="dxa"/>
            <w:vAlign w:val="center"/>
          </w:tcPr>
          <w:p w14:paraId="346E2D2B">
            <w:pPr>
              <w:pStyle w:val="17"/>
            </w:pPr>
          </w:p>
        </w:tc>
        <w:tc>
          <w:tcPr>
            <w:tcW w:w="850" w:type="dxa"/>
            <w:vAlign w:val="center"/>
          </w:tcPr>
          <w:p w14:paraId="5FFD866E">
            <w:pPr>
              <w:pStyle w:val="17"/>
              <w:rPr>
                <w:rFonts w:hint="eastAsia" w:eastAsiaTheme="minorEastAsia"/>
                <w:lang w:eastAsia="zh-CN"/>
              </w:rPr>
            </w:pPr>
            <w:r>
              <w:rPr>
                <w:rFonts w:hint="eastAsia" w:eastAsiaTheme="minorEastAsia"/>
                <w:lang w:eastAsia="zh-CN"/>
              </w:rPr>
              <w:t>187</w:t>
            </w:r>
          </w:p>
        </w:tc>
        <w:tc>
          <w:tcPr>
            <w:tcW w:w="851" w:type="dxa"/>
            <w:vAlign w:val="center"/>
          </w:tcPr>
          <w:p w14:paraId="30826BD0">
            <w:pPr>
              <w:pStyle w:val="17"/>
              <w:rPr>
                <w:rFonts w:hint="eastAsia" w:eastAsiaTheme="minorEastAsia"/>
                <w:lang w:eastAsia="zh-CN"/>
              </w:rPr>
            </w:pPr>
            <w:r>
              <w:rPr>
                <w:rFonts w:hint="eastAsia" w:eastAsiaTheme="minorEastAsia"/>
                <w:lang w:eastAsia="zh-CN"/>
              </w:rPr>
              <w:t>187</w:t>
            </w:r>
          </w:p>
        </w:tc>
        <w:tc>
          <w:tcPr>
            <w:tcW w:w="708" w:type="dxa"/>
            <w:vAlign w:val="center"/>
          </w:tcPr>
          <w:p w14:paraId="0158DC61">
            <w:pPr>
              <w:pStyle w:val="17"/>
            </w:pPr>
          </w:p>
        </w:tc>
        <w:tc>
          <w:tcPr>
            <w:tcW w:w="993" w:type="dxa"/>
            <w:vAlign w:val="center"/>
          </w:tcPr>
          <w:p w14:paraId="59383EAF">
            <w:pPr>
              <w:pStyle w:val="17"/>
            </w:pPr>
          </w:p>
        </w:tc>
        <w:tc>
          <w:tcPr>
            <w:tcW w:w="850" w:type="dxa"/>
            <w:vAlign w:val="center"/>
          </w:tcPr>
          <w:p w14:paraId="6049CABC">
            <w:pPr>
              <w:pStyle w:val="17"/>
            </w:pPr>
          </w:p>
        </w:tc>
        <w:tc>
          <w:tcPr>
            <w:tcW w:w="851" w:type="dxa"/>
            <w:vAlign w:val="center"/>
          </w:tcPr>
          <w:p w14:paraId="7254EDE2">
            <w:pPr>
              <w:pStyle w:val="17"/>
            </w:pPr>
          </w:p>
        </w:tc>
        <w:tc>
          <w:tcPr>
            <w:tcW w:w="850" w:type="dxa"/>
            <w:vAlign w:val="center"/>
          </w:tcPr>
          <w:p w14:paraId="5C2E0B8E">
            <w:pPr>
              <w:pStyle w:val="17"/>
            </w:pPr>
          </w:p>
        </w:tc>
        <w:tc>
          <w:tcPr>
            <w:tcW w:w="851" w:type="dxa"/>
            <w:vAlign w:val="center"/>
          </w:tcPr>
          <w:p w14:paraId="5ABC10A5">
            <w:pPr>
              <w:pStyle w:val="17"/>
            </w:pPr>
          </w:p>
        </w:tc>
        <w:tc>
          <w:tcPr>
            <w:tcW w:w="918" w:type="dxa"/>
            <w:vAlign w:val="center"/>
          </w:tcPr>
          <w:p w14:paraId="63BF4AD6">
            <w:pPr>
              <w:pStyle w:val="17"/>
              <w:rPr>
                <w:rFonts w:hint="eastAsia" w:eastAsiaTheme="minorEastAsia"/>
                <w:lang w:eastAsia="zh-CN"/>
              </w:rPr>
            </w:pPr>
            <w:r>
              <w:rPr>
                <w:rFonts w:hint="eastAsia" w:eastAsiaTheme="minorEastAsia"/>
                <w:lang w:eastAsia="zh-CN"/>
              </w:rPr>
              <w:t>187</w:t>
            </w:r>
          </w:p>
        </w:tc>
      </w:tr>
      <w:tr w14:paraId="0F4931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51" w:hRule="atLeast"/>
          <w:jc w:val="center"/>
        </w:trPr>
        <w:tc>
          <w:tcPr>
            <w:tcW w:w="1420" w:type="dxa"/>
            <w:vAlign w:val="center"/>
          </w:tcPr>
          <w:p w14:paraId="132A2D22">
            <w:pPr>
              <w:pStyle w:val="16"/>
              <w:rPr>
                <w:rFonts w:hint="eastAsia" w:eastAsiaTheme="minorEastAsia"/>
                <w:lang w:eastAsia="zh-CN"/>
              </w:rPr>
            </w:pPr>
            <w:r>
              <w:rPr>
                <w:rFonts w:hint="eastAsia" w:eastAsiaTheme="minorEastAsia"/>
                <w:lang w:eastAsia="zh-CN"/>
              </w:rPr>
              <w:t>廊坊市档案馆本级小计</w:t>
            </w:r>
          </w:p>
        </w:tc>
        <w:tc>
          <w:tcPr>
            <w:tcW w:w="850" w:type="dxa"/>
            <w:vAlign w:val="center"/>
          </w:tcPr>
          <w:p w14:paraId="327E6A29">
            <w:pPr>
              <w:pStyle w:val="17"/>
            </w:pPr>
          </w:p>
        </w:tc>
        <w:tc>
          <w:tcPr>
            <w:tcW w:w="1134" w:type="dxa"/>
            <w:vAlign w:val="center"/>
          </w:tcPr>
          <w:p w14:paraId="582B2A8D">
            <w:pPr>
              <w:pStyle w:val="18"/>
            </w:pPr>
          </w:p>
        </w:tc>
        <w:tc>
          <w:tcPr>
            <w:tcW w:w="1418" w:type="dxa"/>
            <w:vAlign w:val="center"/>
          </w:tcPr>
          <w:p w14:paraId="66B6EFEC">
            <w:pPr>
              <w:pStyle w:val="18"/>
            </w:pPr>
          </w:p>
        </w:tc>
        <w:tc>
          <w:tcPr>
            <w:tcW w:w="850" w:type="dxa"/>
            <w:vAlign w:val="center"/>
          </w:tcPr>
          <w:p w14:paraId="783AB3C7">
            <w:pPr>
              <w:pStyle w:val="16"/>
            </w:pPr>
          </w:p>
        </w:tc>
        <w:tc>
          <w:tcPr>
            <w:tcW w:w="709" w:type="dxa"/>
            <w:vAlign w:val="center"/>
          </w:tcPr>
          <w:p w14:paraId="54B9562B">
            <w:pPr>
              <w:pStyle w:val="17"/>
            </w:pPr>
          </w:p>
        </w:tc>
        <w:tc>
          <w:tcPr>
            <w:tcW w:w="709" w:type="dxa"/>
            <w:vAlign w:val="center"/>
          </w:tcPr>
          <w:p w14:paraId="0128911C">
            <w:pPr>
              <w:pStyle w:val="17"/>
            </w:pPr>
          </w:p>
        </w:tc>
        <w:tc>
          <w:tcPr>
            <w:tcW w:w="850" w:type="dxa"/>
            <w:vAlign w:val="center"/>
          </w:tcPr>
          <w:p w14:paraId="66EECBA1">
            <w:pPr>
              <w:pStyle w:val="17"/>
              <w:rPr>
                <w:rFonts w:hint="eastAsia" w:eastAsiaTheme="minorEastAsia"/>
                <w:lang w:eastAsia="zh-CN"/>
              </w:rPr>
            </w:pPr>
            <w:r>
              <w:rPr>
                <w:rFonts w:hint="eastAsia" w:eastAsiaTheme="minorEastAsia"/>
                <w:lang w:eastAsia="zh-CN"/>
              </w:rPr>
              <w:t>187</w:t>
            </w:r>
          </w:p>
        </w:tc>
        <w:tc>
          <w:tcPr>
            <w:tcW w:w="851" w:type="dxa"/>
            <w:vAlign w:val="center"/>
          </w:tcPr>
          <w:p w14:paraId="23C6152E">
            <w:pPr>
              <w:pStyle w:val="17"/>
              <w:rPr>
                <w:rFonts w:hint="eastAsia" w:eastAsiaTheme="minorEastAsia"/>
                <w:lang w:eastAsia="zh-CN"/>
              </w:rPr>
            </w:pPr>
            <w:r>
              <w:rPr>
                <w:rFonts w:hint="eastAsia" w:eastAsiaTheme="minorEastAsia"/>
                <w:lang w:eastAsia="zh-CN"/>
              </w:rPr>
              <w:t>187</w:t>
            </w:r>
          </w:p>
        </w:tc>
        <w:tc>
          <w:tcPr>
            <w:tcW w:w="708" w:type="dxa"/>
            <w:vAlign w:val="center"/>
          </w:tcPr>
          <w:p w14:paraId="7079A1DC">
            <w:pPr>
              <w:pStyle w:val="17"/>
            </w:pPr>
          </w:p>
        </w:tc>
        <w:tc>
          <w:tcPr>
            <w:tcW w:w="993" w:type="dxa"/>
            <w:vAlign w:val="center"/>
          </w:tcPr>
          <w:p w14:paraId="5E24B7BA">
            <w:pPr>
              <w:pStyle w:val="17"/>
            </w:pPr>
          </w:p>
        </w:tc>
        <w:tc>
          <w:tcPr>
            <w:tcW w:w="850" w:type="dxa"/>
            <w:vAlign w:val="center"/>
          </w:tcPr>
          <w:p w14:paraId="0A29A0D1">
            <w:pPr>
              <w:pStyle w:val="17"/>
            </w:pPr>
          </w:p>
        </w:tc>
        <w:tc>
          <w:tcPr>
            <w:tcW w:w="851" w:type="dxa"/>
            <w:vAlign w:val="center"/>
          </w:tcPr>
          <w:p w14:paraId="72A4E321">
            <w:pPr>
              <w:pStyle w:val="17"/>
            </w:pPr>
          </w:p>
        </w:tc>
        <w:tc>
          <w:tcPr>
            <w:tcW w:w="850" w:type="dxa"/>
            <w:vAlign w:val="center"/>
          </w:tcPr>
          <w:p w14:paraId="6885B79D">
            <w:pPr>
              <w:pStyle w:val="17"/>
            </w:pPr>
          </w:p>
        </w:tc>
        <w:tc>
          <w:tcPr>
            <w:tcW w:w="851" w:type="dxa"/>
            <w:vAlign w:val="center"/>
          </w:tcPr>
          <w:p w14:paraId="45F04136">
            <w:pPr>
              <w:pStyle w:val="17"/>
            </w:pPr>
          </w:p>
        </w:tc>
        <w:tc>
          <w:tcPr>
            <w:tcW w:w="918" w:type="dxa"/>
            <w:vAlign w:val="center"/>
          </w:tcPr>
          <w:p w14:paraId="02E608BF">
            <w:pPr>
              <w:pStyle w:val="17"/>
              <w:rPr>
                <w:rFonts w:hint="eastAsia" w:eastAsiaTheme="minorEastAsia"/>
                <w:lang w:eastAsia="zh-CN"/>
              </w:rPr>
            </w:pPr>
            <w:r>
              <w:rPr>
                <w:rFonts w:hint="eastAsia" w:eastAsiaTheme="minorEastAsia"/>
                <w:lang w:eastAsia="zh-CN"/>
              </w:rPr>
              <w:t>187</w:t>
            </w:r>
          </w:p>
        </w:tc>
      </w:tr>
      <w:tr w14:paraId="62D60C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106" w:hRule="atLeast"/>
          <w:jc w:val="center"/>
        </w:trPr>
        <w:tc>
          <w:tcPr>
            <w:tcW w:w="1420" w:type="dxa"/>
            <w:vAlign w:val="center"/>
          </w:tcPr>
          <w:p w14:paraId="68197FDB">
            <w:pPr>
              <w:pStyle w:val="14"/>
              <w:rPr>
                <w:rFonts w:hint="eastAsia" w:eastAsiaTheme="minorEastAsia"/>
                <w:lang w:eastAsia="zh-CN"/>
              </w:rPr>
            </w:pPr>
            <w:r>
              <w:rPr>
                <w:rFonts w:hint="eastAsia" w:eastAsiaTheme="minorEastAsia"/>
                <w:lang w:eastAsia="zh-CN"/>
              </w:rPr>
              <w:t>市档案馆搬迁加固改造及设备购置资金（2021年项目尾款）</w:t>
            </w:r>
          </w:p>
        </w:tc>
        <w:tc>
          <w:tcPr>
            <w:tcW w:w="850" w:type="dxa"/>
            <w:vAlign w:val="center"/>
          </w:tcPr>
          <w:p w14:paraId="21F1176D">
            <w:pPr>
              <w:pStyle w:val="13"/>
              <w:rPr>
                <w:rFonts w:hint="eastAsia" w:eastAsiaTheme="minorEastAsia"/>
                <w:lang w:eastAsia="zh-CN"/>
              </w:rPr>
            </w:pPr>
            <w:r>
              <w:rPr>
                <w:rFonts w:hint="eastAsia" w:eastAsiaTheme="minorEastAsia"/>
                <w:lang w:eastAsia="zh-CN"/>
              </w:rPr>
              <w:t>1448</w:t>
            </w:r>
          </w:p>
        </w:tc>
        <w:tc>
          <w:tcPr>
            <w:tcW w:w="1134" w:type="dxa"/>
            <w:vAlign w:val="center"/>
          </w:tcPr>
          <w:p w14:paraId="106A4789">
            <w:pPr>
              <w:pStyle w:val="14"/>
              <w:rPr>
                <w:rFonts w:hint="eastAsia" w:eastAsiaTheme="minorEastAsia"/>
                <w:lang w:eastAsia="zh-CN"/>
              </w:rPr>
            </w:pPr>
            <w:r>
              <w:rPr>
                <w:rFonts w:hint="eastAsia" w:eastAsiaTheme="minorEastAsia"/>
                <w:lang w:eastAsia="zh-CN"/>
              </w:rPr>
              <w:t>固定架、密集架</w:t>
            </w:r>
          </w:p>
        </w:tc>
        <w:tc>
          <w:tcPr>
            <w:tcW w:w="1418" w:type="dxa"/>
            <w:vAlign w:val="center"/>
          </w:tcPr>
          <w:p w14:paraId="264A13A0">
            <w:pPr>
              <w:pStyle w:val="14"/>
              <w:rPr>
                <w:rFonts w:hint="eastAsia" w:eastAsiaTheme="minorEastAsia"/>
                <w:lang w:eastAsia="zh-CN"/>
              </w:rPr>
            </w:pPr>
            <w:r>
              <w:rPr>
                <w:rFonts w:hint="eastAsia" w:eastAsiaTheme="minorEastAsia"/>
                <w:lang w:eastAsia="zh-CN"/>
              </w:rPr>
              <w:t>Ａ02040101</w:t>
            </w:r>
          </w:p>
        </w:tc>
        <w:tc>
          <w:tcPr>
            <w:tcW w:w="850" w:type="dxa"/>
            <w:vAlign w:val="center"/>
          </w:tcPr>
          <w:p w14:paraId="13AA4AC0">
            <w:pPr>
              <w:pStyle w:val="15"/>
              <w:rPr>
                <w:rFonts w:hint="eastAsia" w:eastAsiaTheme="minorEastAsia"/>
                <w:lang w:eastAsia="zh-CN"/>
              </w:rPr>
            </w:pPr>
            <w:r>
              <w:rPr>
                <w:rFonts w:hint="eastAsia" w:eastAsiaTheme="minorEastAsia"/>
                <w:lang w:eastAsia="zh-CN"/>
              </w:rPr>
              <w:t>立方米</w:t>
            </w:r>
          </w:p>
        </w:tc>
        <w:tc>
          <w:tcPr>
            <w:tcW w:w="709" w:type="dxa"/>
            <w:vAlign w:val="center"/>
          </w:tcPr>
          <w:p w14:paraId="39562B43">
            <w:pPr>
              <w:pStyle w:val="13"/>
              <w:rPr>
                <w:rFonts w:hint="eastAsia" w:eastAsiaTheme="minorEastAsia"/>
                <w:lang w:eastAsia="zh-CN"/>
              </w:rPr>
            </w:pPr>
            <w:r>
              <w:rPr>
                <w:rFonts w:hint="eastAsia" w:eastAsiaTheme="minorEastAsia"/>
                <w:lang w:eastAsia="zh-CN"/>
              </w:rPr>
              <w:t>1</w:t>
            </w:r>
          </w:p>
        </w:tc>
        <w:tc>
          <w:tcPr>
            <w:tcW w:w="709" w:type="dxa"/>
            <w:vAlign w:val="center"/>
          </w:tcPr>
          <w:p w14:paraId="698C8AD6">
            <w:pPr>
              <w:pStyle w:val="13"/>
              <w:rPr>
                <w:rFonts w:hint="eastAsia" w:eastAsiaTheme="minorEastAsia"/>
                <w:lang w:eastAsia="zh-CN"/>
              </w:rPr>
            </w:pPr>
            <w:r>
              <w:rPr>
                <w:rFonts w:hint="eastAsia" w:eastAsiaTheme="minorEastAsia"/>
                <w:lang w:eastAsia="zh-CN"/>
              </w:rPr>
              <w:t>187</w:t>
            </w:r>
          </w:p>
        </w:tc>
        <w:tc>
          <w:tcPr>
            <w:tcW w:w="850" w:type="dxa"/>
            <w:vAlign w:val="center"/>
          </w:tcPr>
          <w:p w14:paraId="5558F9A0">
            <w:pPr>
              <w:pStyle w:val="13"/>
              <w:rPr>
                <w:rFonts w:hint="eastAsia" w:eastAsiaTheme="minorEastAsia"/>
                <w:lang w:eastAsia="zh-CN"/>
              </w:rPr>
            </w:pPr>
            <w:r>
              <w:rPr>
                <w:rFonts w:hint="eastAsia" w:eastAsiaTheme="minorEastAsia"/>
                <w:lang w:eastAsia="zh-CN"/>
              </w:rPr>
              <w:t>187</w:t>
            </w:r>
          </w:p>
        </w:tc>
        <w:tc>
          <w:tcPr>
            <w:tcW w:w="851" w:type="dxa"/>
            <w:vAlign w:val="center"/>
          </w:tcPr>
          <w:p w14:paraId="4F79E141">
            <w:pPr>
              <w:pStyle w:val="13"/>
              <w:rPr>
                <w:rFonts w:hint="eastAsia" w:eastAsiaTheme="minorEastAsia"/>
                <w:lang w:eastAsia="zh-CN"/>
              </w:rPr>
            </w:pPr>
            <w:r>
              <w:rPr>
                <w:rFonts w:hint="eastAsia" w:eastAsiaTheme="minorEastAsia"/>
                <w:lang w:eastAsia="zh-CN"/>
              </w:rPr>
              <w:t>187</w:t>
            </w:r>
          </w:p>
        </w:tc>
        <w:tc>
          <w:tcPr>
            <w:tcW w:w="708" w:type="dxa"/>
            <w:vAlign w:val="center"/>
          </w:tcPr>
          <w:p w14:paraId="65285E3F">
            <w:pPr>
              <w:pStyle w:val="13"/>
            </w:pPr>
          </w:p>
        </w:tc>
        <w:tc>
          <w:tcPr>
            <w:tcW w:w="993" w:type="dxa"/>
            <w:vAlign w:val="center"/>
          </w:tcPr>
          <w:p w14:paraId="68C7BE35">
            <w:pPr>
              <w:pStyle w:val="13"/>
            </w:pPr>
          </w:p>
        </w:tc>
        <w:tc>
          <w:tcPr>
            <w:tcW w:w="850" w:type="dxa"/>
            <w:vAlign w:val="center"/>
          </w:tcPr>
          <w:p w14:paraId="6C12627E">
            <w:pPr>
              <w:pStyle w:val="13"/>
            </w:pPr>
          </w:p>
        </w:tc>
        <w:tc>
          <w:tcPr>
            <w:tcW w:w="851" w:type="dxa"/>
            <w:vAlign w:val="center"/>
          </w:tcPr>
          <w:p w14:paraId="1C17A1DF">
            <w:pPr>
              <w:pStyle w:val="13"/>
            </w:pPr>
          </w:p>
        </w:tc>
        <w:tc>
          <w:tcPr>
            <w:tcW w:w="850" w:type="dxa"/>
            <w:vAlign w:val="center"/>
          </w:tcPr>
          <w:p w14:paraId="62C2378B">
            <w:pPr>
              <w:pStyle w:val="13"/>
            </w:pPr>
          </w:p>
        </w:tc>
        <w:tc>
          <w:tcPr>
            <w:tcW w:w="851" w:type="dxa"/>
            <w:vAlign w:val="center"/>
          </w:tcPr>
          <w:p w14:paraId="7DC2EED6">
            <w:pPr>
              <w:pStyle w:val="13"/>
            </w:pPr>
          </w:p>
        </w:tc>
        <w:tc>
          <w:tcPr>
            <w:tcW w:w="918" w:type="dxa"/>
            <w:vAlign w:val="center"/>
          </w:tcPr>
          <w:p w14:paraId="287F6839">
            <w:pPr>
              <w:pStyle w:val="13"/>
              <w:rPr>
                <w:rFonts w:hint="eastAsia" w:eastAsiaTheme="minorEastAsia"/>
                <w:lang w:eastAsia="zh-CN"/>
              </w:rPr>
            </w:pPr>
            <w:r>
              <w:rPr>
                <w:rFonts w:hint="eastAsia" w:eastAsiaTheme="minorEastAsia"/>
                <w:lang w:eastAsia="zh-CN"/>
              </w:rPr>
              <w:t>187</w:t>
            </w:r>
          </w:p>
        </w:tc>
      </w:tr>
    </w:tbl>
    <w:p w14:paraId="0C7CAC42">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134DEE2E">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68B2C21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203.75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总额为187万元，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档案资料设备</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tbl>
      <w:tblPr>
        <w:tblStyle w:val="8"/>
        <w:tblW w:w="13632" w:type="dxa"/>
        <w:tblInd w:w="93" w:type="dxa"/>
        <w:tblLayout w:type="autofit"/>
        <w:tblCellMar>
          <w:top w:w="0" w:type="dxa"/>
          <w:left w:w="108" w:type="dxa"/>
          <w:bottom w:w="0" w:type="dxa"/>
          <w:right w:w="108" w:type="dxa"/>
        </w:tblCellMar>
      </w:tblPr>
      <w:tblGrid>
        <w:gridCol w:w="5281"/>
        <w:gridCol w:w="3191"/>
        <w:gridCol w:w="5160"/>
      </w:tblGrid>
      <w:tr w14:paraId="12A638A5">
        <w:tblPrEx>
          <w:tblCellMar>
            <w:top w:w="0" w:type="dxa"/>
            <w:left w:w="108" w:type="dxa"/>
            <w:bottom w:w="0" w:type="dxa"/>
            <w:right w:w="108" w:type="dxa"/>
          </w:tblCellMar>
        </w:tblPrEx>
        <w:trPr>
          <w:trHeight w:val="846" w:hRule="atLeast"/>
        </w:trPr>
        <w:tc>
          <w:tcPr>
            <w:tcW w:w="13632" w:type="dxa"/>
            <w:gridSpan w:val="3"/>
            <w:tcBorders>
              <w:top w:val="nil"/>
              <w:left w:val="nil"/>
              <w:bottom w:val="nil"/>
              <w:right w:val="nil"/>
            </w:tcBorders>
            <w:shd w:val="clear" w:color="auto" w:fill="auto"/>
            <w:noWrap/>
            <w:vAlign w:val="center"/>
          </w:tcPr>
          <w:p w14:paraId="74694B94">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52DF9BC">
        <w:tblPrEx>
          <w:tblCellMar>
            <w:top w:w="0" w:type="dxa"/>
            <w:left w:w="108" w:type="dxa"/>
            <w:bottom w:w="0" w:type="dxa"/>
            <w:right w:w="108" w:type="dxa"/>
          </w:tblCellMar>
        </w:tblPrEx>
        <w:trPr>
          <w:trHeight w:val="614" w:hRule="atLeast"/>
        </w:trPr>
        <w:tc>
          <w:tcPr>
            <w:tcW w:w="8472" w:type="dxa"/>
            <w:gridSpan w:val="2"/>
            <w:tcBorders>
              <w:top w:val="nil"/>
              <w:left w:val="nil"/>
              <w:bottom w:val="nil"/>
              <w:right w:val="nil"/>
            </w:tcBorders>
            <w:shd w:val="clear" w:color="auto" w:fill="auto"/>
            <w:noWrap/>
            <w:vAlign w:val="center"/>
          </w:tcPr>
          <w:p w14:paraId="72B39F2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档案馆</w:t>
            </w:r>
          </w:p>
        </w:tc>
        <w:tc>
          <w:tcPr>
            <w:tcW w:w="5160" w:type="dxa"/>
            <w:tcBorders>
              <w:top w:val="nil"/>
              <w:left w:val="nil"/>
              <w:bottom w:val="nil"/>
              <w:right w:val="nil"/>
            </w:tcBorders>
            <w:shd w:val="clear" w:color="auto" w:fill="auto"/>
            <w:noWrap/>
            <w:vAlign w:val="center"/>
          </w:tcPr>
          <w:p w14:paraId="2A0D870E">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14:paraId="17876DA6">
        <w:tblPrEx>
          <w:tblCellMar>
            <w:top w:w="0" w:type="dxa"/>
            <w:left w:w="108" w:type="dxa"/>
            <w:bottom w:w="0" w:type="dxa"/>
            <w:right w:w="108" w:type="dxa"/>
          </w:tblCellMar>
        </w:tblPrEx>
        <w:trPr>
          <w:trHeight w:val="682" w:hRule="exact"/>
        </w:trPr>
        <w:tc>
          <w:tcPr>
            <w:tcW w:w="528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BECC2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91" w:type="dxa"/>
            <w:tcBorders>
              <w:top w:val="single" w:color="auto" w:sz="4" w:space="0"/>
              <w:left w:val="nil"/>
              <w:bottom w:val="single" w:color="auto" w:sz="4" w:space="0"/>
              <w:right w:val="single" w:color="auto" w:sz="4" w:space="0"/>
            </w:tcBorders>
            <w:shd w:val="clear" w:color="auto" w:fill="auto"/>
            <w:noWrap/>
            <w:vAlign w:val="center"/>
          </w:tcPr>
          <w:p w14:paraId="0DA63B65">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60" w:type="dxa"/>
            <w:tcBorders>
              <w:top w:val="single" w:color="auto" w:sz="4" w:space="0"/>
              <w:left w:val="nil"/>
              <w:bottom w:val="single" w:color="auto" w:sz="4" w:space="0"/>
              <w:right w:val="single" w:color="auto" w:sz="4" w:space="0"/>
            </w:tcBorders>
            <w:shd w:val="clear" w:color="auto" w:fill="auto"/>
            <w:noWrap/>
            <w:vAlign w:val="center"/>
          </w:tcPr>
          <w:p w14:paraId="5897051A">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4B1A711">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noWrap/>
            <w:vAlign w:val="center"/>
          </w:tcPr>
          <w:p w14:paraId="6D5A8E2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91" w:type="dxa"/>
            <w:tcBorders>
              <w:top w:val="nil"/>
              <w:left w:val="nil"/>
              <w:bottom w:val="single" w:color="auto" w:sz="4" w:space="0"/>
              <w:right w:val="single" w:color="auto" w:sz="4" w:space="0"/>
            </w:tcBorders>
            <w:shd w:val="clear" w:color="auto" w:fill="auto"/>
            <w:noWrap/>
            <w:vAlign w:val="center"/>
          </w:tcPr>
          <w:p w14:paraId="6DCA6300">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60" w:type="dxa"/>
            <w:tcBorders>
              <w:top w:val="nil"/>
              <w:left w:val="nil"/>
              <w:bottom w:val="single" w:color="auto" w:sz="4" w:space="0"/>
              <w:right w:val="single" w:color="auto" w:sz="4" w:space="0"/>
            </w:tcBorders>
            <w:shd w:val="clear" w:color="auto" w:fill="auto"/>
            <w:noWrap/>
            <w:vAlign w:val="center"/>
          </w:tcPr>
          <w:p w14:paraId="48EB4C4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203.75</w:t>
            </w:r>
          </w:p>
        </w:tc>
      </w:tr>
      <w:tr w14:paraId="37B9547D">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noWrap/>
            <w:vAlign w:val="center"/>
          </w:tcPr>
          <w:p w14:paraId="46CA0B0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91" w:type="dxa"/>
            <w:tcBorders>
              <w:top w:val="nil"/>
              <w:left w:val="nil"/>
              <w:bottom w:val="single" w:color="auto" w:sz="4" w:space="0"/>
              <w:right w:val="single" w:color="auto" w:sz="4" w:space="0"/>
            </w:tcBorders>
            <w:shd w:val="clear" w:color="auto" w:fill="auto"/>
            <w:noWrap/>
            <w:vAlign w:val="center"/>
          </w:tcPr>
          <w:p w14:paraId="528C9BC6">
            <w:pPr>
              <w:spacing w:line="584" w:lineRule="exact"/>
              <w:jc w:val="center"/>
              <w:rPr>
                <w:rFonts w:ascii="Times New Roman" w:hAnsi="Times New Roman" w:eastAsia="仿宋_GB2312" w:cs="Times New Roman"/>
                <w:sz w:val="22"/>
              </w:rPr>
            </w:pPr>
          </w:p>
        </w:tc>
        <w:tc>
          <w:tcPr>
            <w:tcW w:w="5160" w:type="dxa"/>
            <w:tcBorders>
              <w:top w:val="nil"/>
              <w:left w:val="nil"/>
              <w:bottom w:val="single" w:color="auto" w:sz="4" w:space="0"/>
              <w:right w:val="single" w:color="auto" w:sz="4" w:space="0"/>
            </w:tcBorders>
            <w:shd w:val="clear" w:color="auto" w:fill="auto"/>
            <w:noWrap/>
            <w:vAlign w:val="center"/>
          </w:tcPr>
          <w:p w14:paraId="79D0941F">
            <w:pPr>
              <w:spacing w:line="584" w:lineRule="exact"/>
              <w:jc w:val="center"/>
              <w:rPr>
                <w:rFonts w:ascii="Times New Roman" w:hAnsi="Times New Roman" w:eastAsia="仿宋_GB2312" w:cs="Times New Roman"/>
                <w:sz w:val="22"/>
              </w:rPr>
            </w:pPr>
          </w:p>
        </w:tc>
      </w:tr>
      <w:tr w14:paraId="75119286">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noWrap/>
            <w:vAlign w:val="center"/>
          </w:tcPr>
          <w:p w14:paraId="4845C6D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91" w:type="dxa"/>
            <w:tcBorders>
              <w:top w:val="nil"/>
              <w:left w:val="nil"/>
              <w:bottom w:val="single" w:color="auto" w:sz="4" w:space="0"/>
              <w:right w:val="single" w:color="auto" w:sz="4" w:space="0"/>
            </w:tcBorders>
            <w:shd w:val="clear" w:color="auto" w:fill="auto"/>
            <w:noWrap/>
            <w:vAlign w:val="center"/>
          </w:tcPr>
          <w:p w14:paraId="57C002E3">
            <w:pPr>
              <w:spacing w:line="584" w:lineRule="exact"/>
              <w:jc w:val="center"/>
              <w:rPr>
                <w:rFonts w:ascii="Times New Roman" w:hAnsi="Times New Roman" w:eastAsia="仿宋_GB2312" w:cs="Times New Roman"/>
                <w:sz w:val="22"/>
              </w:rPr>
            </w:pPr>
          </w:p>
        </w:tc>
        <w:tc>
          <w:tcPr>
            <w:tcW w:w="5160" w:type="dxa"/>
            <w:tcBorders>
              <w:top w:val="nil"/>
              <w:left w:val="nil"/>
              <w:bottom w:val="single" w:color="auto" w:sz="4" w:space="0"/>
              <w:right w:val="single" w:color="auto" w:sz="4" w:space="0"/>
            </w:tcBorders>
            <w:shd w:val="clear" w:color="auto" w:fill="auto"/>
            <w:noWrap/>
            <w:vAlign w:val="center"/>
          </w:tcPr>
          <w:p w14:paraId="029C17C8">
            <w:pPr>
              <w:spacing w:line="584" w:lineRule="exact"/>
              <w:jc w:val="center"/>
              <w:rPr>
                <w:rFonts w:ascii="Times New Roman" w:hAnsi="Times New Roman" w:eastAsia="仿宋_GB2312" w:cs="Times New Roman"/>
                <w:sz w:val="22"/>
              </w:rPr>
            </w:pPr>
          </w:p>
        </w:tc>
      </w:tr>
      <w:tr w14:paraId="7AA1EE76">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noWrap/>
            <w:vAlign w:val="center"/>
          </w:tcPr>
          <w:p w14:paraId="25D1587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91" w:type="dxa"/>
            <w:tcBorders>
              <w:top w:val="nil"/>
              <w:left w:val="nil"/>
              <w:bottom w:val="single" w:color="auto" w:sz="4" w:space="0"/>
              <w:right w:val="single" w:color="auto" w:sz="4" w:space="0"/>
            </w:tcBorders>
            <w:shd w:val="clear" w:color="auto" w:fill="auto"/>
            <w:noWrap/>
            <w:vAlign w:val="center"/>
          </w:tcPr>
          <w:p w14:paraId="56A1642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60" w:type="dxa"/>
            <w:tcBorders>
              <w:top w:val="nil"/>
              <w:left w:val="nil"/>
              <w:bottom w:val="single" w:color="auto" w:sz="4" w:space="0"/>
              <w:right w:val="single" w:color="auto" w:sz="4" w:space="0"/>
            </w:tcBorders>
            <w:shd w:val="clear" w:color="auto" w:fill="auto"/>
            <w:noWrap/>
            <w:vAlign w:val="center"/>
          </w:tcPr>
          <w:p w14:paraId="704B0F0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18.51</w:t>
            </w:r>
          </w:p>
        </w:tc>
      </w:tr>
      <w:tr w14:paraId="39ABC8E9">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vAlign w:val="center"/>
          </w:tcPr>
          <w:p w14:paraId="6DBADF3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91" w:type="dxa"/>
            <w:tcBorders>
              <w:top w:val="nil"/>
              <w:left w:val="nil"/>
              <w:bottom w:val="single" w:color="auto" w:sz="4" w:space="0"/>
              <w:right w:val="single" w:color="auto" w:sz="4" w:space="0"/>
            </w:tcBorders>
            <w:shd w:val="clear" w:color="auto" w:fill="auto"/>
            <w:noWrap/>
            <w:vAlign w:val="center"/>
          </w:tcPr>
          <w:p w14:paraId="556814CB">
            <w:pPr>
              <w:spacing w:line="584" w:lineRule="exact"/>
              <w:jc w:val="center"/>
              <w:rPr>
                <w:rFonts w:ascii="Times New Roman" w:hAnsi="Times New Roman" w:eastAsia="仿宋_GB2312" w:cs="Times New Roman"/>
                <w:sz w:val="22"/>
              </w:rPr>
            </w:pPr>
          </w:p>
        </w:tc>
        <w:tc>
          <w:tcPr>
            <w:tcW w:w="5160" w:type="dxa"/>
            <w:tcBorders>
              <w:top w:val="nil"/>
              <w:left w:val="nil"/>
              <w:bottom w:val="single" w:color="auto" w:sz="4" w:space="0"/>
              <w:right w:val="single" w:color="auto" w:sz="4" w:space="0"/>
            </w:tcBorders>
            <w:shd w:val="clear" w:color="auto" w:fill="auto"/>
            <w:noWrap/>
            <w:vAlign w:val="center"/>
          </w:tcPr>
          <w:p w14:paraId="1A41E0EB">
            <w:pPr>
              <w:spacing w:line="584" w:lineRule="exact"/>
              <w:jc w:val="center"/>
              <w:rPr>
                <w:rFonts w:ascii="Times New Roman" w:hAnsi="Times New Roman" w:eastAsia="仿宋_GB2312" w:cs="Times New Roman"/>
                <w:sz w:val="22"/>
              </w:rPr>
            </w:pPr>
          </w:p>
        </w:tc>
      </w:tr>
      <w:tr w14:paraId="4E9FE68E">
        <w:tblPrEx>
          <w:tblCellMar>
            <w:top w:w="0" w:type="dxa"/>
            <w:left w:w="108" w:type="dxa"/>
            <w:bottom w:w="0" w:type="dxa"/>
            <w:right w:w="108" w:type="dxa"/>
          </w:tblCellMar>
        </w:tblPrEx>
        <w:trPr>
          <w:trHeight w:val="682" w:hRule="exact"/>
        </w:trPr>
        <w:tc>
          <w:tcPr>
            <w:tcW w:w="5281" w:type="dxa"/>
            <w:tcBorders>
              <w:top w:val="nil"/>
              <w:left w:val="single" w:color="auto" w:sz="4" w:space="0"/>
              <w:bottom w:val="single" w:color="auto" w:sz="4" w:space="0"/>
              <w:right w:val="single" w:color="auto" w:sz="4" w:space="0"/>
            </w:tcBorders>
            <w:shd w:val="clear" w:color="auto" w:fill="auto"/>
            <w:noWrap/>
            <w:vAlign w:val="center"/>
          </w:tcPr>
          <w:p w14:paraId="79161F6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91" w:type="dxa"/>
            <w:tcBorders>
              <w:top w:val="nil"/>
              <w:left w:val="nil"/>
              <w:bottom w:val="single" w:color="auto" w:sz="4" w:space="0"/>
              <w:right w:val="single" w:color="auto" w:sz="4" w:space="0"/>
            </w:tcBorders>
            <w:shd w:val="clear" w:color="auto" w:fill="auto"/>
            <w:noWrap/>
            <w:vAlign w:val="center"/>
          </w:tcPr>
          <w:p w14:paraId="63079A59">
            <w:pPr>
              <w:spacing w:line="584" w:lineRule="exact"/>
              <w:jc w:val="center"/>
              <w:rPr>
                <w:rFonts w:ascii="Times New Roman" w:hAnsi="Times New Roman" w:eastAsia="仿宋_GB2312" w:cs="Times New Roman"/>
                <w:sz w:val="22"/>
              </w:rPr>
            </w:pPr>
          </w:p>
        </w:tc>
        <w:tc>
          <w:tcPr>
            <w:tcW w:w="5160" w:type="dxa"/>
            <w:tcBorders>
              <w:top w:val="nil"/>
              <w:left w:val="nil"/>
              <w:bottom w:val="single" w:color="auto" w:sz="4" w:space="0"/>
              <w:right w:val="single" w:color="auto" w:sz="4" w:space="0"/>
            </w:tcBorders>
            <w:shd w:val="clear" w:color="auto" w:fill="auto"/>
            <w:noWrap/>
            <w:vAlign w:val="center"/>
          </w:tcPr>
          <w:p w14:paraId="72BB432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185.24</w:t>
            </w:r>
          </w:p>
        </w:tc>
      </w:tr>
    </w:tbl>
    <w:p w14:paraId="788E004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70674F9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04F6C09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683F0B08">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ACF085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153F1B2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27A190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A7D003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84811E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AA3A56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82A0F2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04ED594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0C1BBACA">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D0823">
    <w:pPr>
      <w:pStyle w:val="3"/>
      <w:jc w:val="center"/>
    </w:pPr>
    <w:r>
      <w:rPr>
        <w:rFonts w:hint="eastAsia"/>
      </w:rPr>
      <w:t>-</w:t>
    </w:r>
    <w:r>
      <w:fldChar w:fldCharType="begin"/>
    </w:r>
    <w:r>
      <w:instrText xml:space="preserve">PAGE   \* MERGEFORMAT</w:instrText>
    </w:r>
    <w:r>
      <w:fldChar w:fldCharType="separate"/>
    </w:r>
    <w:r>
      <w:rPr>
        <w:lang w:val="zh-CN"/>
      </w:rPr>
      <w:t>13</w:t>
    </w:r>
    <w:r>
      <w:rPr>
        <w:lang w:val="zh-CN"/>
      </w:rPr>
      <w:fldChar w:fldCharType="end"/>
    </w:r>
    <w:r>
      <w:rPr>
        <w:rFonts w:hint="eastAsia"/>
      </w:rPr>
      <w:t>-</w:t>
    </w:r>
  </w:p>
  <w:p w14:paraId="7794540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003864"/>
    <w:rsid w:val="000230E6"/>
    <w:rsid w:val="00040AFD"/>
    <w:rsid w:val="000E06FE"/>
    <w:rsid w:val="000E6D60"/>
    <w:rsid w:val="00111FBC"/>
    <w:rsid w:val="0014751F"/>
    <w:rsid w:val="0025632D"/>
    <w:rsid w:val="002C1AD0"/>
    <w:rsid w:val="00305FCB"/>
    <w:rsid w:val="00321BB4"/>
    <w:rsid w:val="00333166"/>
    <w:rsid w:val="00361A19"/>
    <w:rsid w:val="003C46F6"/>
    <w:rsid w:val="003D46B3"/>
    <w:rsid w:val="003F40DF"/>
    <w:rsid w:val="004243D2"/>
    <w:rsid w:val="00487E89"/>
    <w:rsid w:val="004A54AA"/>
    <w:rsid w:val="004C7308"/>
    <w:rsid w:val="00500E2D"/>
    <w:rsid w:val="00512B3A"/>
    <w:rsid w:val="0061286E"/>
    <w:rsid w:val="00640EFD"/>
    <w:rsid w:val="00663AE0"/>
    <w:rsid w:val="00663B4E"/>
    <w:rsid w:val="00663CB4"/>
    <w:rsid w:val="006C0266"/>
    <w:rsid w:val="006E33D2"/>
    <w:rsid w:val="0085021A"/>
    <w:rsid w:val="00855706"/>
    <w:rsid w:val="00856335"/>
    <w:rsid w:val="00872194"/>
    <w:rsid w:val="00880434"/>
    <w:rsid w:val="00882754"/>
    <w:rsid w:val="008863BC"/>
    <w:rsid w:val="008E7BFA"/>
    <w:rsid w:val="00915193"/>
    <w:rsid w:val="00944233"/>
    <w:rsid w:val="00A07B4A"/>
    <w:rsid w:val="00A25F4A"/>
    <w:rsid w:val="00A46D47"/>
    <w:rsid w:val="00AA3236"/>
    <w:rsid w:val="00AC7AF5"/>
    <w:rsid w:val="00B13247"/>
    <w:rsid w:val="00B32514"/>
    <w:rsid w:val="00B40732"/>
    <w:rsid w:val="00B62297"/>
    <w:rsid w:val="00B80935"/>
    <w:rsid w:val="00BA1EA5"/>
    <w:rsid w:val="00BA5EBA"/>
    <w:rsid w:val="00BD3F91"/>
    <w:rsid w:val="00C572B1"/>
    <w:rsid w:val="00CB0A4A"/>
    <w:rsid w:val="00CD0BCC"/>
    <w:rsid w:val="00D26C33"/>
    <w:rsid w:val="00D347CC"/>
    <w:rsid w:val="00D522EE"/>
    <w:rsid w:val="00D8021B"/>
    <w:rsid w:val="00E02D43"/>
    <w:rsid w:val="00E040B2"/>
    <w:rsid w:val="00E4617B"/>
    <w:rsid w:val="00E54702"/>
    <w:rsid w:val="00F533DF"/>
    <w:rsid w:val="00FE638E"/>
    <w:rsid w:val="5DE63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autoRedefine/>
    <w:uiPriority w:val="0"/>
    <w:pPr>
      <w:ind w:left="200" w:leftChars="200"/>
    </w:pPr>
    <w:rPr>
      <w:rFonts w:ascii="Times New Roman" w:hAnsi="Times New Roman" w:cs="Times New Roman"/>
      <w:szCs w:val="24"/>
    </w:rPr>
  </w:style>
  <w:style w:type="character" w:styleId="10">
    <w:name w:val="footnote reference"/>
    <w:uiPriority w:val="0"/>
    <w:rPr>
      <w:vertAlign w:val="superscript"/>
    </w:rPr>
  </w:style>
  <w:style w:type="paragraph" w:customStyle="1" w:styleId="11">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3">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4">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5">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6">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8">
    <w:name w:val="单元格样式5"/>
    <w:basedOn w:val="1"/>
    <w:qFormat/>
    <w:uiPriority w:val="0"/>
    <w:pPr>
      <w:widowControl/>
      <w:jc w:val="left"/>
    </w:pPr>
    <w:rPr>
      <w:rFonts w:ascii="方正书宋_GBK" w:hAnsi="方正书宋_GBK" w:eastAsia="方正书宋_GBK" w:cs="方正书宋_GBK"/>
      <w:b/>
      <w:kern w:val="0"/>
      <w:szCs w:val="24"/>
      <w:lang w:eastAsia="uk-U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3785</Words>
  <Characters>4045</Characters>
  <Lines>38</Lines>
  <Paragraphs>10</Paragraphs>
  <TotalTime>3</TotalTime>
  <ScaleCrop>false</ScaleCrop>
  <LinksUpToDate>false</LinksUpToDate>
  <CharactersWithSpaces>4185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2022-01-25T01:53:00Z</dcterms:created>
  <dc:creator>guest</dc:creator>
  <cp:lastModifiedBy>BianL</cp:lastModifiedBy>
  <cp:lastPrinted>2018-01-30T06:12:00Z</cp:lastPrinted>
  <dcterms:modified xsi:type="dcterms:W3CDTF">2022-01-25T03:58:27Z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00A2EAA488FE4BEE974358AE01CEF64C_12</vt:lpwstr>
  </property>
</Properties>
</file>