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D8E37">
      <w:pPr>
        <w:keepNext w:val="0"/>
        <w:keepLines w:val="0"/>
        <w:pageBreakBefore w:val="0"/>
        <w:kinsoku/>
        <w:wordWrap/>
        <w:overflowPunct/>
        <w:topLinePunct w:val="0"/>
        <w:bidi w:val="0"/>
        <w:adjustRightInd w:val="0"/>
        <w:snapToGrid w:val="0"/>
        <w:spacing w:line="500" w:lineRule="exact"/>
        <w:ind w:firstLine="880" w:firstLineChars="200"/>
        <w:jc w:val="center"/>
        <w:rPr>
          <w:rFonts w:hint="eastAsia" w:ascii="Times New Roman" w:hAnsi="Times New Roman" w:eastAsia="方正小标宋简体" w:cs="Times New Roman"/>
          <w:sz w:val="44"/>
          <w:szCs w:val="44"/>
          <w:lang w:eastAsia="zh-CN"/>
        </w:rPr>
      </w:pPr>
      <w:r>
        <w:rPr>
          <w:rFonts w:hint="eastAsia" w:ascii="Times New Roman" w:hAnsi="Times New Roman" w:eastAsia="方正小标宋简体" w:cs="Times New Roman"/>
          <w:sz w:val="44"/>
          <w:szCs w:val="44"/>
        </w:rPr>
        <w:t>廊坊市</w:t>
      </w:r>
      <w:r>
        <w:rPr>
          <w:rFonts w:hint="eastAsia" w:ascii="Times New Roman" w:hAnsi="Times New Roman" w:eastAsia="方正小标宋简体" w:cs="Times New Roman"/>
          <w:sz w:val="44"/>
          <w:szCs w:val="44"/>
          <w:lang w:eastAsia="zh-CN"/>
        </w:rPr>
        <w:t>邮政业安全中心</w:t>
      </w:r>
    </w:p>
    <w:p w14:paraId="4BA203FA">
      <w:pPr>
        <w:keepNext w:val="0"/>
        <w:keepLines w:val="0"/>
        <w:pageBreakBefore w:val="0"/>
        <w:kinsoku/>
        <w:wordWrap/>
        <w:overflowPunct/>
        <w:topLinePunct w:val="0"/>
        <w:bidi w:val="0"/>
        <w:adjustRightInd w:val="0"/>
        <w:snapToGrid w:val="0"/>
        <w:spacing w:line="500"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2019年部门预算信息公开</w:t>
      </w:r>
      <w:r>
        <w:rPr>
          <w:rFonts w:hint="eastAsia" w:ascii="Times New Roman" w:hAnsi="Times New Roman" w:eastAsia="方正小标宋简体" w:cs="Times New Roman"/>
          <w:sz w:val="44"/>
          <w:szCs w:val="44"/>
        </w:rPr>
        <w:t>情况说明</w:t>
      </w:r>
    </w:p>
    <w:p w14:paraId="0609085B">
      <w:pPr>
        <w:keepNext w:val="0"/>
        <w:keepLines w:val="0"/>
        <w:pageBreakBefore w:val="0"/>
        <w:kinsoku/>
        <w:wordWrap/>
        <w:overflowPunct/>
        <w:topLinePunct w:val="0"/>
        <w:bidi w:val="0"/>
        <w:adjustRightInd w:val="0"/>
        <w:snapToGrid w:val="0"/>
        <w:spacing w:line="500" w:lineRule="exact"/>
        <w:ind w:firstLine="880" w:firstLineChars="200"/>
        <w:jc w:val="center"/>
        <w:rPr>
          <w:rFonts w:ascii="Times New Roman" w:hAnsi="Times New Roman" w:eastAsia="仿宋_GB2312" w:cs="Times New Roman"/>
          <w:sz w:val="44"/>
          <w:szCs w:val="44"/>
        </w:rPr>
      </w:pPr>
    </w:p>
    <w:p w14:paraId="370B273D">
      <w:pPr>
        <w:keepNext w:val="0"/>
        <w:keepLines w:val="0"/>
        <w:pageBreakBefore w:val="0"/>
        <w:widowControl w:val="0"/>
        <w:kinsoku/>
        <w:wordWrap/>
        <w:overflowPunct/>
        <w:topLinePunct w:val="0"/>
        <w:bidi w:val="0"/>
        <w:adjustRightInd w:val="0"/>
        <w:snapToGrid w:val="0"/>
        <w:spacing w:line="5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按照《预算法》、《地方预决算公开操作规程》和《河北省省级预算公开办法》规定，现将</w:t>
      </w:r>
      <w:r>
        <w:rPr>
          <w:rFonts w:hint="eastAsia" w:ascii="Times New Roman" w:hAnsi="Times New Roman" w:eastAsia="仿宋_GB2312" w:cs="Times New Roman"/>
          <w:sz w:val="32"/>
          <w:szCs w:val="32"/>
        </w:rPr>
        <w:t>廊坊市</w:t>
      </w:r>
      <w:r>
        <w:rPr>
          <w:rFonts w:hint="eastAsia" w:ascii="Times New Roman" w:hAnsi="Times New Roman" w:eastAsia="仿宋_GB2312" w:cs="Times New Roman"/>
          <w:sz w:val="32"/>
          <w:szCs w:val="32"/>
          <w:lang w:eastAsia="zh-CN"/>
        </w:rPr>
        <w:t>邮政业安全中心</w:t>
      </w:r>
      <w:r>
        <w:rPr>
          <w:rFonts w:ascii="Times New Roman" w:hAnsi="Times New Roman" w:eastAsia="仿宋_GB2312" w:cs="Times New Roman"/>
          <w:sz w:val="32"/>
          <w:szCs w:val="32"/>
        </w:rPr>
        <w:t>2019年部门预算公开如下：</w:t>
      </w:r>
    </w:p>
    <w:p w14:paraId="47FF39E5">
      <w:pPr>
        <w:keepNext w:val="0"/>
        <w:keepLines w:val="0"/>
        <w:pageBreakBefore w:val="0"/>
        <w:widowControl w:val="0"/>
        <w:kinsoku/>
        <w:wordWrap/>
        <w:overflowPunct/>
        <w:topLinePunct w:val="0"/>
        <w:bidi w:val="0"/>
        <w:adjustRightInd w:val="0"/>
        <w:snapToGrid w:val="0"/>
        <w:spacing w:line="500" w:lineRule="exact"/>
        <w:ind w:firstLine="640" w:firstLineChars="200"/>
        <w:textAlignment w:val="auto"/>
        <w:rPr>
          <w:rFonts w:ascii="Times New Roman" w:hAnsi="Times New Roman" w:eastAsia="黑体" w:cs="Times New Roman"/>
          <w:sz w:val="32"/>
          <w:szCs w:val="32"/>
        </w:rPr>
      </w:pPr>
      <w:r>
        <w:rPr>
          <w:rFonts w:ascii="Times New Roman" w:hAnsi="黑体" w:eastAsia="黑体" w:cs="Times New Roman"/>
          <w:sz w:val="32"/>
          <w:szCs w:val="32"/>
        </w:rPr>
        <w:t>一、部门职责及机构设置情况</w:t>
      </w:r>
    </w:p>
    <w:p w14:paraId="40D44379">
      <w:pPr>
        <w:keepNext w:val="0"/>
        <w:keepLines w:val="0"/>
        <w:pageBreakBefore w:val="0"/>
        <w:widowControl w:val="0"/>
        <w:kinsoku/>
        <w:wordWrap/>
        <w:overflowPunct/>
        <w:topLinePunct w:val="0"/>
        <w:bidi w:val="0"/>
        <w:adjustRightInd w:val="0"/>
        <w:snapToGrid w:val="0"/>
        <w:spacing w:line="500" w:lineRule="exact"/>
        <w:ind w:firstLine="643" w:firstLineChars="200"/>
        <w:textAlignment w:val="auto"/>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604BD87C">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00" w:lineRule="exact"/>
        <w:ind w:firstLine="627" w:firstLineChars="196"/>
        <w:jc w:val="lef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负责全市邮政行业安全监管信息系统的建设、管理和维护。</w:t>
      </w:r>
    </w:p>
    <w:p w14:paraId="76B35362">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00" w:lineRule="exact"/>
        <w:ind w:firstLine="627" w:firstLineChars="196"/>
        <w:jc w:val="lef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参与邮政行业监管和应急管理相关研究、行业运行安全监测和应急处置。</w:t>
      </w:r>
    </w:p>
    <w:p w14:paraId="19350898">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00" w:lineRule="exact"/>
        <w:ind w:firstLine="627" w:firstLineChars="196"/>
        <w:jc w:val="lef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配合做好全市邮政行业安全机关和应急保障等工作。  </w:t>
      </w:r>
    </w:p>
    <w:p w14:paraId="7122A9B1">
      <w:pPr>
        <w:keepNext w:val="0"/>
        <w:keepLines w:val="0"/>
        <w:pageBreakBefore w:val="0"/>
        <w:widowControl w:val="0"/>
        <w:kinsoku/>
        <w:wordWrap/>
        <w:overflowPunct/>
        <w:topLinePunct w:val="0"/>
        <w:autoSpaceDE w:val="0"/>
        <w:autoSpaceDN w:val="0"/>
        <w:bidi w:val="0"/>
        <w:adjustRightInd w:val="0"/>
        <w:snapToGrid w:val="0"/>
        <w:spacing w:line="500" w:lineRule="exact"/>
        <w:ind w:firstLine="630" w:firstLineChars="196"/>
        <w:jc w:val="left"/>
        <w:textAlignment w:val="auto"/>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4EB8DD48">
      <w:pPr>
        <w:keepNext w:val="0"/>
        <w:keepLines w:val="0"/>
        <w:pageBreakBefore w:val="0"/>
        <w:widowControl w:val="0"/>
        <w:kinsoku/>
        <w:wordWrap/>
        <w:overflowPunct/>
        <w:topLinePunct w:val="0"/>
        <w:bidi w:val="0"/>
        <w:adjustRightInd w:val="0"/>
        <w:snapToGrid w:val="0"/>
        <w:spacing w:line="500" w:lineRule="exact"/>
        <w:jc w:val="center"/>
        <w:textAlignment w:val="auto"/>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59E9BB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6AE01A05">
            <w:pPr>
              <w:keepNext w:val="0"/>
              <w:keepLines w:val="0"/>
              <w:pageBreakBefore w:val="0"/>
              <w:widowControl w:val="0"/>
              <w:kinsoku/>
              <w:wordWrap/>
              <w:overflowPunct/>
              <w:topLinePunct w:val="0"/>
              <w:bidi w:val="0"/>
              <w:adjustRightInd w:val="0"/>
              <w:snapToGrid w:val="0"/>
              <w:spacing w:line="500" w:lineRule="exact"/>
              <w:jc w:val="center"/>
              <w:textAlignment w:val="auto"/>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6E25205A">
            <w:pPr>
              <w:keepNext w:val="0"/>
              <w:keepLines w:val="0"/>
              <w:pageBreakBefore w:val="0"/>
              <w:widowControl w:val="0"/>
              <w:kinsoku/>
              <w:wordWrap/>
              <w:overflowPunct/>
              <w:topLinePunct w:val="0"/>
              <w:bidi w:val="0"/>
              <w:adjustRightInd w:val="0"/>
              <w:snapToGrid w:val="0"/>
              <w:spacing w:line="500" w:lineRule="exact"/>
              <w:jc w:val="center"/>
              <w:textAlignment w:val="auto"/>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174819F3">
            <w:pPr>
              <w:keepNext w:val="0"/>
              <w:keepLines w:val="0"/>
              <w:pageBreakBefore w:val="0"/>
              <w:widowControl w:val="0"/>
              <w:kinsoku/>
              <w:wordWrap/>
              <w:overflowPunct/>
              <w:topLinePunct w:val="0"/>
              <w:bidi w:val="0"/>
              <w:adjustRightInd w:val="0"/>
              <w:snapToGrid w:val="0"/>
              <w:spacing w:line="500" w:lineRule="exact"/>
              <w:jc w:val="center"/>
              <w:textAlignment w:val="auto"/>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shd w:val="clear" w:color="auto" w:fill="auto"/>
            <w:vAlign w:val="center"/>
          </w:tcPr>
          <w:p w14:paraId="3C4B0CD1">
            <w:pPr>
              <w:keepNext w:val="0"/>
              <w:keepLines w:val="0"/>
              <w:pageBreakBefore w:val="0"/>
              <w:widowControl w:val="0"/>
              <w:kinsoku/>
              <w:wordWrap/>
              <w:overflowPunct/>
              <w:topLinePunct w:val="0"/>
              <w:bidi w:val="0"/>
              <w:adjustRightInd w:val="0"/>
              <w:snapToGrid w:val="0"/>
              <w:spacing w:line="500" w:lineRule="exact"/>
              <w:jc w:val="center"/>
              <w:textAlignment w:val="auto"/>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6C38BE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blHeader/>
          <w:jc w:val="center"/>
        </w:trPr>
        <w:tc>
          <w:tcPr>
            <w:tcW w:w="4443" w:type="dxa"/>
            <w:vMerge w:val="continue"/>
            <w:shd w:val="clear" w:color="auto" w:fill="auto"/>
            <w:vAlign w:val="center"/>
          </w:tcPr>
          <w:p w14:paraId="1A62211D">
            <w:pPr>
              <w:keepNext w:val="0"/>
              <w:keepLines w:val="0"/>
              <w:pageBreakBefore w:val="0"/>
              <w:kinsoku/>
              <w:wordWrap/>
              <w:overflowPunct/>
              <w:topLinePunct w:val="0"/>
              <w:bidi w:val="0"/>
              <w:adjustRightInd w:val="0"/>
              <w:snapToGrid w:val="0"/>
              <w:spacing w:line="500" w:lineRule="exact"/>
              <w:jc w:val="left"/>
              <w:outlineLvl w:val="0"/>
              <w:rPr>
                <w:rFonts w:ascii="Times New Roman" w:hAnsi="Times New Roman" w:eastAsia="仿宋_GB2312" w:cs="Times New Roman"/>
                <w:szCs w:val="24"/>
              </w:rPr>
            </w:pPr>
          </w:p>
        </w:tc>
        <w:tc>
          <w:tcPr>
            <w:tcW w:w="1134" w:type="dxa"/>
            <w:vMerge w:val="continue"/>
            <w:shd w:val="clear" w:color="auto" w:fill="auto"/>
            <w:vAlign w:val="center"/>
          </w:tcPr>
          <w:p w14:paraId="52490879">
            <w:pPr>
              <w:keepNext w:val="0"/>
              <w:keepLines w:val="0"/>
              <w:pageBreakBefore w:val="0"/>
              <w:kinsoku/>
              <w:wordWrap/>
              <w:overflowPunct/>
              <w:topLinePunct w:val="0"/>
              <w:bidi w:val="0"/>
              <w:adjustRightInd w:val="0"/>
              <w:snapToGrid w:val="0"/>
              <w:spacing w:line="500" w:lineRule="exact"/>
              <w:jc w:val="left"/>
              <w:outlineLvl w:val="0"/>
              <w:rPr>
                <w:rFonts w:ascii="Times New Roman" w:hAnsi="Times New Roman" w:eastAsia="仿宋_GB2312" w:cs="Times New Roman"/>
                <w:szCs w:val="24"/>
              </w:rPr>
            </w:pPr>
          </w:p>
        </w:tc>
        <w:tc>
          <w:tcPr>
            <w:tcW w:w="1276" w:type="dxa"/>
            <w:vMerge w:val="continue"/>
            <w:shd w:val="clear" w:color="auto" w:fill="auto"/>
            <w:vAlign w:val="center"/>
          </w:tcPr>
          <w:p w14:paraId="2C1E9218">
            <w:pPr>
              <w:keepNext w:val="0"/>
              <w:keepLines w:val="0"/>
              <w:pageBreakBefore w:val="0"/>
              <w:kinsoku/>
              <w:wordWrap/>
              <w:overflowPunct/>
              <w:topLinePunct w:val="0"/>
              <w:bidi w:val="0"/>
              <w:adjustRightInd w:val="0"/>
              <w:snapToGrid w:val="0"/>
              <w:spacing w:line="500" w:lineRule="exact"/>
              <w:jc w:val="left"/>
              <w:outlineLvl w:val="0"/>
              <w:rPr>
                <w:rFonts w:ascii="Times New Roman" w:hAnsi="Times New Roman" w:eastAsia="仿宋_GB2312" w:cs="Times New Roman"/>
                <w:szCs w:val="24"/>
              </w:rPr>
            </w:pPr>
          </w:p>
        </w:tc>
        <w:tc>
          <w:tcPr>
            <w:tcW w:w="2902" w:type="dxa"/>
            <w:vMerge w:val="continue"/>
            <w:shd w:val="clear" w:color="auto" w:fill="auto"/>
            <w:vAlign w:val="center"/>
          </w:tcPr>
          <w:p w14:paraId="2ED871D3">
            <w:pPr>
              <w:keepNext w:val="0"/>
              <w:keepLines w:val="0"/>
              <w:pageBreakBefore w:val="0"/>
              <w:kinsoku/>
              <w:wordWrap/>
              <w:overflowPunct/>
              <w:topLinePunct w:val="0"/>
              <w:bidi w:val="0"/>
              <w:adjustRightInd w:val="0"/>
              <w:snapToGrid w:val="0"/>
              <w:spacing w:line="500" w:lineRule="exact"/>
              <w:jc w:val="left"/>
              <w:outlineLvl w:val="0"/>
              <w:rPr>
                <w:rFonts w:ascii="Times New Roman" w:hAnsi="Times New Roman" w:eastAsia="仿宋_GB2312" w:cs="Times New Roman"/>
                <w:szCs w:val="24"/>
              </w:rPr>
            </w:pPr>
          </w:p>
        </w:tc>
      </w:tr>
      <w:tr w14:paraId="0D8226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440C7205">
            <w:pPr>
              <w:keepNext w:val="0"/>
              <w:keepLines w:val="0"/>
              <w:pageBreakBefore w:val="0"/>
              <w:kinsoku/>
              <w:wordWrap/>
              <w:overflowPunct/>
              <w:topLinePunct w:val="0"/>
              <w:bidi w:val="0"/>
              <w:adjustRightInd w:val="0"/>
              <w:snapToGrid w:val="0"/>
              <w:spacing w:line="500" w:lineRule="exact"/>
              <w:jc w:val="center"/>
              <w:rPr>
                <w:rFonts w:ascii="Times New Roman" w:hAnsi="Times New Roman" w:eastAsia="仿宋_GB2312" w:cs="Times New Roman"/>
                <w:b/>
              </w:rPr>
            </w:pPr>
            <w:r>
              <w:rPr>
                <w:rFonts w:ascii="Times New Roman" w:hAnsi="Times New Roman" w:eastAsia="仿宋_GB2312" w:cs="Times New Roman"/>
                <w:b/>
              </w:rPr>
              <w:t>合计</w:t>
            </w:r>
          </w:p>
        </w:tc>
        <w:tc>
          <w:tcPr>
            <w:tcW w:w="1134" w:type="dxa"/>
            <w:shd w:val="clear" w:color="auto" w:fill="auto"/>
            <w:vAlign w:val="center"/>
          </w:tcPr>
          <w:p w14:paraId="2E3C3EA8">
            <w:pPr>
              <w:keepNext w:val="0"/>
              <w:keepLines w:val="0"/>
              <w:pageBreakBefore w:val="0"/>
              <w:kinsoku/>
              <w:wordWrap/>
              <w:overflowPunct/>
              <w:topLinePunct w:val="0"/>
              <w:bidi w:val="0"/>
              <w:adjustRightInd w:val="0"/>
              <w:snapToGrid w:val="0"/>
              <w:spacing w:line="500" w:lineRule="exact"/>
              <w:jc w:val="center"/>
              <w:rPr>
                <w:rFonts w:ascii="Times New Roman" w:hAnsi="Times New Roman" w:eastAsia="仿宋_GB2312" w:cs="Times New Roman"/>
                <w:b/>
              </w:rPr>
            </w:pPr>
          </w:p>
        </w:tc>
        <w:tc>
          <w:tcPr>
            <w:tcW w:w="1276" w:type="dxa"/>
            <w:shd w:val="clear" w:color="auto" w:fill="auto"/>
            <w:vAlign w:val="center"/>
          </w:tcPr>
          <w:p w14:paraId="2A0A8A18">
            <w:pPr>
              <w:keepNext w:val="0"/>
              <w:keepLines w:val="0"/>
              <w:pageBreakBefore w:val="0"/>
              <w:kinsoku/>
              <w:wordWrap/>
              <w:overflowPunct/>
              <w:topLinePunct w:val="0"/>
              <w:bidi w:val="0"/>
              <w:adjustRightInd w:val="0"/>
              <w:snapToGrid w:val="0"/>
              <w:spacing w:line="500" w:lineRule="exact"/>
              <w:jc w:val="center"/>
              <w:rPr>
                <w:rFonts w:ascii="Times New Roman" w:hAnsi="Times New Roman" w:eastAsia="仿宋_GB2312" w:cs="Times New Roman"/>
                <w:b/>
              </w:rPr>
            </w:pPr>
          </w:p>
        </w:tc>
        <w:tc>
          <w:tcPr>
            <w:tcW w:w="2902" w:type="dxa"/>
            <w:shd w:val="clear" w:color="auto" w:fill="auto"/>
            <w:vAlign w:val="center"/>
          </w:tcPr>
          <w:p w14:paraId="4332B49E">
            <w:pPr>
              <w:keepNext w:val="0"/>
              <w:keepLines w:val="0"/>
              <w:pageBreakBefore w:val="0"/>
              <w:kinsoku/>
              <w:wordWrap/>
              <w:overflowPunct/>
              <w:topLinePunct w:val="0"/>
              <w:bidi w:val="0"/>
              <w:adjustRightInd w:val="0"/>
              <w:snapToGrid w:val="0"/>
              <w:spacing w:line="500" w:lineRule="exact"/>
              <w:jc w:val="center"/>
              <w:rPr>
                <w:rFonts w:ascii="Times New Roman" w:hAnsi="Times New Roman" w:eastAsia="仿宋_GB2312" w:cs="Times New Roman"/>
                <w:b/>
              </w:rPr>
            </w:pPr>
          </w:p>
        </w:tc>
      </w:tr>
      <w:tr w14:paraId="08D5FA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4BF8C4F6">
            <w:pPr>
              <w:keepNext w:val="0"/>
              <w:keepLines w:val="0"/>
              <w:pageBreakBefore w:val="0"/>
              <w:kinsoku/>
              <w:wordWrap/>
              <w:overflowPunct/>
              <w:topLinePunct w:val="0"/>
              <w:bidi w:val="0"/>
              <w:adjustRightInd w:val="0"/>
              <w:snapToGrid w:val="0"/>
              <w:spacing w:line="5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rPr>
              <w:t>廊坊市</w:t>
            </w:r>
            <w:r>
              <w:rPr>
                <w:rFonts w:hint="eastAsia" w:ascii="Times New Roman" w:hAnsi="Times New Roman" w:eastAsia="仿宋_GB2312" w:cs="Times New Roman"/>
                <w:lang w:eastAsia="zh-CN"/>
              </w:rPr>
              <w:t>邮政业安全中心</w:t>
            </w:r>
          </w:p>
        </w:tc>
        <w:tc>
          <w:tcPr>
            <w:tcW w:w="1134" w:type="dxa"/>
            <w:shd w:val="clear" w:color="auto" w:fill="auto"/>
            <w:vAlign w:val="center"/>
          </w:tcPr>
          <w:p w14:paraId="2B8AF6FA">
            <w:pPr>
              <w:keepNext w:val="0"/>
              <w:keepLines w:val="0"/>
              <w:pageBreakBefore w:val="0"/>
              <w:kinsoku/>
              <w:wordWrap/>
              <w:overflowPunct/>
              <w:topLinePunct w:val="0"/>
              <w:bidi w:val="0"/>
              <w:adjustRightInd w:val="0"/>
              <w:snapToGrid w:val="0"/>
              <w:spacing w:line="500" w:lineRule="exact"/>
              <w:jc w:val="center"/>
              <w:rPr>
                <w:rFonts w:ascii="Times New Roman" w:hAnsi="Times New Roman" w:eastAsia="仿宋_GB2312" w:cs="Times New Roman"/>
              </w:rPr>
            </w:pPr>
            <w:r>
              <w:rPr>
                <w:rFonts w:hint="eastAsia" w:ascii="Calibri" w:hAnsi="Calibri" w:eastAsia="方正书宋_GBK" w:cs="Times New Roman"/>
              </w:rPr>
              <w:t>全额事业</w:t>
            </w:r>
          </w:p>
        </w:tc>
        <w:tc>
          <w:tcPr>
            <w:tcW w:w="1276" w:type="dxa"/>
            <w:shd w:val="clear" w:color="auto" w:fill="auto"/>
            <w:vAlign w:val="center"/>
          </w:tcPr>
          <w:p w14:paraId="463B4B81">
            <w:pPr>
              <w:keepNext w:val="0"/>
              <w:keepLines w:val="0"/>
              <w:pageBreakBefore w:val="0"/>
              <w:kinsoku/>
              <w:wordWrap/>
              <w:overflowPunct/>
              <w:topLinePunct w:val="0"/>
              <w:bidi w:val="0"/>
              <w:adjustRightInd w:val="0"/>
              <w:snapToGrid w:val="0"/>
              <w:spacing w:line="500" w:lineRule="exact"/>
              <w:jc w:val="center"/>
              <w:rPr>
                <w:rFonts w:ascii="Times New Roman" w:hAnsi="Times New Roman" w:eastAsia="仿宋_GB2312" w:cs="Times New Roman"/>
              </w:rPr>
            </w:pPr>
            <w:r>
              <w:rPr>
                <w:rFonts w:hint="eastAsia" w:ascii="Calibri" w:hAnsi="Calibri" w:eastAsia="方正书宋_GBK" w:cs="Times New Roman"/>
              </w:rPr>
              <w:t>正</w:t>
            </w:r>
            <w:r>
              <w:rPr>
                <w:rFonts w:hint="eastAsia" w:ascii="Calibri" w:hAnsi="Calibri" w:eastAsia="方正书宋_GBK" w:cs="Times New Roman"/>
                <w:lang w:eastAsia="zh-CN"/>
              </w:rPr>
              <w:t>科</w:t>
            </w:r>
            <w:r>
              <w:rPr>
                <w:rFonts w:hint="eastAsia" w:ascii="Calibri" w:hAnsi="Calibri" w:eastAsia="方正书宋_GBK" w:cs="Times New Roman"/>
              </w:rPr>
              <w:t>级</w:t>
            </w:r>
          </w:p>
        </w:tc>
        <w:tc>
          <w:tcPr>
            <w:tcW w:w="2902" w:type="dxa"/>
            <w:shd w:val="clear" w:color="auto" w:fill="auto"/>
            <w:vAlign w:val="center"/>
          </w:tcPr>
          <w:p w14:paraId="57FD3016">
            <w:pPr>
              <w:keepNext w:val="0"/>
              <w:keepLines w:val="0"/>
              <w:pageBreakBefore w:val="0"/>
              <w:kinsoku/>
              <w:wordWrap/>
              <w:overflowPunct/>
              <w:topLinePunct w:val="0"/>
              <w:bidi w:val="0"/>
              <w:adjustRightInd w:val="0"/>
              <w:snapToGrid w:val="0"/>
              <w:spacing w:line="500" w:lineRule="exact"/>
              <w:jc w:val="center"/>
              <w:rPr>
                <w:rFonts w:ascii="Times New Roman" w:hAnsi="Times New Roman" w:eastAsia="仿宋_GB2312" w:cs="Times New Roman"/>
              </w:rPr>
            </w:pPr>
            <w:r>
              <w:rPr>
                <w:rFonts w:hint="eastAsia" w:ascii="Calibri" w:hAnsi="Calibri" w:eastAsia="方正书宋_GBK" w:cs="Times New Roman"/>
              </w:rPr>
              <w:t>财政性资金基本保证</w:t>
            </w:r>
          </w:p>
        </w:tc>
      </w:tr>
    </w:tbl>
    <w:p w14:paraId="4D5E1F01">
      <w:pPr>
        <w:keepNext w:val="0"/>
        <w:keepLines w:val="0"/>
        <w:pageBreakBefore w:val="0"/>
        <w:kinsoku/>
        <w:wordWrap/>
        <w:overflowPunct/>
        <w:topLinePunct w:val="0"/>
        <w:bidi w:val="0"/>
        <w:adjustRightInd w:val="0"/>
        <w:snapToGrid w:val="0"/>
        <w:spacing w:line="500"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二、部门预算安排的总体情况</w:t>
      </w:r>
    </w:p>
    <w:p w14:paraId="2CCFA825">
      <w:pPr>
        <w:keepNext w:val="0"/>
        <w:keepLines w:val="0"/>
        <w:pageBreakBefore w:val="0"/>
        <w:kinsoku/>
        <w:wordWrap/>
        <w:overflowPunct/>
        <w:topLinePunct w:val="0"/>
        <w:bidi w:val="0"/>
        <w:adjustRightInd w:val="0"/>
        <w:snapToGrid w:val="0"/>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w:t>
      </w:r>
    </w:p>
    <w:p w14:paraId="78A32F40">
      <w:pPr>
        <w:keepNext w:val="0"/>
        <w:keepLines w:val="0"/>
        <w:pageBreakBefore w:val="0"/>
        <w:kinsoku/>
        <w:wordWrap/>
        <w:overflowPunct/>
        <w:topLinePunct w:val="0"/>
        <w:bidi w:val="0"/>
        <w:adjustRightInd w:val="0"/>
        <w:snapToGrid w:val="0"/>
        <w:spacing w:line="500"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0BE048F5">
      <w:pPr>
        <w:keepNext w:val="0"/>
        <w:keepLines w:val="0"/>
        <w:pageBreakBefore w:val="0"/>
        <w:kinsoku/>
        <w:wordWrap/>
        <w:overflowPunct/>
        <w:topLinePunct w:val="0"/>
        <w:bidi w:val="0"/>
        <w:adjustRightInd w:val="0"/>
        <w:snapToGrid w:val="0"/>
        <w:spacing w:line="50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lang w:val="en-US" w:eastAsia="zh-CN"/>
        </w:rPr>
        <w:t>60</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lang w:val="en-US" w:eastAsia="zh-CN"/>
        </w:rPr>
        <w:t>60</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p>
    <w:p w14:paraId="134C0122">
      <w:pPr>
        <w:keepNext w:val="0"/>
        <w:keepLines w:val="0"/>
        <w:pageBreakBefore w:val="0"/>
        <w:kinsoku/>
        <w:wordWrap/>
        <w:overflowPunct/>
        <w:topLinePunct w:val="0"/>
        <w:bidi w:val="0"/>
        <w:adjustRightInd w:val="0"/>
        <w:snapToGrid w:val="0"/>
        <w:spacing w:line="500"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37BDB59A">
      <w:pPr>
        <w:keepNext w:val="0"/>
        <w:keepLines w:val="0"/>
        <w:pageBreakBefore w:val="0"/>
        <w:kinsoku/>
        <w:wordWrap/>
        <w:overflowPunct/>
        <w:topLinePunct w:val="0"/>
        <w:bidi w:val="0"/>
        <w:adjustRightInd w:val="0"/>
        <w:snapToGrid w:val="0"/>
        <w:spacing w:line="50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w:t>
      </w:r>
      <w:r>
        <w:rPr>
          <w:rFonts w:hint="eastAsia" w:ascii="Times New Roman" w:hAnsi="Times New Roman" w:eastAsia="仿宋_GB2312" w:cs="Times New Roman"/>
          <w:sz w:val="32"/>
          <w:szCs w:val="32"/>
        </w:rPr>
        <w:t>廊坊市</w:t>
      </w:r>
      <w:r>
        <w:rPr>
          <w:rFonts w:hint="eastAsia" w:ascii="Times New Roman" w:hAnsi="Times New Roman" w:eastAsia="仿宋_GB2312" w:cs="Times New Roman"/>
          <w:sz w:val="32"/>
          <w:szCs w:val="32"/>
          <w:lang w:eastAsia="zh-CN"/>
        </w:rPr>
        <w:t>邮政业安全中心</w:t>
      </w:r>
      <w:r>
        <w:rPr>
          <w:rFonts w:hint="eastAsia" w:ascii="Times New Roman" w:hAnsi="Times New Roman" w:eastAsia="仿宋_GB2312" w:cs="Times New Roman"/>
          <w:sz w:val="32"/>
          <w:szCs w:val="32"/>
        </w:rPr>
        <w:t>2019</w:t>
      </w:r>
      <w:r>
        <w:rPr>
          <w:rFonts w:ascii="Times New Roman" w:hAnsi="Times New Roman" w:eastAsia="仿宋_GB2312" w:cs="Times New Roman"/>
          <w:sz w:val="32"/>
          <w:szCs w:val="32"/>
        </w:rPr>
        <w:t>年度部门预算中支出预算的总体情况。201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lang w:val="en-US" w:eastAsia="zh-CN"/>
        </w:rPr>
        <w:t>60</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万元；项目支出</w:t>
      </w:r>
      <w:r>
        <w:rPr>
          <w:rFonts w:hint="eastAsia" w:ascii="Times New Roman" w:hAnsi="Times New Roman" w:eastAsia="仿宋_GB2312" w:cs="Times New Roman"/>
          <w:sz w:val="32"/>
          <w:szCs w:val="32"/>
          <w:lang w:val="en-US" w:eastAsia="zh-CN"/>
        </w:rPr>
        <w:t>60</w:t>
      </w:r>
      <w:r>
        <w:rPr>
          <w:rFonts w:ascii="Times New Roman" w:hAnsi="Times New Roman" w:eastAsia="仿宋_GB2312" w:cs="Times New Roman"/>
          <w:sz w:val="32"/>
          <w:szCs w:val="32"/>
        </w:rPr>
        <w:t>万元，包括本级支出</w:t>
      </w:r>
      <w:r>
        <w:rPr>
          <w:rFonts w:hint="eastAsia" w:ascii="Times New Roman" w:hAnsi="Times New Roman" w:eastAsia="仿宋_GB2312" w:cs="Times New Roman"/>
          <w:sz w:val="32"/>
          <w:szCs w:val="32"/>
          <w:lang w:val="en-US" w:eastAsia="zh-CN"/>
        </w:rPr>
        <w:t>60</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eastAsia="zh-CN"/>
        </w:rPr>
        <w:t>配合安全生产检查和重大专项安保</w:t>
      </w:r>
      <w:r>
        <w:rPr>
          <w:rFonts w:hint="eastAsia" w:ascii="Times New Roman" w:hAnsi="Times New Roman" w:eastAsia="仿宋_GB2312" w:cs="Times New Roman"/>
          <w:sz w:val="32"/>
          <w:szCs w:val="32"/>
        </w:rPr>
        <w:t>20万元、</w:t>
      </w:r>
      <w:r>
        <w:rPr>
          <w:rFonts w:hint="eastAsia" w:ascii="Times New Roman" w:hAnsi="Times New Roman" w:eastAsia="仿宋_GB2312" w:cs="Times New Roman"/>
          <w:sz w:val="32"/>
          <w:szCs w:val="32"/>
          <w:lang w:eastAsia="zh-CN"/>
        </w:rPr>
        <w:t>邮政行业应急管理和处置</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综合事务管理等</w:t>
      </w:r>
      <w:r>
        <w:rPr>
          <w:rFonts w:hint="eastAsia" w:ascii="Times New Roman" w:hAnsi="Times New Roman" w:eastAsia="仿宋_GB2312" w:cs="Times New Roman"/>
          <w:sz w:val="32"/>
          <w:szCs w:val="32"/>
          <w:lang w:val="en-US" w:eastAsia="zh-CN"/>
        </w:rPr>
        <w:t>35万元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p>
    <w:p w14:paraId="2E70E7E5">
      <w:pPr>
        <w:keepNext w:val="0"/>
        <w:keepLines w:val="0"/>
        <w:pageBreakBefore w:val="0"/>
        <w:kinsoku/>
        <w:wordWrap/>
        <w:overflowPunct/>
        <w:topLinePunct w:val="0"/>
        <w:bidi w:val="0"/>
        <w:adjustRightInd w:val="0"/>
        <w:snapToGrid w:val="0"/>
        <w:spacing w:line="500"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7CBD15BD">
      <w:pPr>
        <w:keepNext w:val="0"/>
        <w:keepLines w:val="0"/>
        <w:pageBreakBefore w:val="0"/>
        <w:kinsoku/>
        <w:wordWrap/>
        <w:overflowPunct/>
        <w:topLinePunct w:val="0"/>
        <w:bidi w:val="0"/>
        <w:adjustRightInd w:val="0"/>
        <w:snapToGrid w:val="0"/>
        <w:spacing w:line="50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廊坊市邮政业安全中心于</w:t>
      </w:r>
      <w:r>
        <w:rPr>
          <w:rFonts w:hint="eastAsia" w:ascii="Times New Roman" w:hAnsi="Times New Roman" w:eastAsia="仿宋_GB2312" w:cs="Times New Roman"/>
          <w:sz w:val="32"/>
          <w:szCs w:val="32"/>
          <w:lang w:val="en-US" w:eastAsia="zh-CN"/>
        </w:rPr>
        <w:t>2018年正式成立，</w:t>
      </w:r>
      <w:r>
        <w:rPr>
          <w:rFonts w:ascii="Times New Roman" w:hAnsi="Times New Roman" w:eastAsia="仿宋_GB2312" w:cs="Times New Roman"/>
          <w:sz w:val="32"/>
          <w:szCs w:val="32"/>
        </w:rPr>
        <w:t>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第一年纳入市本级预算管理，无与上年度比较的增减数据</w:t>
      </w:r>
      <w:r>
        <w:rPr>
          <w:rFonts w:ascii="Times New Roman" w:hAnsi="Times New Roman" w:eastAsia="仿宋_GB2312" w:cs="Times New Roman"/>
          <w:sz w:val="32"/>
          <w:szCs w:val="32"/>
        </w:rPr>
        <w:t>。</w:t>
      </w:r>
    </w:p>
    <w:p w14:paraId="284578EA">
      <w:pPr>
        <w:keepNext w:val="0"/>
        <w:keepLines w:val="0"/>
        <w:pageBreakBefore w:val="0"/>
        <w:kinsoku/>
        <w:wordWrap/>
        <w:overflowPunct/>
        <w:topLinePunct w:val="0"/>
        <w:autoSpaceDE w:val="0"/>
        <w:autoSpaceDN w:val="0"/>
        <w:bidi w:val="0"/>
        <w:adjustRightInd w:val="0"/>
        <w:snapToGrid w:val="0"/>
        <w:spacing w:line="500" w:lineRule="exact"/>
        <w:ind w:left="198"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三、机关运行经费安排情况</w:t>
      </w:r>
    </w:p>
    <w:p w14:paraId="46E1BAA8">
      <w:pPr>
        <w:keepNext w:val="0"/>
        <w:keepLines w:val="0"/>
        <w:pageBreakBefore w:val="0"/>
        <w:kinsoku/>
        <w:wordWrap/>
        <w:overflowPunct/>
        <w:topLinePunct w:val="0"/>
        <w:autoSpaceDE w:val="0"/>
        <w:autoSpaceDN w:val="0"/>
        <w:bidi w:val="0"/>
        <w:adjustRightInd w:val="0"/>
        <w:snapToGrid w:val="0"/>
        <w:spacing w:line="500" w:lineRule="exact"/>
        <w:ind w:left="198" w:firstLine="640" w:firstLineChars="200"/>
        <w:jc w:val="left"/>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，因为</w:t>
      </w:r>
      <w:r>
        <w:rPr>
          <w:rFonts w:ascii="Times New Roman" w:hAnsi="Times New Roman" w:eastAsia="仿宋_GB2312" w:cs="Times New Roman"/>
          <w:sz w:val="32"/>
          <w:szCs w:val="32"/>
        </w:rPr>
        <w:t>我</w:t>
      </w:r>
      <w:r>
        <w:rPr>
          <w:rFonts w:hint="eastAsia" w:ascii="Times New Roman" w:hAnsi="Times New Roman" w:eastAsia="仿宋_GB2312" w:cs="Times New Roman"/>
          <w:sz w:val="32"/>
          <w:szCs w:val="32"/>
        </w:rPr>
        <w:t>部门</w:t>
      </w:r>
      <w:r>
        <w:rPr>
          <w:rFonts w:ascii="Times New Roman" w:hAnsi="Times New Roman" w:eastAsia="仿宋_GB2312" w:cs="Times New Roman"/>
          <w:sz w:val="32"/>
          <w:szCs w:val="32"/>
        </w:rPr>
        <w:t>机关</w:t>
      </w:r>
      <w:r>
        <w:rPr>
          <w:rFonts w:hint="eastAsia" w:ascii="Times New Roman" w:hAnsi="Times New Roman" w:eastAsia="仿宋_GB2312" w:cs="Times New Roman"/>
          <w:sz w:val="32"/>
          <w:szCs w:val="32"/>
          <w:lang w:eastAsia="zh-CN"/>
        </w:rPr>
        <w:t>工作人员尚未招录到位，故未安排日常公用经费，机关运行经费从专项公用项目开办经费列支，主要用于办公设备、差旅费、会议费、培训费及其他费用安排情况</w:t>
      </w:r>
      <w:r>
        <w:rPr>
          <w:rFonts w:hint="eastAsia" w:ascii="Times New Roman" w:hAnsi="Times New Roman" w:eastAsia="仿宋_GB2312" w:cs="Times New Roman"/>
          <w:sz w:val="32"/>
          <w:szCs w:val="32"/>
        </w:rPr>
        <w:t>。</w:t>
      </w:r>
    </w:p>
    <w:p w14:paraId="247B5B90">
      <w:pPr>
        <w:keepNext w:val="0"/>
        <w:keepLines w:val="0"/>
        <w:pageBreakBefore w:val="0"/>
        <w:kinsoku/>
        <w:wordWrap/>
        <w:overflowPunct/>
        <w:topLinePunct w:val="0"/>
        <w:autoSpaceDE w:val="0"/>
        <w:autoSpaceDN w:val="0"/>
        <w:bidi w:val="0"/>
        <w:adjustRightInd w:val="0"/>
        <w:snapToGrid w:val="0"/>
        <w:spacing w:line="500" w:lineRule="exact"/>
        <w:ind w:left="198" w:firstLine="640" w:firstLineChars="200"/>
        <w:jc w:val="left"/>
        <w:rPr>
          <w:rFonts w:ascii="Times New Roman" w:hAnsi="Times New Roman" w:eastAsia="仿宋_GB2312" w:cs="Times New Roman"/>
          <w:sz w:val="32"/>
          <w:szCs w:val="32"/>
        </w:rPr>
      </w:pPr>
      <w:r>
        <w:rPr>
          <w:rFonts w:ascii="黑体" w:hAnsi="黑体" w:eastAsia="黑体" w:cs="Times New Roman"/>
          <w:sz w:val="32"/>
          <w:szCs w:val="32"/>
        </w:rPr>
        <w:t>四、财政拨款“三公”经费预算情况及增减变化原因</w:t>
      </w:r>
    </w:p>
    <w:p w14:paraId="180ECF41">
      <w:pPr>
        <w:keepNext w:val="0"/>
        <w:keepLines w:val="0"/>
        <w:pageBreakBefore w:val="0"/>
        <w:kinsoku/>
        <w:wordWrap/>
        <w:overflowPunct/>
        <w:topLinePunct w:val="0"/>
        <w:bidi w:val="0"/>
        <w:adjustRightInd w:val="0"/>
        <w:snapToGrid w:val="0"/>
        <w:spacing w:line="500" w:lineRule="exact"/>
        <w:ind w:firstLine="640" w:firstLineChars="200"/>
        <w:rPr>
          <w:rFonts w:ascii="Times New Roman" w:hAnsi="Times New Roman" w:eastAsia="仿宋_GB2312" w:cs="Times New Roman"/>
          <w:color w:val="FF0000"/>
          <w:sz w:val="32"/>
          <w:szCs w:val="32"/>
        </w:rPr>
      </w:pPr>
      <w:r>
        <w:rPr>
          <w:rFonts w:ascii="Times New Roman" w:hAnsi="Times New Roman" w:eastAsia="仿宋_GB2312" w:cs="Times New Roman"/>
          <w:sz w:val="32"/>
          <w:szCs w:val="32"/>
        </w:rPr>
        <w:t>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部门</w:t>
      </w:r>
      <w:r>
        <w:rPr>
          <w:rFonts w:ascii="Times New Roman" w:hAnsi="Times New Roman" w:eastAsia="仿宋_GB2312" w:cs="Times New Roman"/>
          <w:sz w:val="32"/>
          <w:szCs w:val="32"/>
        </w:rPr>
        <w:t>财政拨款“三公”经费预算安排6万元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因</w:t>
      </w:r>
      <w:r>
        <w:rPr>
          <w:rFonts w:hint="eastAsia" w:ascii="Times New Roman" w:hAnsi="Times New Roman" w:eastAsia="仿宋_GB2312" w:cs="Times New Roman"/>
          <w:sz w:val="32"/>
          <w:szCs w:val="32"/>
          <w:lang w:val="en-US" w:eastAsia="zh-CN"/>
        </w:rPr>
        <w:t>2018</w:t>
      </w:r>
      <w:r>
        <w:rPr>
          <w:rFonts w:hint="eastAsia" w:ascii="Times New Roman" w:hAnsi="Times New Roman" w:eastAsia="仿宋_GB2312" w:cs="Times New Roman"/>
          <w:sz w:val="32"/>
          <w:szCs w:val="32"/>
          <w:lang w:eastAsia="zh-CN"/>
        </w:rPr>
        <w:t>无预算安排，故无增减变化情况</w:t>
      </w:r>
      <w:r>
        <w:rPr>
          <w:rFonts w:hint="eastAsia" w:ascii="Times New Roman" w:hAnsi="Times New Roman" w:eastAsia="仿宋_GB2312" w:cs="Times New Roman"/>
          <w:sz w:val="32"/>
          <w:szCs w:val="32"/>
        </w:rPr>
        <w:t>。</w:t>
      </w:r>
    </w:p>
    <w:p w14:paraId="5C27B697">
      <w:pPr>
        <w:keepNext w:val="0"/>
        <w:keepLines w:val="0"/>
        <w:pageBreakBefore w:val="0"/>
        <w:kinsoku/>
        <w:wordWrap/>
        <w:overflowPunct/>
        <w:topLinePunct w:val="0"/>
        <w:bidi w:val="0"/>
        <w:adjustRightInd w:val="0"/>
        <w:snapToGrid w:val="0"/>
        <w:spacing w:line="500"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五、绩效预算信息</w:t>
      </w:r>
    </w:p>
    <w:p w14:paraId="3F65D51C">
      <w:pPr>
        <w:keepNext w:val="0"/>
        <w:keepLines w:val="0"/>
        <w:pageBreakBefore w:val="0"/>
        <w:kinsoku/>
        <w:wordWrap/>
        <w:overflowPunct/>
        <w:topLinePunct w:val="0"/>
        <w:bidi w:val="0"/>
        <w:adjustRightInd w:val="0"/>
        <w:snapToGrid w:val="0"/>
        <w:spacing w:line="500" w:lineRule="exact"/>
        <w:ind w:firstLine="560"/>
        <w:rPr>
          <w:rFonts w:ascii="Times New Roman" w:hAnsi="Times New Roman" w:eastAsia="楷体_GB2312" w:cs="Times New Roman"/>
          <w:b/>
          <w:sz w:val="32"/>
          <w:szCs w:val="24"/>
        </w:rPr>
      </w:pPr>
      <w:bookmarkStart w:id="0" w:name="_Toc471398463"/>
      <w:r>
        <w:rPr>
          <w:rFonts w:ascii="Times New Roman" w:hAnsi="Times New Roman" w:eastAsia="楷体_GB2312" w:cs="Times New Roman"/>
          <w:b/>
          <w:sz w:val="32"/>
          <w:szCs w:val="32"/>
        </w:rPr>
        <w:t>部门职责及工作活动绩效目标指标：</w:t>
      </w:r>
    </w:p>
    <w:bookmarkEnd w:id="0"/>
    <w:p w14:paraId="3760E0EE">
      <w:pPr>
        <w:keepNext w:val="0"/>
        <w:keepLines w:val="0"/>
        <w:pageBreakBefore w:val="0"/>
        <w:kinsoku/>
        <w:wordWrap/>
        <w:overflowPunct/>
        <w:topLinePunct w:val="0"/>
        <w:bidi w:val="0"/>
        <w:adjustRightInd w:val="0"/>
        <w:snapToGrid w:val="0"/>
        <w:spacing w:line="500" w:lineRule="exact"/>
        <w:jc w:val="center"/>
        <w:outlineLvl w:val="0"/>
        <w:rPr>
          <w:rFonts w:ascii="Times New Roman" w:hAnsi="Times New Roman" w:eastAsia="仿宋_GB2312" w:cs="Times New Roman"/>
          <w:b/>
          <w:sz w:val="32"/>
        </w:rPr>
      </w:pPr>
      <w:bookmarkStart w:id="1" w:name="_Toc504489147"/>
      <w:r>
        <w:rPr>
          <w:rFonts w:ascii="Times New Roman" w:hAnsi="Times New Roman" w:eastAsia="仿宋_GB2312" w:cs="Times New Roman"/>
          <w:b/>
          <w:sz w:val="32"/>
        </w:rPr>
        <w:t>部门职责-工作活动绩效目标</w:t>
      </w:r>
      <w:bookmarkEnd w:id="1"/>
    </w:p>
    <w:tbl>
      <w:tblPr>
        <w:tblStyle w:val="8"/>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5495BC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14:paraId="5186359F">
            <w:pPr>
              <w:keepNext w:val="0"/>
              <w:keepLines w:val="0"/>
              <w:pageBreakBefore w:val="0"/>
              <w:kinsoku/>
              <w:wordWrap/>
              <w:overflowPunct/>
              <w:topLinePunct w:val="0"/>
              <w:bidi w:val="0"/>
              <w:adjustRightInd w:val="0"/>
              <w:snapToGrid w:val="0"/>
              <w:spacing w:line="500" w:lineRule="exact"/>
              <w:jc w:val="left"/>
              <w:rPr>
                <w:rFonts w:hint="eastAsia" w:ascii="方正小标宋_GBK" w:eastAsia="方正小标宋_GBK"/>
                <w:sz w:val="24"/>
                <w:lang w:val="en-US" w:eastAsia="zh-CN"/>
              </w:rPr>
            </w:pPr>
            <w:r>
              <w:rPr>
                <w:rFonts w:hint="eastAsia" w:ascii="方正小标宋_GBK" w:eastAsia="方正小标宋_GBK"/>
                <w:sz w:val="24"/>
                <w:lang w:val="en-US" w:eastAsia="zh-CN"/>
              </w:rPr>
              <w:t>634廊坊市邮政业安全中心</w:t>
            </w:r>
          </w:p>
        </w:tc>
        <w:tc>
          <w:tcPr>
            <w:tcW w:w="2948" w:type="dxa"/>
            <w:gridSpan w:val="4"/>
            <w:tcBorders>
              <w:top w:val="single" w:color="FFFFFF" w:sz="6" w:space="0"/>
              <w:left w:val="single" w:color="FFFFFF" w:sz="6" w:space="0"/>
              <w:right w:val="single" w:color="FFFFFF" w:sz="6" w:space="0"/>
            </w:tcBorders>
            <w:vAlign w:val="center"/>
          </w:tcPr>
          <w:p w14:paraId="4F6FC289">
            <w:pPr>
              <w:keepNext w:val="0"/>
              <w:keepLines w:val="0"/>
              <w:pageBreakBefore w:val="0"/>
              <w:kinsoku/>
              <w:wordWrap/>
              <w:overflowPunct/>
              <w:topLinePunct w:val="0"/>
              <w:bidi w:val="0"/>
              <w:adjustRightInd w:val="0"/>
              <w:snapToGrid w:val="0"/>
              <w:spacing w:line="500" w:lineRule="exact"/>
              <w:jc w:val="right"/>
              <w:rPr>
                <w:rFonts w:ascii="方正书宋_GBK" w:eastAsia="方正书宋_GBK"/>
                <w:sz w:val="24"/>
              </w:rPr>
            </w:pPr>
            <w:r>
              <w:rPr>
                <w:rFonts w:hint="eastAsia" w:ascii="方正书宋_GBK" w:eastAsia="方正书宋_GBK"/>
                <w:sz w:val="24"/>
              </w:rPr>
              <w:t>单位：万元</w:t>
            </w:r>
          </w:p>
        </w:tc>
      </w:tr>
      <w:tr w14:paraId="351B02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vAlign w:val="center"/>
          </w:tcPr>
          <w:p w14:paraId="62857ABD">
            <w:pPr>
              <w:keepNext w:val="0"/>
              <w:keepLines w:val="0"/>
              <w:pageBreakBefore w:val="0"/>
              <w:kinsoku/>
              <w:wordWrap/>
              <w:overflowPunct/>
              <w:topLinePunct w:val="0"/>
              <w:bidi w:val="0"/>
              <w:adjustRightInd w:val="0"/>
              <w:snapToGrid w:val="0"/>
              <w:spacing w:line="500" w:lineRule="exact"/>
              <w:jc w:val="center"/>
              <w:rPr>
                <w:rFonts w:ascii="方正书宋_GBK" w:eastAsia="方正书宋_GBK"/>
                <w:b/>
              </w:rPr>
            </w:pPr>
            <w:r>
              <w:rPr>
                <w:rFonts w:hint="eastAsia" w:ascii="方正书宋_GBK" w:eastAsia="方正书宋_GBK"/>
                <w:b/>
              </w:rPr>
              <w:t>职责活动</w:t>
            </w:r>
          </w:p>
        </w:tc>
        <w:tc>
          <w:tcPr>
            <w:tcW w:w="1276" w:type="dxa"/>
            <w:vMerge w:val="restart"/>
            <w:vAlign w:val="center"/>
          </w:tcPr>
          <w:p w14:paraId="5DE24ABB">
            <w:pPr>
              <w:keepNext w:val="0"/>
              <w:keepLines w:val="0"/>
              <w:pageBreakBefore w:val="0"/>
              <w:kinsoku/>
              <w:wordWrap/>
              <w:overflowPunct/>
              <w:topLinePunct w:val="0"/>
              <w:bidi w:val="0"/>
              <w:adjustRightInd w:val="0"/>
              <w:snapToGrid w:val="0"/>
              <w:spacing w:line="500" w:lineRule="exact"/>
              <w:jc w:val="center"/>
              <w:rPr>
                <w:rFonts w:ascii="方正书宋_GBK" w:eastAsia="方正书宋_GBK"/>
                <w:b/>
              </w:rPr>
            </w:pPr>
            <w:r>
              <w:rPr>
                <w:rFonts w:hint="eastAsia" w:ascii="方正书宋_GBK" w:eastAsia="方正书宋_GBK"/>
                <w:b/>
              </w:rPr>
              <w:t>年度预算数</w:t>
            </w:r>
          </w:p>
        </w:tc>
        <w:tc>
          <w:tcPr>
            <w:tcW w:w="2976" w:type="dxa"/>
            <w:vMerge w:val="restart"/>
            <w:vAlign w:val="center"/>
          </w:tcPr>
          <w:p w14:paraId="2FAA2C9E">
            <w:pPr>
              <w:keepNext w:val="0"/>
              <w:keepLines w:val="0"/>
              <w:pageBreakBefore w:val="0"/>
              <w:kinsoku/>
              <w:wordWrap/>
              <w:overflowPunct/>
              <w:topLinePunct w:val="0"/>
              <w:bidi w:val="0"/>
              <w:adjustRightInd w:val="0"/>
              <w:snapToGrid w:val="0"/>
              <w:spacing w:line="500" w:lineRule="exact"/>
              <w:jc w:val="center"/>
              <w:rPr>
                <w:rFonts w:ascii="方正书宋_GBK" w:eastAsia="方正书宋_GBK"/>
                <w:b/>
              </w:rPr>
            </w:pPr>
            <w:r>
              <w:rPr>
                <w:rFonts w:hint="eastAsia" w:ascii="方正书宋_GBK" w:eastAsia="方正书宋_GBK"/>
                <w:b/>
              </w:rPr>
              <w:t>内容描述</w:t>
            </w:r>
          </w:p>
        </w:tc>
        <w:tc>
          <w:tcPr>
            <w:tcW w:w="2976" w:type="dxa"/>
            <w:vMerge w:val="restart"/>
            <w:vAlign w:val="center"/>
          </w:tcPr>
          <w:p w14:paraId="7BE63AC5">
            <w:pPr>
              <w:keepNext w:val="0"/>
              <w:keepLines w:val="0"/>
              <w:pageBreakBefore w:val="0"/>
              <w:kinsoku/>
              <w:wordWrap/>
              <w:overflowPunct/>
              <w:topLinePunct w:val="0"/>
              <w:bidi w:val="0"/>
              <w:adjustRightInd w:val="0"/>
              <w:snapToGrid w:val="0"/>
              <w:spacing w:line="500" w:lineRule="exact"/>
              <w:jc w:val="center"/>
              <w:rPr>
                <w:rFonts w:ascii="方正书宋_GBK" w:eastAsia="方正书宋_GBK"/>
                <w:b/>
              </w:rPr>
            </w:pPr>
            <w:r>
              <w:rPr>
                <w:rFonts w:hint="eastAsia" w:ascii="方正书宋_GBK" w:eastAsia="方正书宋_GBK"/>
                <w:b/>
              </w:rPr>
              <w:t>绩效目标</w:t>
            </w:r>
          </w:p>
        </w:tc>
        <w:tc>
          <w:tcPr>
            <w:tcW w:w="1417" w:type="dxa"/>
            <w:vMerge w:val="restart"/>
            <w:vAlign w:val="center"/>
          </w:tcPr>
          <w:p w14:paraId="52C84D0B">
            <w:pPr>
              <w:keepNext w:val="0"/>
              <w:keepLines w:val="0"/>
              <w:pageBreakBefore w:val="0"/>
              <w:kinsoku/>
              <w:wordWrap/>
              <w:overflowPunct/>
              <w:topLinePunct w:val="0"/>
              <w:bidi w:val="0"/>
              <w:adjustRightInd w:val="0"/>
              <w:snapToGrid w:val="0"/>
              <w:spacing w:line="500" w:lineRule="exact"/>
              <w:jc w:val="center"/>
              <w:rPr>
                <w:rFonts w:ascii="方正书宋_GBK" w:eastAsia="方正书宋_GBK"/>
                <w:b/>
              </w:rPr>
            </w:pPr>
            <w:r>
              <w:rPr>
                <w:rFonts w:hint="eastAsia" w:ascii="方正书宋_GBK" w:eastAsia="方正书宋_GBK"/>
                <w:b/>
              </w:rPr>
              <w:t>绩效指标</w:t>
            </w:r>
          </w:p>
        </w:tc>
        <w:tc>
          <w:tcPr>
            <w:tcW w:w="2948" w:type="dxa"/>
            <w:gridSpan w:val="4"/>
            <w:vAlign w:val="center"/>
          </w:tcPr>
          <w:p w14:paraId="03526F54">
            <w:pPr>
              <w:keepNext w:val="0"/>
              <w:keepLines w:val="0"/>
              <w:pageBreakBefore w:val="0"/>
              <w:kinsoku/>
              <w:wordWrap/>
              <w:overflowPunct/>
              <w:topLinePunct w:val="0"/>
              <w:bidi w:val="0"/>
              <w:adjustRightInd w:val="0"/>
              <w:snapToGrid w:val="0"/>
              <w:spacing w:line="500" w:lineRule="exact"/>
              <w:jc w:val="center"/>
              <w:rPr>
                <w:rFonts w:ascii="方正书宋_GBK" w:eastAsia="方正书宋_GBK"/>
                <w:b/>
              </w:rPr>
            </w:pPr>
            <w:r>
              <w:rPr>
                <w:rFonts w:hint="eastAsia" w:ascii="方正书宋_GBK" w:eastAsia="方正书宋_GBK"/>
                <w:b/>
              </w:rPr>
              <w:t>评价标准</w:t>
            </w:r>
          </w:p>
        </w:tc>
      </w:tr>
      <w:tr w14:paraId="0B5405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vAlign w:val="center"/>
          </w:tcPr>
          <w:p w14:paraId="493FC676">
            <w:pPr>
              <w:keepNext w:val="0"/>
              <w:keepLines w:val="0"/>
              <w:pageBreakBefore w:val="0"/>
              <w:kinsoku/>
              <w:wordWrap/>
              <w:overflowPunct/>
              <w:topLinePunct w:val="0"/>
              <w:bidi w:val="0"/>
              <w:adjustRightInd w:val="0"/>
              <w:snapToGrid w:val="0"/>
              <w:spacing w:line="500" w:lineRule="exact"/>
              <w:jc w:val="left"/>
              <w:outlineLvl w:val="0"/>
            </w:pPr>
          </w:p>
        </w:tc>
        <w:tc>
          <w:tcPr>
            <w:tcW w:w="1276" w:type="dxa"/>
            <w:vMerge w:val="continue"/>
            <w:vAlign w:val="center"/>
          </w:tcPr>
          <w:p w14:paraId="7FCE0BE2">
            <w:pPr>
              <w:keepNext w:val="0"/>
              <w:keepLines w:val="0"/>
              <w:pageBreakBefore w:val="0"/>
              <w:kinsoku/>
              <w:wordWrap/>
              <w:overflowPunct/>
              <w:topLinePunct w:val="0"/>
              <w:bidi w:val="0"/>
              <w:adjustRightInd w:val="0"/>
              <w:snapToGrid w:val="0"/>
              <w:spacing w:line="500" w:lineRule="exact"/>
              <w:jc w:val="left"/>
              <w:outlineLvl w:val="0"/>
            </w:pPr>
          </w:p>
        </w:tc>
        <w:tc>
          <w:tcPr>
            <w:tcW w:w="2976" w:type="dxa"/>
            <w:vMerge w:val="continue"/>
            <w:vAlign w:val="center"/>
          </w:tcPr>
          <w:p w14:paraId="13FB279F">
            <w:pPr>
              <w:keepNext w:val="0"/>
              <w:keepLines w:val="0"/>
              <w:pageBreakBefore w:val="0"/>
              <w:kinsoku/>
              <w:wordWrap/>
              <w:overflowPunct/>
              <w:topLinePunct w:val="0"/>
              <w:bidi w:val="0"/>
              <w:adjustRightInd w:val="0"/>
              <w:snapToGrid w:val="0"/>
              <w:spacing w:line="500" w:lineRule="exact"/>
              <w:jc w:val="left"/>
              <w:outlineLvl w:val="0"/>
            </w:pPr>
          </w:p>
        </w:tc>
        <w:tc>
          <w:tcPr>
            <w:tcW w:w="2976" w:type="dxa"/>
            <w:vMerge w:val="continue"/>
            <w:vAlign w:val="center"/>
          </w:tcPr>
          <w:p w14:paraId="0B7E9A01">
            <w:pPr>
              <w:keepNext w:val="0"/>
              <w:keepLines w:val="0"/>
              <w:pageBreakBefore w:val="0"/>
              <w:kinsoku/>
              <w:wordWrap/>
              <w:overflowPunct/>
              <w:topLinePunct w:val="0"/>
              <w:bidi w:val="0"/>
              <w:adjustRightInd w:val="0"/>
              <w:snapToGrid w:val="0"/>
              <w:spacing w:line="500" w:lineRule="exact"/>
              <w:jc w:val="left"/>
              <w:outlineLvl w:val="0"/>
            </w:pPr>
          </w:p>
        </w:tc>
        <w:tc>
          <w:tcPr>
            <w:tcW w:w="1417" w:type="dxa"/>
            <w:vMerge w:val="continue"/>
            <w:vAlign w:val="center"/>
          </w:tcPr>
          <w:p w14:paraId="6F1EDC02">
            <w:pPr>
              <w:keepNext w:val="0"/>
              <w:keepLines w:val="0"/>
              <w:pageBreakBefore w:val="0"/>
              <w:kinsoku/>
              <w:wordWrap/>
              <w:overflowPunct/>
              <w:topLinePunct w:val="0"/>
              <w:bidi w:val="0"/>
              <w:adjustRightInd w:val="0"/>
              <w:snapToGrid w:val="0"/>
              <w:spacing w:line="500" w:lineRule="exact"/>
              <w:jc w:val="left"/>
              <w:outlineLvl w:val="0"/>
            </w:pPr>
          </w:p>
        </w:tc>
        <w:tc>
          <w:tcPr>
            <w:tcW w:w="737" w:type="dxa"/>
            <w:vAlign w:val="center"/>
          </w:tcPr>
          <w:p w14:paraId="411374FE">
            <w:pPr>
              <w:keepNext w:val="0"/>
              <w:keepLines w:val="0"/>
              <w:pageBreakBefore w:val="0"/>
              <w:kinsoku/>
              <w:wordWrap/>
              <w:overflowPunct/>
              <w:topLinePunct w:val="0"/>
              <w:bidi w:val="0"/>
              <w:adjustRightInd w:val="0"/>
              <w:snapToGrid w:val="0"/>
              <w:spacing w:line="500" w:lineRule="exact"/>
              <w:jc w:val="center"/>
              <w:rPr>
                <w:rFonts w:ascii="方正书宋_GBK" w:eastAsia="方正书宋_GBK"/>
                <w:b/>
              </w:rPr>
            </w:pPr>
            <w:r>
              <w:rPr>
                <w:rFonts w:hint="eastAsia" w:ascii="方正书宋_GBK" w:eastAsia="方正书宋_GBK"/>
                <w:b/>
              </w:rPr>
              <w:t>优</w:t>
            </w:r>
          </w:p>
        </w:tc>
        <w:tc>
          <w:tcPr>
            <w:tcW w:w="737" w:type="dxa"/>
            <w:vAlign w:val="center"/>
          </w:tcPr>
          <w:p w14:paraId="408F0446">
            <w:pPr>
              <w:keepNext w:val="0"/>
              <w:keepLines w:val="0"/>
              <w:pageBreakBefore w:val="0"/>
              <w:kinsoku/>
              <w:wordWrap/>
              <w:overflowPunct/>
              <w:topLinePunct w:val="0"/>
              <w:bidi w:val="0"/>
              <w:adjustRightInd w:val="0"/>
              <w:snapToGrid w:val="0"/>
              <w:spacing w:line="500" w:lineRule="exact"/>
              <w:jc w:val="center"/>
              <w:rPr>
                <w:rFonts w:ascii="方正书宋_GBK" w:eastAsia="方正书宋_GBK"/>
                <w:b/>
              </w:rPr>
            </w:pPr>
            <w:r>
              <w:rPr>
                <w:rFonts w:hint="eastAsia" w:ascii="方正书宋_GBK" w:eastAsia="方正书宋_GBK"/>
                <w:b/>
              </w:rPr>
              <w:t>良</w:t>
            </w:r>
          </w:p>
        </w:tc>
        <w:tc>
          <w:tcPr>
            <w:tcW w:w="737" w:type="dxa"/>
            <w:vAlign w:val="center"/>
          </w:tcPr>
          <w:p w14:paraId="0D03BB69">
            <w:pPr>
              <w:keepNext w:val="0"/>
              <w:keepLines w:val="0"/>
              <w:pageBreakBefore w:val="0"/>
              <w:kinsoku/>
              <w:wordWrap/>
              <w:overflowPunct/>
              <w:topLinePunct w:val="0"/>
              <w:bidi w:val="0"/>
              <w:adjustRightInd w:val="0"/>
              <w:snapToGrid w:val="0"/>
              <w:spacing w:line="500" w:lineRule="exact"/>
              <w:jc w:val="center"/>
              <w:rPr>
                <w:rFonts w:ascii="方正书宋_GBK" w:eastAsia="方正书宋_GBK"/>
                <w:b/>
              </w:rPr>
            </w:pPr>
            <w:r>
              <w:rPr>
                <w:rFonts w:hint="eastAsia" w:ascii="方正书宋_GBK" w:eastAsia="方正书宋_GBK"/>
                <w:b/>
              </w:rPr>
              <w:t>中</w:t>
            </w:r>
          </w:p>
        </w:tc>
        <w:tc>
          <w:tcPr>
            <w:tcW w:w="737" w:type="dxa"/>
            <w:vAlign w:val="center"/>
          </w:tcPr>
          <w:p w14:paraId="101B9ED8">
            <w:pPr>
              <w:keepNext w:val="0"/>
              <w:keepLines w:val="0"/>
              <w:pageBreakBefore w:val="0"/>
              <w:kinsoku/>
              <w:wordWrap/>
              <w:overflowPunct/>
              <w:topLinePunct w:val="0"/>
              <w:bidi w:val="0"/>
              <w:adjustRightInd w:val="0"/>
              <w:snapToGrid w:val="0"/>
              <w:spacing w:line="500" w:lineRule="exact"/>
              <w:jc w:val="center"/>
              <w:rPr>
                <w:rFonts w:ascii="方正书宋_GBK" w:eastAsia="方正书宋_GBK"/>
                <w:b/>
              </w:rPr>
            </w:pPr>
            <w:r>
              <w:rPr>
                <w:rFonts w:hint="eastAsia" w:ascii="方正书宋_GBK" w:eastAsia="方正书宋_GBK"/>
                <w:b/>
              </w:rPr>
              <w:t>差</w:t>
            </w:r>
          </w:p>
        </w:tc>
      </w:tr>
      <w:tr w14:paraId="4F9727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ECD4C42">
            <w:pPr>
              <w:keepNext w:val="0"/>
              <w:keepLines w:val="0"/>
              <w:pageBreakBefore w:val="0"/>
              <w:kinsoku/>
              <w:wordWrap/>
              <w:overflowPunct/>
              <w:topLinePunct w:val="0"/>
              <w:bidi w:val="0"/>
              <w:adjustRightInd w:val="0"/>
              <w:snapToGrid w:val="0"/>
              <w:spacing w:line="500" w:lineRule="exact"/>
              <w:jc w:val="left"/>
              <w:rPr>
                <w:rFonts w:hint="eastAsia" w:ascii="方正书宋_GBK" w:eastAsia="方正书宋_GBK"/>
                <w:b/>
                <w:lang w:eastAsia="zh-CN"/>
              </w:rPr>
            </w:pPr>
            <w:r>
              <w:rPr>
                <w:rFonts w:hint="eastAsia" w:ascii="方正书宋_GBK" w:eastAsia="方正书宋_GBK"/>
                <w:b/>
              </w:rPr>
              <w:t>一、</w:t>
            </w:r>
            <w:r>
              <w:rPr>
                <w:rFonts w:hint="eastAsia" w:ascii="方正书宋_GBK" w:eastAsia="方正书宋_GBK"/>
                <w:b/>
                <w:lang w:eastAsia="zh-CN"/>
              </w:rPr>
              <w:t>邮政行业安全监管工作</w:t>
            </w:r>
          </w:p>
        </w:tc>
        <w:tc>
          <w:tcPr>
            <w:tcW w:w="1276" w:type="dxa"/>
            <w:vAlign w:val="center"/>
          </w:tcPr>
          <w:p w14:paraId="2D68F9EF">
            <w:pPr>
              <w:keepNext w:val="0"/>
              <w:keepLines w:val="0"/>
              <w:pageBreakBefore w:val="0"/>
              <w:kinsoku/>
              <w:wordWrap/>
              <w:overflowPunct/>
              <w:topLinePunct w:val="0"/>
              <w:bidi w:val="0"/>
              <w:adjustRightInd w:val="0"/>
              <w:snapToGrid w:val="0"/>
              <w:spacing w:line="500" w:lineRule="exact"/>
              <w:jc w:val="left"/>
              <w:rPr>
                <w:rFonts w:hint="eastAsia" w:ascii="方正书宋_GBK" w:eastAsia="方正书宋_GBK"/>
                <w:lang w:val="en-US" w:eastAsia="zh-CN"/>
              </w:rPr>
            </w:pPr>
            <w:r>
              <w:rPr>
                <w:rFonts w:hint="eastAsia" w:ascii="方正书宋_GBK" w:eastAsia="方正书宋_GBK"/>
                <w:lang w:val="en-US" w:eastAsia="zh-CN"/>
              </w:rPr>
              <w:t>60</w:t>
            </w:r>
          </w:p>
        </w:tc>
        <w:tc>
          <w:tcPr>
            <w:tcW w:w="2976" w:type="dxa"/>
            <w:vAlign w:val="center"/>
          </w:tcPr>
          <w:p w14:paraId="3DE0CAA3">
            <w:pPr>
              <w:keepNext w:val="0"/>
              <w:keepLines w:val="0"/>
              <w:pageBreakBefore w:val="0"/>
              <w:kinsoku/>
              <w:wordWrap/>
              <w:overflowPunct/>
              <w:topLinePunct w:val="0"/>
              <w:bidi w:val="0"/>
              <w:adjustRightInd w:val="0"/>
              <w:snapToGrid w:val="0"/>
              <w:spacing w:line="500" w:lineRule="exact"/>
              <w:jc w:val="left"/>
              <w:rPr>
                <w:rFonts w:ascii="方正书宋_GBK" w:eastAsia="方正书宋_GBK"/>
              </w:rPr>
            </w:pPr>
            <w:r>
              <w:rPr>
                <w:rFonts w:hint="eastAsia" w:ascii="方正书宋_GBK" w:eastAsia="方正书宋_GBK"/>
              </w:rPr>
              <w:t>推进全市邮政业安全监管信息系统建设，做好系统的日常管理和维护及推广应用工作；加强邮政业日常运行的安全监测、预警，对安全信息进行收集、分析和研判；推进邮政业安全和应急管理体系的建设；配合处置邮政业重大突发事件；配合做好重点地区、重点部位寄递和通信安全的特殊保障工作；配合做好安全生产监督检查等；开展行业安全监管和应急管理相关研究；负责安全中心综合事务管理；配合开展行业安全宣传教育等。</w:t>
            </w:r>
          </w:p>
        </w:tc>
        <w:tc>
          <w:tcPr>
            <w:tcW w:w="2976" w:type="dxa"/>
            <w:vAlign w:val="center"/>
          </w:tcPr>
          <w:p w14:paraId="73EC52CF">
            <w:pPr>
              <w:keepNext w:val="0"/>
              <w:keepLines w:val="0"/>
              <w:pageBreakBefore w:val="0"/>
              <w:kinsoku/>
              <w:wordWrap/>
              <w:overflowPunct/>
              <w:topLinePunct w:val="0"/>
              <w:bidi w:val="0"/>
              <w:adjustRightInd w:val="0"/>
              <w:snapToGrid w:val="0"/>
              <w:spacing w:line="500" w:lineRule="exact"/>
              <w:jc w:val="left"/>
              <w:rPr>
                <w:rFonts w:ascii="方正书宋_GBK" w:eastAsia="方正书宋_GBK"/>
              </w:rPr>
            </w:pPr>
            <w:r>
              <w:rPr>
                <w:rFonts w:hint="eastAsia" w:ascii="方正书宋_GBK" w:eastAsia="方正书宋_GBK"/>
              </w:rPr>
              <w:t>提高行业安全监管工作信息化水平，为邮政管理、公安、国家安全等部门履职提供技术支撑；及时搜集报送各类行业安全信息，保障快递旺季服务规范正常，完善行业突发事件应急预案，配合组织突发事件应急演练，配合做好重大突发事件处置，配合安全生产检查和重要时期寄递安保，提升行业安全生产能力水平；中心基本业务工作正常运行。</w:t>
            </w:r>
          </w:p>
        </w:tc>
        <w:tc>
          <w:tcPr>
            <w:tcW w:w="1417" w:type="dxa"/>
            <w:vAlign w:val="center"/>
          </w:tcPr>
          <w:p w14:paraId="54B80B20">
            <w:pPr>
              <w:keepNext w:val="0"/>
              <w:keepLines w:val="0"/>
              <w:pageBreakBefore w:val="0"/>
              <w:kinsoku/>
              <w:wordWrap/>
              <w:overflowPunct/>
              <w:topLinePunct w:val="0"/>
              <w:bidi w:val="0"/>
              <w:adjustRightInd w:val="0"/>
              <w:snapToGrid w:val="0"/>
              <w:spacing w:line="500" w:lineRule="exact"/>
              <w:jc w:val="left"/>
              <w:rPr>
                <w:rFonts w:ascii="方正书宋_GBK" w:eastAsia="方正书宋_GBK"/>
              </w:rPr>
            </w:pPr>
          </w:p>
        </w:tc>
        <w:tc>
          <w:tcPr>
            <w:tcW w:w="737" w:type="dxa"/>
            <w:vAlign w:val="center"/>
          </w:tcPr>
          <w:p w14:paraId="77D1946E">
            <w:pPr>
              <w:keepNext w:val="0"/>
              <w:keepLines w:val="0"/>
              <w:pageBreakBefore w:val="0"/>
              <w:kinsoku/>
              <w:wordWrap/>
              <w:overflowPunct/>
              <w:topLinePunct w:val="0"/>
              <w:bidi w:val="0"/>
              <w:adjustRightInd w:val="0"/>
              <w:snapToGrid w:val="0"/>
              <w:spacing w:line="500" w:lineRule="exact"/>
              <w:jc w:val="center"/>
              <w:rPr>
                <w:rFonts w:ascii="方正书宋_GBK" w:eastAsia="方正书宋_GBK"/>
              </w:rPr>
            </w:pPr>
          </w:p>
        </w:tc>
        <w:tc>
          <w:tcPr>
            <w:tcW w:w="737" w:type="dxa"/>
            <w:vAlign w:val="center"/>
          </w:tcPr>
          <w:p w14:paraId="30C919A2">
            <w:pPr>
              <w:keepNext w:val="0"/>
              <w:keepLines w:val="0"/>
              <w:pageBreakBefore w:val="0"/>
              <w:kinsoku/>
              <w:wordWrap/>
              <w:overflowPunct/>
              <w:topLinePunct w:val="0"/>
              <w:bidi w:val="0"/>
              <w:adjustRightInd w:val="0"/>
              <w:snapToGrid w:val="0"/>
              <w:spacing w:line="500" w:lineRule="exact"/>
              <w:jc w:val="center"/>
              <w:rPr>
                <w:rFonts w:ascii="方正书宋_GBK" w:eastAsia="方正书宋_GBK"/>
              </w:rPr>
            </w:pPr>
          </w:p>
        </w:tc>
        <w:tc>
          <w:tcPr>
            <w:tcW w:w="737" w:type="dxa"/>
            <w:vAlign w:val="center"/>
          </w:tcPr>
          <w:p w14:paraId="48DC988B">
            <w:pPr>
              <w:keepNext w:val="0"/>
              <w:keepLines w:val="0"/>
              <w:pageBreakBefore w:val="0"/>
              <w:kinsoku/>
              <w:wordWrap/>
              <w:overflowPunct/>
              <w:topLinePunct w:val="0"/>
              <w:bidi w:val="0"/>
              <w:adjustRightInd w:val="0"/>
              <w:snapToGrid w:val="0"/>
              <w:spacing w:line="500" w:lineRule="exact"/>
              <w:jc w:val="center"/>
              <w:rPr>
                <w:rFonts w:ascii="方正书宋_GBK" w:eastAsia="方正书宋_GBK"/>
              </w:rPr>
            </w:pPr>
          </w:p>
        </w:tc>
        <w:tc>
          <w:tcPr>
            <w:tcW w:w="737" w:type="dxa"/>
            <w:vAlign w:val="center"/>
          </w:tcPr>
          <w:p w14:paraId="2D5F7E32">
            <w:pPr>
              <w:keepNext w:val="0"/>
              <w:keepLines w:val="0"/>
              <w:pageBreakBefore w:val="0"/>
              <w:kinsoku/>
              <w:wordWrap/>
              <w:overflowPunct/>
              <w:topLinePunct w:val="0"/>
              <w:bidi w:val="0"/>
              <w:adjustRightInd w:val="0"/>
              <w:snapToGrid w:val="0"/>
              <w:spacing w:line="500" w:lineRule="exact"/>
              <w:jc w:val="center"/>
              <w:rPr>
                <w:rFonts w:ascii="方正书宋_GBK" w:eastAsia="方正书宋_GBK"/>
              </w:rPr>
            </w:pPr>
          </w:p>
        </w:tc>
      </w:tr>
      <w:tr w14:paraId="116711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188A5FE7">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ascii="方正书宋_GBK" w:eastAsia="方正书宋_GBK"/>
                <w:b/>
              </w:rPr>
            </w:pPr>
            <w:r>
              <w:rPr>
                <w:rFonts w:hint="eastAsia" w:ascii="方正书宋_GBK" w:eastAsia="方正书宋_GBK"/>
                <w:lang w:val="en-US" w:eastAsia="zh-CN"/>
              </w:rPr>
              <w:t>1、安全监管信息系统建设、管理和维护</w:t>
            </w:r>
          </w:p>
        </w:tc>
        <w:tc>
          <w:tcPr>
            <w:tcW w:w="1276" w:type="dxa"/>
            <w:vMerge w:val="restart"/>
            <w:vAlign w:val="center"/>
          </w:tcPr>
          <w:p w14:paraId="723F5762">
            <w:pPr>
              <w:keepNext w:val="0"/>
              <w:keepLines w:val="0"/>
              <w:pageBreakBefore w:val="0"/>
              <w:kinsoku/>
              <w:wordWrap/>
              <w:overflowPunct/>
              <w:topLinePunct w:val="0"/>
              <w:bidi w:val="0"/>
              <w:adjustRightInd w:val="0"/>
              <w:snapToGrid w:val="0"/>
              <w:spacing w:line="500" w:lineRule="exact"/>
              <w:jc w:val="center"/>
              <w:rPr>
                <w:rFonts w:ascii="方正书宋_GBK" w:eastAsia="方正书宋_GBK"/>
              </w:rPr>
            </w:pPr>
          </w:p>
        </w:tc>
        <w:tc>
          <w:tcPr>
            <w:tcW w:w="2976" w:type="dxa"/>
            <w:vMerge w:val="restart"/>
            <w:vAlign w:val="center"/>
          </w:tcPr>
          <w:p w14:paraId="553FDFBC">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ascii="方正书宋_GBK" w:eastAsia="方正书宋_GBK"/>
              </w:rPr>
            </w:pPr>
            <w:r>
              <w:rPr>
                <w:rFonts w:hint="eastAsia" w:ascii="方正书宋_GBK" w:eastAsia="方正书宋_GBK"/>
                <w:lang w:val="en-US" w:eastAsia="zh-CN"/>
              </w:rPr>
              <w:t>抓好实名收寄信息系统、安监系统、视频监管系统的日常应用；在主要邮件、快件处理场所安装视频监控和对讲设备并实现联网对接；建立安全监管信息系统工作制度。</w:t>
            </w:r>
          </w:p>
        </w:tc>
        <w:tc>
          <w:tcPr>
            <w:tcW w:w="2976" w:type="dxa"/>
            <w:vMerge w:val="restart"/>
            <w:vAlign w:val="center"/>
          </w:tcPr>
          <w:p w14:paraId="224FB427">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ascii="方正书宋_GBK" w:eastAsia="方正书宋_GBK"/>
              </w:rPr>
            </w:pPr>
            <w:r>
              <w:rPr>
                <w:rFonts w:hint="eastAsia" w:ascii="方正书宋_GBK" w:eastAsia="方正书宋_GBK"/>
                <w:lang w:val="en-US" w:eastAsia="zh-CN"/>
              </w:rPr>
              <w:t>行业安全监管信息化水平有效提高，支撑能力增强。</w:t>
            </w:r>
          </w:p>
        </w:tc>
        <w:tc>
          <w:tcPr>
            <w:tcW w:w="1417" w:type="dxa"/>
            <w:vAlign w:val="center"/>
          </w:tcPr>
          <w:p w14:paraId="104F7519">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ascii="方正书宋_GBK" w:eastAsia="方正书宋_GBK"/>
              </w:rPr>
            </w:pPr>
            <w:r>
              <w:rPr>
                <w:rFonts w:hint="eastAsia" w:ascii="方正书宋_GBK" w:eastAsia="方正书宋_GBK"/>
                <w:lang w:val="en-US" w:eastAsia="zh-CN"/>
              </w:rPr>
              <w:t>系统功能运转正常率。</w:t>
            </w:r>
          </w:p>
        </w:tc>
        <w:tc>
          <w:tcPr>
            <w:tcW w:w="737" w:type="dxa"/>
            <w:vAlign w:val="center"/>
          </w:tcPr>
          <w:p w14:paraId="17EE0B38">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≥90%</w:t>
            </w:r>
          </w:p>
        </w:tc>
        <w:tc>
          <w:tcPr>
            <w:tcW w:w="737" w:type="dxa"/>
            <w:vAlign w:val="center"/>
          </w:tcPr>
          <w:p w14:paraId="2E5293F8">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≥80%</w:t>
            </w:r>
          </w:p>
        </w:tc>
        <w:tc>
          <w:tcPr>
            <w:tcW w:w="737" w:type="dxa"/>
            <w:vAlign w:val="center"/>
          </w:tcPr>
          <w:p w14:paraId="4C41BBAA">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≥70%</w:t>
            </w:r>
          </w:p>
        </w:tc>
        <w:tc>
          <w:tcPr>
            <w:tcW w:w="737" w:type="dxa"/>
            <w:vAlign w:val="center"/>
          </w:tcPr>
          <w:p w14:paraId="126D2756">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&lt;70%</w:t>
            </w:r>
          </w:p>
        </w:tc>
      </w:tr>
      <w:tr w14:paraId="3CA85D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15B7D1A7">
            <w:pPr>
              <w:keepNext w:val="0"/>
              <w:keepLines w:val="0"/>
              <w:pageBreakBefore w:val="0"/>
              <w:kinsoku/>
              <w:wordWrap/>
              <w:overflowPunct/>
              <w:topLinePunct w:val="0"/>
              <w:bidi w:val="0"/>
              <w:adjustRightInd w:val="0"/>
              <w:snapToGrid w:val="0"/>
              <w:spacing w:line="500" w:lineRule="exact"/>
              <w:rPr>
                <w:rFonts w:ascii="方正书宋_GBK" w:eastAsia="方正书宋_GBK"/>
                <w:b/>
              </w:rPr>
            </w:pPr>
          </w:p>
        </w:tc>
        <w:tc>
          <w:tcPr>
            <w:tcW w:w="1276" w:type="dxa"/>
            <w:vMerge w:val="continue"/>
            <w:vAlign w:val="bottom"/>
          </w:tcPr>
          <w:p w14:paraId="6003C024">
            <w:pPr>
              <w:keepNext w:val="0"/>
              <w:keepLines w:val="0"/>
              <w:pageBreakBefore w:val="0"/>
              <w:kinsoku/>
              <w:wordWrap/>
              <w:overflowPunct/>
              <w:topLinePunct w:val="0"/>
              <w:bidi w:val="0"/>
              <w:adjustRightInd w:val="0"/>
              <w:snapToGrid w:val="0"/>
              <w:spacing w:line="500" w:lineRule="exact"/>
              <w:rPr>
                <w:rFonts w:ascii="方正书宋_GBK" w:eastAsia="方正书宋_GBK"/>
              </w:rPr>
            </w:pPr>
          </w:p>
        </w:tc>
        <w:tc>
          <w:tcPr>
            <w:tcW w:w="2976" w:type="dxa"/>
            <w:vMerge w:val="continue"/>
            <w:vAlign w:val="center"/>
          </w:tcPr>
          <w:p w14:paraId="702E906C">
            <w:pPr>
              <w:keepNext w:val="0"/>
              <w:keepLines w:val="0"/>
              <w:pageBreakBefore w:val="0"/>
              <w:kinsoku/>
              <w:wordWrap/>
              <w:overflowPunct/>
              <w:topLinePunct w:val="0"/>
              <w:bidi w:val="0"/>
              <w:adjustRightInd w:val="0"/>
              <w:snapToGrid w:val="0"/>
              <w:spacing w:line="500" w:lineRule="exact"/>
              <w:rPr>
                <w:rFonts w:ascii="方正书宋_GBK" w:eastAsia="方正书宋_GBK"/>
              </w:rPr>
            </w:pPr>
          </w:p>
        </w:tc>
        <w:tc>
          <w:tcPr>
            <w:tcW w:w="2976" w:type="dxa"/>
            <w:vMerge w:val="continue"/>
            <w:vAlign w:val="center"/>
          </w:tcPr>
          <w:p w14:paraId="60C40230">
            <w:pPr>
              <w:keepNext w:val="0"/>
              <w:keepLines w:val="0"/>
              <w:pageBreakBefore w:val="0"/>
              <w:kinsoku/>
              <w:wordWrap/>
              <w:overflowPunct/>
              <w:topLinePunct w:val="0"/>
              <w:bidi w:val="0"/>
              <w:adjustRightInd w:val="0"/>
              <w:snapToGrid w:val="0"/>
              <w:spacing w:line="500" w:lineRule="exact"/>
              <w:rPr>
                <w:rFonts w:ascii="方正书宋_GBK" w:eastAsia="方正书宋_GBK"/>
              </w:rPr>
            </w:pPr>
          </w:p>
        </w:tc>
        <w:tc>
          <w:tcPr>
            <w:tcW w:w="1417" w:type="dxa"/>
            <w:vAlign w:val="center"/>
          </w:tcPr>
          <w:p w14:paraId="71B2B4CA">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ascii="方正书宋_GBK" w:eastAsia="方正书宋_GBK"/>
              </w:rPr>
            </w:pPr>
            <w:r>
              <w:rPr>
                <w:rFonts w:hint="eastAsia" w:ascii="方正书宋_GBK" w:eastAsia="方正书宋_GBK"/>
                <w:lang w:val="en-US" w:eastAsia="zh-CN"/>
              </w:rPr>
              <w:t>全市安全监控中心建设完成情况。</w:t>
            </w:r>
          </w:p>
        </w:tc>
        <w:tc>
          <w:tcPr>
            <w:tcW w:w="737" w:type="dxa"/>
            <w:vAlign w:val="center"/>
          </w:tcPr>
          <w:p w14:paraId="232E5FA2">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按进度推进</w:t>
            </w:r>
          </w:p>
        </w:tc>
        <w:tc>
          <w:tcPr>
            <w:tcW w:w="737" w:type="dxa"/>
            <w:vAlign w:val="center"/>
          </w:tcPr>
          <w:p w14:paraId="5F64D1C7">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p>
        </w:tc>
        <w:tc>
          <w:tcPr>
            <w:tcW w:w="737" w:type="dxa"/>
            <w:vAlign w:val="center"/>
          </w:tcPr>
          <w:p w14:paraId="1FA29469">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p>
        </w:tc>
        <w:tc>
          <w:tcPr>
            <w:tcW w:w="737" w:type="dxa"/>
            <w:vAlign w:val="center"/>
          </w:tcPr>
          <w:p w14:paraId="5B1675DB">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未按进度推进</w:t>
            </w:r>
          </w:p>
        </w:tc>
      </w:tr>
      <w:tr w14:paraId="10A9C9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496471D3">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2、邮政行业运行安全监测</w:t>
            </w:r>
          </w:p>
        </w:tc>
        <w:tc>
          <w:tcPr>
            <w:tcW w:w="1276" w:type="dxa"/>
            <w:vMerge w:val="restart"/>
            <w:vAlign w:val="bottom"/>
          </w:tcPr>
          <w:p w14:paraId="56CF2B7F">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p>
        </w:tc>
        <w:tc>
          <w:tcPr>
            <w:tcW w:w="2976" w:type="dxa"/>
            <w:vMerge w:val="restart"/>
            <w:vAlign w:val="center"/>
          </w:tcPr>
          <w:p w14:paraId="481156E3">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制定完善行业安全检测工作制度，通过互联网、安全监管信息系统等渠道广泛搜集行业安全信息并进行分析、研判，按程序启动预警，保障“双11”等快递旺季正常运行。</w:t>
            </w:r>
          </w:p>
        </w:tc>
        <w:tc>
          <w:tcPr>
            <w:tcW w:w="2976" w:type="dxa"/>
            <w:vMerge w:val="restart"/>
            <w:vAlign w:val="center"/>
          </w:tcPr>
          <w:p w14:paraId="765CDBE8">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为邮政管理等部门加强行业安全监管和应对突发时间及做好旺季保障提供可靠支撑</w:t>
            </w:r>
          </w:p>
        </w:tc>
        <w:tc>
          <w:tcPr>
            <w:tcW w:w="1417" w:type="dxa"/>
            <w:vAlign w:val="center"/>
          </w:tcPr>
          <w:p w14:paraId="09B4B3A4">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旺季行业运行监测分析率。</w:t>
            </w:r>
          </w:p>
        </w:tc>
        <w:tc>
          <w:tcPr>
            <w:tcW w:w="737" w:type="dxa"/>
            <w:vAlign w:val="center"/>
          </w:tcPr>
          <w:p w14:paraId="2B2EC4D9">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≥95%</w:t>
            </w:r>
          </w:p>
        </w:tc>
        <w:tc>
          <w:tcPr>
            <w:tcW w:w="737" w:type="dxa"/>
            <w:vAlign w:val="center"/>
          </w:tcPr>
          <w:p w14:paraId="407E28A9">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≥85%</w:t>
            </w:r>
          </w:p>
        </w:tc>
        <w:tc>
          <w:tcPr>
            <w:tcW w:w="737" w:type="dxa"/>
            <w:vAlign w:val="center"/>
          </w:tcPr>
          <w:p w14:paraId="472CF2D0">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≥80%</w:t>
            </w:r>
          </w:p>
        </w:tc>
        <w:tc>
          <w:tcPr>
            <w:tcW w:w="737" w:type="dxa"/>
            <w:vAlign w:val="center"/>
          </w:tcPr>
          <w:p w14:paraId="5EF8B496">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&lt;80%</w:t>
            </w:r>
          </w:p>
        </w:tc>
      </w:tr>
      <w:tr w14:paraId="4DE7CC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7D626108">
            <w:pPr>
              <w:keepNext w:val="0"/>
              <w:keepLines w:val="0"/>
              <w:pageBreakBefore w:val="0"/>
              <w:kinsoku/>
              <w:wordWrap/>
              <w:overflowPunct/>
              <w:topLinePunct w:val="0"/>
              <w:bidi w:val="0"/>
              <w:adjustRightInd w:val="0"/>
              <w:snapToGrid w:val="0"/>
              <w:spacing w:line="500" w:lineRule="exact"/>
              <w:rPr>
                <w:rFonts w:ascii="方正书宋_GBK" w:eastAsia="方正书宋_GBK"/>
                <w:b/>
              </w:rPr>
            </w:pPr>
          </w:p>
        </w:tc>
        <w:tc>
          <w:tcPr>
            <w:tcW w:w="1276" w:type="dxa"/>
            <w:vMerge w:val="continue"/>
            <w:vAlign w:val="bottom"/>
          </w:tcPr>
          <w:p w14:paraId="6C2F6657">
            <w:pPr>
              <w:keepNext w:val="0"/>
              <w:keepLines w:val="0"/>
              <w:pageBreakBefore w:val="0"/>
              <w:kinsoku/>
              <w:wordWrap/>
              <w:overflowPunct/>
              <w:topLinePunct w:val="0"/>
              <w:bidi w:val="0"/>
              <w:adjustRightInd w:val="0"/>
              <w:snapToGrid w:val="0"/>
              <w:spacing w:line="500" w:lineRule="exact"/>
              <w:rPr>
                <w:rFonts w:ascii="方正书宋_GBK" w:eastAsia="方正书宋_GBK"/>
              </w:rPr>
            </w:pPr>
          </w:p>
        </w:tc>
        <w:tc>
          <w:tcPr>
            <w:tcW w:w="2976" w:type="dxa"/>
            <w:vMerge w:val="continue"/>
            <w:vAlign w:val="center"/>
          </w:tcPr>
          <w:p w14:paraId="3BE1A27A">
            <w:pPr>
              <w:keepNext w:val="0"/>
              <w:keepLines w:val="0"/>
              <w:pageBreakBefore w:val="0"/>
              <w:kinsoku/>
              <w:wordWrap/>
              <w:overflowPunct/>
              <w:topLinePunct w:val="0"/>
              <w:bidi w:val="0"/>
              <w:adjustRightInd w:val="0"/>
              <w:snapToGrid w:val="0"/>
              <w:spacing w:line="500" w:lineRule="exact"/>
              <w:rPr>
                <w:rFonts w:ascii="方正书宋_GBK" w:eastAsia="方正书宋_GBK"/>
              </w:rPr>
            </w:pPr>
          </w:p>
        </w:tc>
        <w:tc>
          <w:tcPr>
            <w:tcW w:w="2976" w:type="dxa"/>
            <w:vMerge w:val="continue"/>
            <w:vAlign w:val="center"/>
          </w:tcPr>
          <w:p w14:paraId="2802942C">
            <w:pPr>
              <w:keepNext w:val="0"/>
              <w:keepLines w:val="0"/>
              <w:pageBreakBefore w:val="0"/>
              <w:kinsoku/>
              <w:wordWrap/>
              <w:overflowPunct/>
              <w:topLinePunct w:val="0"/>
              <w:bidi w:val="0"/>
              <w:adjustRightInd w:val="0"/>
              <w:snapToGrid w:val="0"/>
              <w:spacing w:line="500" w:lineRule="exact"/>
              <w:rPr>
                <w:rFonts w:ascii="方正书宋_GBK" w:eastAsia="方正书宋_GBK"/>
              </w:rPr>
            </w:pPr>
          </w:p>
        </w:tc>
        <w:tc>
          <w:tcPr>
            <w:tcW w:w="1417" w:type="dxa"/>
            <w:vAlign w:val="center"/>
          </w:tcPr>
          <w:p w14:paraId="1B50AB91">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行业安全信息分析研判率。</w:t>
            </w:r>
          </w:p>
        </w:tc>
        <w:tc>
          <w:tcPr>
            <w:tcW w:w="737" w:type="dxa"/>
            <w:vAlign w:val="center"/>
          </w:tcPr>
          <w:p w14:paraId="5B4B93D1">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≥90%</w:t>
            </w:r>
          </w:p>
        </w:tc>
        <w:tc>
          <w:tcPr>
            <w:tcW w:w="737" w:type="dxa"/>
            <w:vAlign w:val="center"/>
          </w:tcPr>
          <w:p w14:paraId="5A3A13F6">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≥80%</w:t>
            </w:r>
          </w:p>
        </w:tc>
        <w:tc>
          <w:tcPr>
            <w:tcW w:w="737" w:type="dxa"/>
            <w:vAlign w:val="center"/>
          </w:tcPr>
          <w:p w14:paraId="291667C7">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≥70%</w:t>
            </w:r>
          </w:p>
        </w:tc>
        <w:tc>
          <w:tcPr>
            <w:tcW w:w="737" w:type="dxa"/>
            <w:vAlign w:val="center"/>
          </w:tcPr>
          <w:p w14:paraId="4F0F7276">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&lt;70%</w:t>
            </w:r>
          </w:p>
        </w:tc>
      </w:tr>
      <w:tr w14:paraId="1B57BA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51A85523">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3、配合安全生产检查和重大专项安保</w:t>
            </w:r>
          </w:p>
        </w:tc>
        <w:tc>
          <w:tcPr>
            <w:tcW w:w="1276" w:type="dxa"/>
            <w:vMerge w:val="restart"/>
            <w:vAlign w:val="center"/>
          </w:tcPr>
          <w:p w14:paraId="22343ABF">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20</w:t>
            </w:r>
          </w:p>
        </w:tc>
        <w:tc>
          <w:tcPr>
            <w:tcW w:w="2976" w:type="dxa"/>
            <w:vMerge w:val="restart"/>
            <w:vAlign w:val="center"/>
          </w:tcPr>
          <w:p w14:paraId="51942DDC">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配合邮政管理、公安、国家安全等部门开展安全生产监督检查和全国全省两会</w:t>
            </w:r>
            <w:bookmarkStart w:id="4" w:name="_GoBack"/>
            <w:bookmarkEnd w:id="4"/>
            <w:r>
              <w:rPr>
                <w:rFonts w:hint="eastAsia" w:ascii="方正书宋_GBK" w:eastAsia="方正书宋_GBK"/>
                <w:lang w:val="en-US" w:eastAsia="zh-CN"/>
              </w:rPr>
              <w:t>及“518”经洽会重大安保工作。</w:t>
            </w:r>
          </w:p>
        </w:tc>
        <w:tc>
          <w:tcPr>
            <w:tcW w:w="2976" w:type="dxa"/>
            <w:vMerge w:val="restart"/>
            <w:vAlign w:val="center"/>
          </w:tcPr>
          <w:p w14:paraId="4959D661">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提升行业安全生产监督检查效果，确保圆满完成重大专项安保任务。</w:t>
            </w:r>
          </w:p>
        </w:tc>
        <w:tc>
          <w:tcPr>
            <w:tcW w:w="1417" w:type="dxa"/>
            <w:vAlign w:val="center"/>
          </w:tcPr>
          <w:p w14:paraId="0D4E4BD2">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改进行业安全工作建议的可行率。</w:t>
            </w:r>
          </w:p>
        </w:tc>
        <w:tc>
          <w:tcPr>
            <w:tcW w:w="737" w:type="dxa"/>
            <w:vAlign w:val="center"/>
          </w:tcPr>
          <w:p w14:paraId="3FAABA74">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≥90%</w:t>
            </w:r>
          </w:p>
        </w:tc>
        <w:tc>
          <w:tcPr>
            <w:tcW w:w="737" w:type="dxa"/>
            <w:vAlign w:val="center"/>
          </w:tcPr>
          <w:p w14:paraId="28C2DD86">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≥80%</w:t>
            </w:r>
          </w:p>
        </w:tc>
        <w:tc>
          <w:tcPr>
            <w:tcW w:w="737" w:type="dxa"/>
            <w:vAlign w:val="center"/>
          </w:tcPr>
          <w:p w14:paraId="2645F4E1">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≥70%</w:t>
            </w:r>
          </w:p>
        </w:tc>
        <w:tc>
          <w:tcPr>
            <w:tcW w:w="737" w:type="dxa"/>
            <w:vAlign w:val="center"/>
          </w:tcPr>
          <w:p w14:paraId="02D7AE3B">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&lt;70%</w:t>
            </w:r>
          </w:p>
        </w:tc>
      </w:tr>
      <w:tr w14:paraId="0F3C5F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4DB86D19">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p>
        </w:tc>
        <w:tc>
          <w:tcPr>
            <w:tcW w:w="1276" w:type="dxa"/>
            <w:vMerge w:val="continue"/>
            <w:vAlign w:val="center"/>
          </w:tcPr>
          <w:p w14:paraId="547266F6">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p>
        </w:tc>
        <w:tc>
          <w:tcPr>
            <w:tcW w:w="2976" w:type="dxa"/>
            <w:vMerge w:val="continue"/>
            <w:vAlign w:val="center"/>
          </w:tcPr>
          <w:p w14:paraId="3464E707">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p>
        </w:tc>
        <w:tc>
          <w:tcPr>
            <w:tcW w:w="2976" w:type="dxa"/>
            <w:vMerge w:val="continue"/>
            <w:vAlign w:val="center"/>
          </w:tcPr>
          <w:p w14:paraId="703EC6F2">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p>
        </w:tc>
        <w:tc>
          <w:tcPr>
            <w:tcW w:w="1417" w:type="dxa"/>
            <w:vAlign w:val="center"/>
          </w:tcPr>
          <w:p w14:paraId="428A6645">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配合寄递渠道重大活动专项安保工作完成情况。</w:t>
            </w:r>
          </w:p>
        </w:tc>
        <w:tc>
          <w:tcPr>
            <w:tcW w:w="737" w:type="dxa"/>
            <w:vAlign w:val="center"/>
          </w:tcPr>
          <w:p w14:paraId="05A46037">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按要求完成</w:t>
            </w:r>
          </w:p>
        </w:tc>
        <w:tc>
          <w:tcPr>
            <w:tcW w:w="737" w:type="dxa"/>
            <w:vAlign w:val="center"/>
          </w:tcPr>
          <w:p w14:paraId="5DE5F560">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基本按要求完成</w:t>
            </w:r>
          </w:p>
        </w:tc>
        <w:tc>
          <w:tcPr>
            <w:tcW w:w="737" w:type="dxa"/>
            <w:vAlign w:val="center"/>
          </w:tcPr>
          <w:p w14:paraId="1350B4FD">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w:t>
            </w:r>
          </w:p>
        </w:tc>
        <w:tc>
          <w:tcPr>
            <w:tcW w:w="737" w:type="dxa"/>
            <w:vAlign w:val="center"/>
          </w:tcPr>
          <w:p w14:paraId="41A73489">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未按要求完成</w:t>
            </w:r>
          </w:p>
        </w:tc>
      </w:tr>
      <w:tr w14:paraId="62ADCF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0913D28E">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p>
        </w:tc>
        <w:tc>
          <w:tcPr>
            <w:tcW w:w="1276" w:type="dxa"/>
            <w:vMerge w:val="continue"/>
            <w:vAlign w:val="center"/>
          </w:tcPr>
          <w:p w14:paraId="0CCEC6FC">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p>
        </w:tc>
        <w:tc>
          <w:tcPr>
            <w:tcW w:w="2976" w:type="dxa"/>
            <w:vMerge w:val="continue"/>
            <w:vAlign w:val="center"/>
          </w:tcPr>
          <w:p w14:paraId="6C9BF4B6">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p>
        </w:tc>
        <w:tc>
          <w:tcPr>
            <w:tcW w:w="2976" w:type="dxa"/>
            <w:vMerge w:val="continue"/>
            <w:vAlign w:val="center"/>
          </w:tcPr>
          <w:p w14:paraId="01C7FFEB">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p>
        </w:tc>
        <w:tc>
          <w:tcPr>
            <w:tcW w:w="1417" w:type="dxa"/>
            <w:vAlign w:val="center"/>
          </w:tcPr>
          <w:p w14:paraId="7E72D639">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安全生产检查工作完成情况。</w:t>
            </w:r>
          </w:p>
        </w:tc>
        <w:tc>
          <w:tcPr>
            <w:tcW w:w="737" w:type="dxa"/>
            <w:vAlign w:val="center"/>
          </w:tcPr>
          <w:p w14:paraId="1B3E07A9">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按要求完成</w:t>
            </w:r>
          </w:p>
        </w:tc>
        <w:tc>
          <w:tcPr>
            <w:tcW w:w="737" w:type="dxa"/>
            <w:vAlign w:val="center"/>
          </w:tcPr>
          <w:p w14:paraId="57C636EE">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基本按要求完成</w:t>
            </w:r>
          </w:p>
        </w:tc>
        <w:tc>
          <w:tcPr>
            <w:tcW w:w="737" w:type="dxa"/>
            <w:vAlign w:val="center"/>
          </w:tcPr>
          <w:p w14:paraId="5057A1BE">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w:t>
            </w:r>
          </w:p>
        </w:tc>
        <w:tc>
          <w:tcPr>
            <w:tcW w:w="737" w:type="dxa"/>
            <w:vAlign w:val="center"/>
          </w:tcPr>
          <w:p w14:paraId="63BAA937">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未按要求完成</w:t>
            </w:r>
          </w:p>
        </w:tc>
      </w:tr>
      <w:tr w14:paraId="37A985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64F41178">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4、邮政行业应急管理和处置</w:t>
            </w:r>
          </w:p>
        </w:tc>
        <w:tc>
          <w:tcPr>
            <w:tcW w:w="1276" w:type="dxa"/>
            <w:vMerge w:val="restart"/>
            <w:vAlign w:val="center"/>
          </w:tcPr>
          <w:p w14:paraId="6AE7A656">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5</w:t>
            </w:r>
          </w:p>
        </w:tc>
        <w:tc>
          <w:tcPr>
            <w:tcW w:w="2976" w:type="dxa"/>
            <w:vMerge w:val="restart"/>
            <w:vAlign w:val="center"/>
          </w:tcPr>
          <w:p w14:paraId="63C84F0B">
            <w:pPr>
              <w:keepNext w:val="0"/>
              <w:keepLines w:val="0"/>
              <w:pageBreakBefore w:val="0"/>
              <w:widowControl/>
              <w:suppressLineNumbers w:val="0"/>
              <w:kinsoku/>
              <w:wordWrap/>
              <w:overflowPunct/>
              <w:topLinePunct w:val="0"/>
              <w:bidi w:val="0"/>
              <w:adjustRightInd w:val="0"/>
              <w:snapToGrid w:val="0"/>
              <w:spacing w:line="500" w:lineRule="exact"/>
              <w:jc w:val="center"/>
              <w:textAlignment w:val="center"/>
              <w:rPr>
                <w:rFonts w:hint="eastAsia" w:ascii="方正书宋_GBK" w:eastAsia="方正书宋_GBK"/>
                <w:lang w:val="en-US" w:eastAsia="zh-CN"/>
              </w:rPr>
            </w:pPr>
            <w:r>
              <w:rPr>
                <w:rFonts w:hint="eastAsia" w:ascii="方正书宋_GBK" w:eastAsia="方正书宋_GBK"/>
                <w:lang w:val="en-US" w:eastAsia="zh-CN"/>
              </w:rPr>
              <w:t>编制邮政业突发事件专项应急预案，组织行业突发事件应急演练，做好全市邮政业重大突发事件的统筹调度、协调疏导、调查处置工作。</w:t>
            </w:r>
          </w:p>
        </w:tc>
        <w:tc>
          <w:tcPr>
            <w:tcW w:w="2976" w:type="dxa"/>
            <w:vMerge w:val="restart"/>
            <w:vAlign w:val="center"/>
          </w:tcPr>
          <w:p w14:paraId="03F91963">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全市行业突发事件应对能力得到进一步提升，行业重大突发事件得到妥善处置。</w:t>
            </w:r>
          </w:p>
        </w:tc>
        <w:tc>
          <w:tcPr>
            <w:tcW w:w="1417" w:type="dxa"/>
            <w:vAlign w:val="center"/>
          </w:tcPr>
          <w:p w14:paraId="12204954">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各企业邮政业突发事件应急预案修订完成率。</w:t>
            </w:r>
          </w:p>
        </w:tc>
        <w:tc>
          <w:tcPr>
            <w:tcW w:w="737" w:type="dxa"/>
            <w:vAlign w:val="center"/>
          </w:tcPr>
          <w:p w14:paraId="76046E01">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100%</w:t>
            </w:r>
          </w:p>
        </w:tc>
        <w:tc>
          <w:tcPr>
            <w:tcW w:w="737" w:type="dxa"/>
            <w:vAlign w:val="center"/>
          </w:tcPr>
          <w:p w14:paraId="390ED6E7">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≥90%</w:t>
            </w:r>
          </w:p>
        </w:tc>
        <w:tc>
          <w:tcPr>
            <w:tcW w:w="737" w:type="dxa"/>
            <w:vAlign w:val="center"/>
          </w:tcPr>
          <w:p w14:paraId="495E0067">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≥80%</w:t>
            </w:r>
          </w:p>
        </w:tc>
        <w:tc>
          <w:tcPr>
            <w:tcW w:w="737" w:type="dxa"/>
            <w:vAlign w:val="center"/>
          </w:tcPr>
          <w:p w14:paraId="00E00CFC">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&lt;80%</w:t>
            </w:r>
          </w:p>
        </w:tc>
      </w:tr>
      <w:tr w14:paraId="4C30F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58B3FFD3">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p>
        </w:tc>
        <w:tc>
          <w:tcPr>
            <w:tcW w:w="1276" w:type="dxa"/>
            <w:vMerge w:val="continue"/>
            <w:vAlign w:val="center"/>
          </w:tcPr>
          <w:p w14:paraId="38EFD13B">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p>
        </w:tc>
        <w:tc>
          <w:tcPr>
            <w:tcW w:w="2976" w:type="dxa"/>
            <w:vMerge w:val="continue"/>
            <w:vAlign w:val="center"/>
          </w:tcPr>
          <w:p w14:paraId="52047A4C">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p>
        </w:tc>
        <w:tc>
          <w:tcPr>
            <w:tcW w:w="2976" w:type="dxa"/>
            <w:vMerge w:val="continue"/>
            <w:vAlign w:val="center"/>
          </w:tcPr>
          <w:p w14:paraId="1DE0D430">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p>
        </w:tc>
        <w:tc>
          <w:tcPr>
            <w:tcW w:w="1417" w:type="dxa"/>
            <w:vAlign w:val="center"/>
          </w:tcPr>
          <w:p w14:paraId="1580B92F">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组织突发事件应急演练活动。</w:t>
            </w:r>
          </w:p>
        </w:tc>
        <w:tc>
          <w:tcPr>
            <w:tcW w:w="737" w:type="dxa"/>
            <w:vAlign w:val="center"/>
          </w:tcPr>
          <w:p w14:paraId="134F8A89">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完成</w:t>
            </w:r>
          </w:p>
        </w:tc>
        <w:tc>
          <w:tcPr>
            <w:tcW w:w="737" w:type="dxa"/>
            <w:vAlign w:val="center"/>
          </w:tcPr>
          <w:p w14:paraId="4AE363F8">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w:t>
            </w:r>
          </w:p>
        </w:tc>
        <w:tc>
          <w:tcPr>
            <w:tcW w:w="737" w:type="dxa"/>
            <w:vAlign w:val="center"/>
          </w:tcPr>
          <w:p w14:paraId="49D3CF9E">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w:t>
            </w:r>
          </w:p>
        </w:tc>
        <w:tc>
          <w:tcPr>
            <w:tcW w:w="737" w:type="dxa"/>
            <w:vAlign w:val="center"/>
          </w:tcPr>
          <w:p w14:paraId="617ABC5C">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未完成</w:t>
            </w:r>
          </w:p>
        </w:tc>
      </w:tr>
      <w:tr w14:paraId="51043D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3C79BEA1">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p>
        </w:tc>
        <w:tc>
          <w:tcPr>
            <w:tcW w:w="1276" w:type="dxa"/>
            <w:vMerge w:val="continue"/>
            <w:vAlign w:val="center"/>
          </w:tcPr>
          <w:p w14:paraId="26258AEF">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p>
        </w:tc>
        <w:tc>
          <w:tcPr>
            <w:tcW w:w="2976" w:type="dxa"/>
            <w:vMerge w:val="continue"/>
            <w:vAlign w:val="center"/>
          </w:tcPr>
          <w:p w14:paraId="0482D7ED">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p>
        </w:tc>
        <w:tc>
          <w:tcPr>
            <w:tcW w:w="2976" w:type="dxa"/>
            <w:vMerge w:val="continue"/>
            <w:vAlign w:val="center"/>
          </w:tcPr>
          <w:p w14:paraId="0C3D3B68">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p>
        </w:tc>
        <w:tc>
          <w:tcPr>
            <w:tcW w:w="1417" w:type="dxa"/>
            <w:vAlign w:val="center"/>
          </w:tcPr>
          <w:p w14:paraId="432C8867">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市邮政业突发事件应急预案完成情况。</w:t>
            </w:r>
          </w:p>
        </w:tc>
        <w:tc>
          <w:tcPr>
            <w:tcW w:w="737" w:type="dxa"/>
            <w:vAlign w:val="center"/>
          </w:tcPr>
          <w:p w14:paraId="6FA4708D">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完成</w:t>
            </w:r>
          </w:p>
        </w:tc>
        <w:tc>
          <w:tcPr>
            <w:tcW w:w="737" w:type="dxa"/>
            <w:vAlign w:val="center"/>
          </w:tcPr>
          <w:p w14:paraId="781E01DE">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w:t>
            </w:r>
          </w:p>
        </w:tc>
        <w:tc>
          <w:tcPr>
            <w:tcW w:w="737" w:type="dxa"/>
            <w:vAlign w:val="center"/>
          </w:tcPr>
          <w:p w14:paraId="5271F3E3">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w:t>
            </w:r>
          </w:p>
        </w:tc>
        <w:tc>
          <w:tcPr>
            <w:tcW w:w="737" w:type="dxa"/>
            <w:vAlign w:val="center"/>
          </w:tcPr>
          <w:p w14:paraId="015B0A07">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未完成</w:t>
            </w:r>
          </w:p>
        </w:tc>
      </w:tr>
      <w:tr w14:paraId="7CE44E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4EFC9C5">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5、综合事务管理等</w:t>
            </w:r>
          </w:p>
        </w:tc>
        <w:tc>
          <w:tcPr>
            <w:tcW w:w="1276" w:type="dxa"/>
            <w:vAlign w:val="center"/>
          </w:tcPr>
          <w:p w14:paraId="431A9ED5">
            <w:pPr>
              <w:keepNext w:val="0"/>
              <w:keepLines w:val="0"/>
              <w:pageBreakBefore w:val="0"/>
              <w:widowControl/>
              <w:suppressLineNumbers w:val="0"/>
              <w:kinsoku/>
              <w:wordWrap/>
              <w:overflowPunct/>
              <w:topLinePunct w:val="0"/>
              <w:bidi w:val="0"/>
              <w:adjustRightInd w:val="0"/>
              <w:snapToGrid w:val="0"/>
              <w:spacing w:line="500" w:lineRule="exact"/>
              <w:jc w:val="center"/>
              <w:textAlignment w:val="center"/>
              <w:rPr>
                <w:rFonts w:hint="eastAsia" w:ascii="方正书宋_GBK" w:eastAsia="方正书宋_GBK"/>
                <w:lang w:val="en-US" w:eastAsia="zh-CN"/>
              </w:rPr>
            </w:pPr>
            <w:r>
              <w:rPr>
                <w:rFonts w:hint="eastAsia" w:ascii="方正书宋_GBK" w:eastAsia="方正书宋_GBK"/>
                <w:lang w:val="en-US" w:eastAsia="zh-CN"/>
              </w:rPr>
              <w:t>35</w:t>
            </w:r>
          </w:p>
        </w:tc>
        <w:tc>
          <w:tcPr>
            <w:tcW w:w="2976" w:type="dxa"/>
            <w:vAlign w:val="center"/>
          </w:tcPr>
          <w:p w14:paraId="581E393C">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通用办公设备、家具购买及配置</w:t>
            </w:r>
          </w:p>
        </w:tc>
        <w:tc>
          <w:tcPr>
            <w:tcW w:w="2976" w:type="dxa"/>
            <w:vAlign w:val="center"/>
          </w:tcPr>
          <w:p w14:paraId="30694769">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满足基本办公要求，保障中心正常开展工作。</w:t>
            </w:r>
          </w:p>
        </w:tc>
        <w:tc>
          <w:tcPr>
            <w:tcW w:w="1417" w:type="dxa"/>
            <w:vAlign w:val="center"/>
          </w:tcPr>
          <w:p w14:paraId="152F6519">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满足基本办公要求，保障中心正常开展工作。</w:t>
            </w:r>
          </w:p>
        </w:tc>
        <w:tc>
          <w:tcPr>
            <w:tcW w:w="737" w:type="dxa"/>
            <w:vAlign w:val="center"/>
          </w:tcPr>
          <w:p w14:paraId="06A66EA1">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完成</w:t>
            </w:r>
          </w:p>
        </w:tc>
        <w:tc>
          <w:tcPr>
            <w:tcW w:w="737" w:type="dxa"/>
            <w:vAlign w:val="center"/>
          </w:tcPr>
          <w:p w14:paraId="5EA19A6C">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w:t>
            </w:r>
          </w:p>
        </w:tc>
        <w:tc>
          <w:tcPr>
            <w:tcW w:w="737" w:type="dxa"/>
            <w:vAlign w:val="center"/>
          </w:tcPr>
          <w:p w14:paraId="549A7E57">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w:t>
            </w:r>
          </w:p>
        </w:tc>
        <w:tc>
          <w:tcPr>
            <w:tcW w:w="737" w:type="dxa"/>
            <w:vAlign w:val="center"/>
          </w:tcPr>
          <w:p w14:paraId="7B5ADDE7">
            <w:pPr>
              <w:keepNext w:val="0"/>
              <w:keepLines w:val="0"/>
              <w:pageBreakBefore w:val="0"/>
              <w:widowControl/>
              <w:suppressLineNumbers w:val="0"/>
              <w:kinsoku/>
              <w:wordWrap/>
              <w:overflowPunct/>
              <w:topLinePunct w:val="0"/>
              <w:bidi w:val="0"/>
              <w:adjustRightInd w:val="0"/>
              <w:snapToGrid w:val="0"/>
              <w:spacing w:line="500" w:lineRule="exact"/>
              <w:jc w:val="left"/>
              <w:textAlignment w:val="center"/>
              <w:rPr>
                <w:rFonts w:hint="eastAsia" w:ascii="方正书宋_GBK" w:eastAsia="方正书宋_GBK"/>
                <w:lang w:val="en-US" w:eastAsia="zh-CN"/>
              </w:rPr>
            </w:pPr>
            <w:r>
              <w:rPr>
                <w:rFonts w:hint="eastAsia" w:ascii="方正书宋_GBK" w:eastAsia="方正书宋_GBK"/>
                <w:lang w:val="en-US" w:eastAsia="zh-CN"/>
              </w:rPr>
              <w:t>未完成</w:t>
            </w:r>
          </w:p>
        </w:tc>
      </w:tr>
    </w:tbl>
    <w:p w14:paraId="6E3ED00A">
      <w:pPr>
        <w:keepNext w:val="0"/>
        <w:keepLines w:val="0"/>
        <w:pageBreakBefore w:val="0"/>
        <w:kinsoku/>
        <w:wordWrap/>
        <w:overflowPunct/>
        <w:topLinePunct w:val="0"/>
        <w:autoSpaceDE w:val="0"/>
        <w:autoSpaceDN w:val="0"/>
        <w:bidi w:val="0"/>
        <w:adjustRightInd w:val="0"/>
        <w:snapToGrid w:val="0"/>
        <w:spacing w:line="500" w:lineRule="exact"/>
        <w:ind w:firstLine="640" w:firstLineChars="200"/>
        <w:jc w:val="left"/>
        <w:rPr>
          <w:rFonts w:ascii="Times New Roman" w:hAnsi="黑体" w:eastAsia="黑体" w:cs="Times New Roman"/>
          <w:sz w:val="32"/>
          <w:szCs w:val="32"/>
        </w:rPr>
      </w:pPr>
    </w:p>
    <w:p w14:paraId="427349E2">
      <w:pPr>
        <w:keepNext w:val="0"/>
        <w:keepLines w:val="0"/>
        <w:pageBreakBefore w:val="0"/>
        <w:kinsoku/>
        <w:wordWrap/>
        <w:overflowPunct/>
        <w:topLinePunct w:val="0"/>
        <w:autoSpaceDE w:val="0"/>
        <w:autoSpaceDN w:val="0"/>
        <w:bidi w:val="0"/>
        <w:adjustRightInd w:val="0"/>
        <w:snapToGrid w:val="0"/>
        <w:spacing w:line="500"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六、政府采购预算情况</w:t>
      </w:r>
    </w:p>
    <w:p w14:paraId="2DA4ADC7">
      <w:pPr>
        <w:keepNext w:val="0"/>
        <w:keepLines w:val="0"/>
        <w:pageBreakBefore w:val="0"/>
        <w:kinsoku/>
        <w:wordWrap/>
        <w:overflowPunct/>
        <w:topLinePunct w:val="0"/>
        <w:autoSpaceDE w:val="0"/>
        <w:autoSpaceDN w:val="0"/>
        <w:bidi w:val="0"/>
        <w:adjustRightInd w:val="0"/>
        <w:snapToGrid w:val="0"/>
        <w:spacing w:line="500" w:lineRule="exact"/>
        <w:ind w:firstLine="640" w:firstLineChars="200"/>
        <w:jc w:val="left"/>
        <w:rPr>
          <w:rFonts w:ascii="Times New Roman" w:hAnsi="Times New Roman" w:eastAsia="仿宋_GB2312" w:cs="Times New Roman"/>
          <w:sz w:val="32"/>
          <w:szCs w:val="24"/>
        </w:rPr>
      </w:pPr>
      <w:bookmarkStart w:id="2" w:name="_Toc471398468"/>
      <w:r>
        <w:rPr>
          <w:rFonts w:ascii="Times New Roman" w:hAnsi="Times New Roman" w:eastAsia="仿宋_GB2312" w:cs="Times New Roman"/>
          <w:sz w:val="32"/>
          <w:szCs w:val="24"/>
        </w:rPr>
        <w:t>201</w:t>
      </w:r>
      <w:r>
        <w:rPr>
          <w:rFonts w:hint="eastAsia" w:ascii="Times New Roman" w:hAnsi="Times New Roman" w:eastAsia="仿宋_GB2312" w:cs="Times New Roman"/>
          <w:sz w:val="32"/>
          <w:szCs w:val="24"/>
        </w:rPr>
        <w:t>9</w:t>
      </w:r>
      <w:r>
        <w:rPr>
          <w:rFonts w:ascii="Times New Roman" w:hAnsi="Times New Roman" w:eastAsia="仿宋_GB2312" w:cs="Times New Roman"/>
          <w:sz w:val="32"/>
          <w:szCs w:val="24"/>
        </w:rPr>
        <w:t>年，我部门</w:t>
      </w:r>
      <w:r>
        <w:rPr>
          <w:rFonts w:hint="eastAsia" w:ascii="Times New Roman" w:hAnsi="Times New Roman" w:eastAsia="仿宋_GB2312" w:cs="Times New Roman"/>
          <w:sz w:val="32"/>
          <w:szCs w:val="24"/>
          <w:lang w:eastAsia="zh-CN"/>
        </w:rPr>
        <w:t>共计</w:t>
      </w:r>
      <w:r>
        <w:rPr>
          <w:rFonts w:ascii="Times New Roman" w:hAnsi="Times New Roman" w:eastAsia="仿宋_GB2312" w:cs="Times New Roman"/>
          <w:sz w:val="32"/>
          <w:szCs w:val="24"/>
        </w:rPr>
        <w:t>安排政府采购</w:t>
      </w:r>
      <w:r>
        <w:rPr>
          <w:rFonts w:hint="eastAsia" w:ascii="Times New Roman" w:hAnsi="Times New Roman" w:eastAsia="仿宋_GB2312" w:cs="Times New Roman"/>
          <w:sz w:val="32"/>
          <w:szCs w:val="24"/>
          <w:lang w:eastAsia="zh-CN"/>
        </w:rPr>
        <w:t>项目</w:t>
      </w:r>
      <w:r>
        <w:rPr>
          <w:rFonts w:hint="eastAsia" w:ascii="Times New Roman" w:hAnsi="Times New Roman" w:eastAsia="仿宋_GB2312" w:cs="Times New Roman"/>
          <w:sz w:val="32"/>
          <w:szCs w:val="24"/>
          <w:lang w:val="en-US" w:eastAsia="zh-CN"/>
        </w:rPr>
        <w:t>全部为货物类，共计6个，</w:t>
      </w:r>
      <w:r>
        <w:rPr>
          <w:rFonts w:hint="eastAsia" w:ascii="Times New Roman" w:hAnsi="Times New Roman" w:eastAsia="仿宋_GB2312" w:cs="Times New Roman"/>
          <w:sz w:val="32"/>
          <w:szCs w:val="24"/>
          <w:lang w:eastAsia="zh-CN"/>
        </w:rPr>
        <w:t>涉及金额</w:t>
      </w:r>
      <w:r>
        <w:rPr>
          <w:rFonts w:hint="eastAsia" w:ascii="Times New Roman" w:hAnsi="Times New Roman" w:eastAsia="仿宋_GB2312" w:cs="Times New Roman"/>
          <w:sz w:val="32"/>
          <w:szCs w:val="24"/>
          <w:lang w:val="en-US" w:eastAsia="zh-CN"/>
        </w:rPr>
        <w:t>11</w:t>
      </w:r>
      <w:r>
        <w:rPr>
          <w:rFonts w:ascii="Times New Roman" w:hAnsi="Times New Roman" w:eastAsia="仿宋_GB2312" w:cs="Times New Roman"/>
          <w:sz w:val="32"/>
          <w:szCs w:val="24"/>
        </w:rPr>
        <w:t>万元。</w:t>
      </w:r>
      <w:bookmarkEnd w:id="2"/>
    </w:p>
    <w:p w14:paraId="40035000">
      <w:pPr>
        <w:keepNext w:val="0"/>
        <w:keepLines w:val="0"/>
        <w:pageBreakBefore w:val="0"/>
        <w:kinsoku/>
        <w:wordWrap/>
        <w:overflowPunct/>
        <w:topLinePunct w:val="0"/>
        <w:bidi w:val="0"/>
        <w:adjustRightInd w:val="0"/>
        <w:snapToGrid w:val="0"/>
        <w:spacing w:line="500" w:lineRule="exact"/>
        <w:jc w:val="center"/>
        <w:outlineLvl w:val="0"/>
        <w:rPr>
          <w:rFonts w:ascii="Times New Roman" w:hAnsi="Times New Roman" w:eastAsia="仿宋_GB2312" w:cs="Times New Roman"/>
          <w:sz w:val="32"/>
        </w:rPr>
      </w:pPr>
      <w:bookmarkStart w:id="3" w:name="_Toc504489153"/>
    </w:p>
    <w:p w14:paraId="7936312A">
      <w:pPr>
        <w:keepNext w:val="0"/>
        <w:keepLines w:val="0"/>
        <w:pageBreakBefore w:val="0"/>
        <w:kinsoku/>
        <w:wordWrap/>
        <w:overflowPunct/>
        <w:topLinePunct w:val="0"/>
        <w:bidi w:val="0"/>
        <w:adjustRightInd w:val="0"/>
        <w:snapToGrid w:val="0"/>
        <w:spacing w:line="500" w:lineRule="exact"/>
        <w:jc w:val="center"/>
        <w:outlineLvl w:val="0"/>
        <w:rPr>
          <w:rFonts w:ascii="Times New Roman" w:hAnsi="Times New Roman" w:eastAsia="仿宋_GB2312" w:cs="Times New Roman"/>
          <w:sz w:val="32"/>
        </w:rPr>
      </w:pPr>
    </w:p>
    <w:p w14:paraId="124BD5EB">
      <w:pPr>
        <w:keepNext w:val="0"/>
        <w:keepLines w:val="0"/>
        <w:pageBreakBefore w:val="0"/>
        <w:kinsoku/>
        <w:wordWrap/>
        <w:overflowPunct/>
        <w:topLinePunct w:val="0"/>
        <w:bidi w:val="0"/>
        <w:adjustRightInd w:val="0"/>
        <w:snapToGrid w:val="0"/>
        <w:spacing w:line="500" w:lineRule="exact"/>
        <w:jc w:val="center"/>
        <w:outlineLvl w:val="0"/>
        <w:rPr>
          <w:rFonts w:ascii="Times New Roman" w:hAnsi="Times New Roman" w:eastAsia="仿宋_GB2312" w:cs="Times New Roman"/>
          <w:sz w:val="32"/>
          <w:szCs w:val="24"/>
        </w:rPr>
      </w:pPr>
      <w:r>
        <w:rPr>
          <w:rFonts w:ascii="Times New Roman" w:hAnsi="Times New Roman" w:eastAsia="仿宋_GB2312" w:cs="Times New Roman"/>
          <w:sz w:val="32"/>
        </w:rPr>
        <w:t>部门政府采购预算</w:t>
      </w:r>
      <w:bookmarkEnd w:id="3"/>
    </w:p>
    <w:tbl>
      <w:tblPr>
        <w:tblStyle w:val="8"/>
        <w:tblW w:w="145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01"/>
        <w:gridCol w:w="898"/>
        <w:gridCol w:w="950"/>
        <w:gridCol w:w="1161"/>
        <w:gridCol w:w="737"/>
        <w:gridCol w:w="737"/>
        <w:gridCol w:w="951"/>
        <w:gridCol w:w="957"/>
        <w:gridCol w:w="957"/>
        <w:gridCol w:w="900"/>
        <w:gridCol w:w="957"/>
        <w:gridCol w:w="922"/>
        <w:gridCol w:w="941"/>
        <w:gridCol w:w="899"/>
      </w:tblGrid>
      <w:tr w14:paraId="2E5264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035" w:type="dxa"/>
            <w:gridSpan w:val="7"/>
            <w:tcBorders>
              <w:top w:val="single" w:color="FFFFFF" w:sz="6" w:space="0"/>
              <w:left w:val="single" w:color="FFFFFF" w:sz="6" w:space="0"/>
              <w:right w:val="single" w:color="FFFFFF" w:sz="6" w:space="0"/>
            </w:tcBorders>
            <w:vAlign w:val="center"/>
          </w:tcPr>
          <w:p w14:paraId="20A57D41">
            <w:pPr>
              <w:keepNext w:val="0"/>
              <w:keepLines w:val="0"/>
              <w:pageBreakBefore w:val="0"/>
              <w:kinsoku/>
              <w:wordWrap/>
              <w:overflowPunct/>
              <w:topLinePunct w:val="0"/>
              <w:bidi w:val="0"/>
              <w:adjustRightInd w:val="0"/>
              <w:snapToGrid w:val="0"/>
              <w:spacing w:line="500" w:lineRule="exact"/>
              <w:jc w:val="left"/>
              <w:rPr>
                <w:rFonts w:hint="eastAsia" w:ascii="方正小标宋_GBK" w:eastAsia="方正小标宋_GBK"/>
                <w:sz w:val="24"/>
                <w:lang w:eastAsia="zh-CN"/>
              </w:rPr>
            </w:pPr>
            <w:r>
              <w:rPr>
                <w:rFonts w:hint="eastAsia" w:ascii="方正小标宋_GBK" w:eastAsia="方正小标宋_GBK"/>
                <w:sz w:val="24"/>
                <w:lang w:val="en-US" w:eastAsia="zh-CN"/>
              </w:rPr>
              <w:t>634</w:t>
            </w:r>
            <w:r>
              <w:rPr>
                <w:rFonts w:hint="eastAsia" w:ascii="方正小标宋_GBK" w:eastAsia="方正小标宋_GBK"/>
                <w:sz w:val="24"/>
              </w:rPr>
              <w:t>廊坊市</w:t>
            </w:r>
            <w:r>
              <w:rPr>
                <w:rFonts w:hint="eastAsia" w:ascii="方正小标宋_GBK" w:eastAsia="方正小标宋_GBK"/>
                <w:sz w:val="24"/>
                <w:lang w:eastAsia="zh-CN"/>
              </w:rPr>
              <w:t>邮政业安全中心</w:t>
            </w:r>
          </w:p>
        </w:tc>
        <w:tc>
          <w:tcPr>
            <w:tcW w:w="6533" w:type="dxa"/>
            <w:gridSpan w:val="7"/>
            <w:tcBorders>
              <w:top w:val="single" w:color="FFFFFF" w:sz="6" w:space="0"/>
              <w:left w:val="single" w:color="FFFFFF" w:sz="6" w:space="0"/>
              <w:right w:val="single" w:color="FFFFFF" w:sz="6" w:space="0"/>
            </w:tcBorders>
            <w:vAlign w:val="center"/>
          </w:tcPr>
          <w:p w14:paraId="1546756E">
            <w:pPr>
              <w:keepNext w:val="0"/>
              <w:keepLines w:val="0"/>
              <w:pageBreakBefore w:val="0"/>
              <w:kinsoku/>
              <w:wordWrap/>
              <w:overflowPunct/>
              <w:topLinePunct w:val="0"/>
              <w:bidi w:val="0"/>
              <w:adjustRightInd w:val="0"/>
              <w:snapToGrid w:val="0"/>
              <w:spacing w:line="500" w:lineRule="exact"/>
              <w:jc w:val="right"/>
              <w:rPr>
                <w:rFonts w:ascii="方正书宋_GBK" w:eastAsia="方正书宋_GBK"/>
                <w:sz w:val="24"/>
              </w:rPr>
            </w:pPr>
            <w:r>
              <w:rPr>
                <w:rFonts w:hint="eastAsia" w:ascii="方正书宋_GBK" w:eastAsia="方正书宋_GBK"/>
                <w:sz w:val="24"/>
              </w:rPr>
              <w:t>单位：万元</w:t>
            </w:r>
          </w:p>
        </w:tc>
      </w:tr>
      <w:tr w14:paraId="3CDBC0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3499" w:type="dxa"/>
            <w:gridSpan w:val="2"/>
            <w:vAlign w:val="center"/>
          </w:tcPr>
          <w:p w14:paraId="185EA72C">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b/>
              </w:rPr>
              <w:t>政府采购项目来源</w:t>
            </w:r>
          </w:p>
        </w:tc>
        <w:tc>
          <w:tcPr>
            <w:tcW w:w="950" w:type="dxa"/>
            <w:vMerge w:val="restart"/>
            <w:vAlign w:val="center"/>
          </w:tcPr>
          <w:p w14:paraId="04CE773A">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b/>
              </w:rPr>
              <w:t>采购物品名称</w:t>
            </w:r>
          </w:p>
        </w:tc>
        <w:tc>
          <w:tcPr>
            <w:tcW w:w="1161" w:type="dxa"/>
            <w:vMerge w:val="restart"/>
            <w:vAlign w:val="center"/>
          </w:tcPr>
          <w:p w14:paraId="5C1F9F27">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b/>
              </w:rPr>
              <w:t>政府采购目录序号</w:t>
            </w:r>
          </w:p>
        </w:tc>
        <w:tc>
          <w:tcPr>
            <w:tcW w:w="737" w:type="dxa"/>
            <w:vMerge w:val="restart"/>
            <w:vAlign w:val="center"/>
          </w:tcPr>
          <w:p w14:paraId="0CDA9897">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b/>
              </w:rPr>
              <w:t>单位</w:t>
            </w:r>
          </w:p>
        </w:tc>
        <w:tc>
          <w:tcPr>
            <w:tcW w:w="737" w:type="dxa"/>
            <w:vMerge w:val="restart"/>
            <w:vAlign w:val="center"/>
          </w:tcPr>
          <w:p w14:paraId="786067CA">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b/>
              </w:rPr>
              <w:t>数量</w:t>
            </w:r>
          </w:p>
        </w:tc>
        <w:tc>
          <w:tcPr>
            <w:tcW w:w="951" w:type="dxa"/>
            <w:vMerge w:val="restart"/>
            <w:vAlign w:val="center"/>
          </w:tcPr>
          <w:p w14:paraId="53915306">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b/>
              </w:rPr>
              <w:t>单价</w:t>
            </w:r>
          </w:p>
        </w:tc>
        <w:tc>
          <w:tcPr>
            <w:tcW w:w="6533" w:type="dxa"/>
            <w:gridSpan w:val="7"/>
            <w:vAlign w:val="center"/>
          </w:tcPr>
          <w:p w14:paraId="754C7D2C">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b/>
              </w:rPr>
              <w:t>政府采购金额</w:t>
            </w:r>
          </w:p>
        </w:tc>
      </w:tr>
      <w:tr w14:paraId="210C63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601" w:type="dxa"/>
            <w:vMerge w:val="restart"/>
            <w:vAlign w:val="center"/>
          </w:tcPr>
          <w:p w14:paraId="075A4A98">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b/>
              </w:rPr>
              <w:t>项目名称</w:t>
            </w:r>
          </w:p>
        </w:tc>
        <w:tc>
          <w:tcPr>
            <w:tcW w:w="898" w:type="dxa"/>
            <w:vMerge w:val="restart"/>
            <w:vAlign w:val="center"/>
          </w:tcPr>
          <w:p w14:paraId="4521D7F3">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b/>
              </w:rPr>
              <w:t>预算资金</w:t>
            </w:r>
          </w:p>
        </w:tc>
        <w:tc>
          <w:tcPr>
            <w:tcW w:w="950" w:type="dxa"/>
            <w:vMerge w:val="continue"/>
            <w:vAlign w:val="center"/>
          </w:tcPr>
          <w:p w14:paraId="4E73C093">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0"/>
            </w:pPr>
          </w:p>
        </w:tc>
        <w:tc>
          <w:tcPr>
            <w:tcW w:w="1161" w:type="dxa"/>
            <w:vMerge w:val="continue"/>
            <w:vAlign w:val="center"/>
          </w:tcPr>
          <w:p w14:paraId="5D28AF42">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0"/>
            </w:pPr>
          </w:p>
        </w:tc>
        <w:tc>
          <w:tcPr>
            <w:tcW w:w="737" w:type="dxa"/>
            <w:vMerge w:val="continue"/>
            <w:vAlign w:val="center"/>
          </w:tcPr>
          <w:p w14:paraId="0AA2CF63">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0"/>
            </w:pPr>
          </w:p>
        </w:tc>
        <w:tc>
          <w:tcPr>
            <w:tcW w:w="737" w:type="dxa"/>
            <w:vMerge w:val="continue"/>
            <w:vAlign w:val="center"/>
          </w:tcPr>
          <w:p w14:paraId="7883AC98">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0"/>
            </w:pPr>
          </w:p>
        </w:tc>
        <w:tc>
          <w:tcPr>
            <w:tcW w:w="951" w:type="dxa"/>
            <w:vMerge w:val="continue"/>
            <w:vAlign w:val="center"/>
          </w:tcPr>
          <w:p w14:paraId="3F2B0A43">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0"/>
            </w:pPr>
          </w:p>
        </w:tc>
        <w:tc>
          <w:tcPr>
            <w:tcW w:w="957" w:type="dxa"/>
            <w:vMerge w:val="restart"/>
            <w:vAlign w:val="center"/>
          </w:tcPr>
          <w:p w14:paraId="44EDE4B9">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b/>
              </w:rPr>
              <w:t>总计</w:t>
            </w:r>
          </w:p>
        </w:tc>
        <w:tc>
          <w:tcPr>
            <w:tcW w:w="4677" w:type="dxa"/>
            <w:gridSpan w:val="5"/>
            <w:vAlign w:val="center"/>
          </w:tcPr>
          <w:p w14:paraId="734132D4">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b/>
              </w:rPr>
              <w:t>当年部门预算安排资金</w:t>
            </w:r>
          </w:p>
        </w:tc>
        <w:tc>
          <w:tcPr>
            <w:tcW w:w="899" w:type="dxa"/>
            <w:vMerge w:val="restart"/>
            <w:vAlign w:val="center"/>
          </w:tcPr>
          <w:p w14:paraId="65FD9639">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b/>
              </w:rPr>
              <w:t>其他渠道资金</w:t>
            </w:r>
          </w:p>
        </w:tc>
      </w:tr>
      <w:tr w14:paraId="308AB3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601" w:type="dxa"/>
            <w:vMerge w:val="continue"/>
            <w:vAlign w:val="center"/>
          </w:tcPr>
          <w:p w14:paraId="2976CAE7">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0"/>
            </w:pPr>
          </w:p>
        </w:tc>
        <w:tc>
          <w:tcPr>
            <w:tcW w:w="898" w:type="dxa"/>
            <w:vMerge w:val="continue"/>
            <w:vAlign w:val="center"/>
          </w:tcPr>
          <w:p w14:paraId="2EEDD2BB">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0"/>
            </w:pPr>
          </w:p>
        </w:tc>
        <w:tc>
          <w:tcPr>
            <w:tcW w:w="950" w:type="dxa"/>
            <w:vMerge w:val="continue"/>
            <w:vAlign w:val="center"/>
          </w:tcPr>
          <w:p w14:paraId="1489A4F2">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0"/>
            </w:pPr>
          </w:p>
        </w:tc>
        <w:tc>
          <w:tcPr>
            <w:tcW w:w="1161" w:type="dxa"/>
            <w:vMerge w:val="continue"/>
            <w:vAlign w:val="center"/>
          </w:tcPr>
          <w:p w14:paraId="0141D98B">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0"/>
            </w:pPr>
          </w:p>
        </w:tc>
        <w:tc>
          <w:tcPr>
            <w:tcW w:w="737" w:type="dxa"/>
            <w:vMerge w:val="continue"/>
            <w:vAlign w:val="center"/>
          </w:tcPr>
          <w:p w14:paraId="60ADD759">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0"/>
            </w:pPr>
          </w:p>
        </w:tc>
        <w:tc>
          <w:tcPr>
            <w:tcW w:w="737" w:type="dxa"/>
            <w:vMerge w:val="continue"/>
            <w:vAlign w:val="center"/>
          </w:tcPr>
          <w:p w14:paraId="46B8B326">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0"/>
            </w:pPr>
          </w:p>
        </w:tc>
        <w:tc>
          <w:tcPr>
            <w:tcW w:w="951" w:type="dxa"/>
            <w:vMerge w:val="continue"/>
            <w:vAlign w:val="center"/>
          </w:tcPr>
          <w:p w14:paraId="476D6C8C">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0"/>
            </w:pPr>
          </w:p>
        </w:tc>
        <w:tc>
          <w:tcPr>
            <w:tcW w:w="957" w:type="dxa"/>
            <w:vMerge w:val="continue"/>
            <w:vAlign w:val="center"/>
          </w:tcPr>
          <w:p w14:paraId="7F081165">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0"/>
            </w:pPr>
          </w:p>
        </w:tc>
        <w:tc>
          <w:tcPr>
            <w:tcW w:w="957" w:type="dxa"/>
            <w:vAlign w:val="center"/>
          </w:tcPr>
          <w:p w14:paraId="4A2F5EA8">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b/>
              </w:rPr>
              <w:t>合计</w:t>
            </w:r>
          </w:p>
        </w:tc>
        <w:tc>
          <w:tcPr>
            <w:tcW w:w="900" w:type="dxa"/>
            <w:vAlign w:val="center"/>
          </w:tcPr>
          <w:p w14:paraId="05156F3A">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b/>
              </w:rPr>
              <w:t>一般公共预算拨款</w:t>
            </w:r>
          </w:p>
        </w:tc>
        <w:tc>
          <w:tcPr>
            <w:tcW w:w="957" w:type="dxa"/>
            <w:vAlign w:val="center"/>
          </w:tcPr>
          <w:p w14:paraId="5150B77D">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b/>
              </w:rPr>
              <w:t>基金预算拨款</w:t>
            </w:r>
          </w:p>
        </w:tc>
        <w:tc>
          <w:tcPr>
            <w:tcW w:w="922" w:type="dxa"/>
            <w:vAlign w:val="center"/>
          </w:tcPr>
          <w:p w14:paraId="2BB44C45">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b/>
              </w:rPr>
              <w:t>财政专户核拨</w:t>
            </w:r>
          </w:p>
        </w:tc>
        <w:tc>
          <w:tcPr>
            <w:tcW w:w="941" w:type="dxa"/>
            <w:vAlign w:val="center"/>
          </w:tcPr>
          <w:p w14:paraId="11893D50">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b/>
              </w:rPr>
              <w:t>其他来源收入</w:t>
            </w:r>
          </w:p>
        </w:tc>
        <w:tc>
          <w:tcPr>
            <w:tcW w:w="899" w:type="dxa"/>
            <w:vMerge w:val="continue"/>
            <w:vAlign w:val="center"/>
          </w:tcPr>
          <w:p w14:paraId="4FF258E3">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0"/>
            </w:pPr>
          </w:p>
        </w:tc>
      </w:tr>
      <w:tr w14:paraId="7AB636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601" w:type="dxa"/>
            <w:vAlign w:val="center"/>
          </w:tcPr>
          <w:p w14:paraId="3C30AE2E">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b/>
              </w:rPr>
              <w:t>合　计</w:t>
            </w:r>
          </w:p>
        </w:tc>
        <w:tc>
          <w:tcPr>
            <w:tcW w:w="898" w:type="dxa"/>
            <w:vAlign w:val="center"/>
          </w:tcPr>
          <w:p w14:paraId="1C2D2946">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b/>
                <w:lang w:val="en-US" w:eastAsia="zh-CN"/>
              </w:rPr>
            </w:pPr>
            <w:r>
              <w:rPr>
                <w:rFonts w:hint="eastAsia" w:ascii="方正书宋_GBK" w:eastAsia="方正书宋_GBK"/>
                <w:b/>
                <w:lang w:val="en-US" w:eastAsia="zh-CN"/>
              </w:rPr>
              <w:t>35</w:t>
            </w:r>
          </w:p>
        </w:tc>
        <w:tc>
          <w:tcPr>
            <w:tcW w:w="950" w:type="dxa"/>
            <w:vAlign w:val="center"/>
          </w:tcPr>
          <w:p w14:paraId="52F35A02">
            <w:pPr>
              <w:keepNext w:val="0"/>
              <w:keepLines w:val="0"/>
              <w:pageBreakBefore w:val="0"/>
              <w:kinsoku/>
              <w:wordWrap/>
              <w:overflowPunct/>
              <w:topLinePunct w:val="0"/>
              <w:autoSpaceDE/>
              <w:autoSpaceDN/>
              <w:bidi w:val="0"/>
              <w:adjustRightInd w:val="0"/>
              <w:snapToGrid w:val="0"/>
              <w:spacing w:line="400" w:lineRule="exact"/>
              <w:jc w:val="left"/>
              <w:textAlignment w:val="auto"/>
              <w:rPr>
                <w:rFonts w:ascii="方正书宋_GBK" w:eastAsia="方正书宋_GBK"/>
                <w:b/>
              </w:rPr>
            </w:pPr>
          </w:p>
        </w:tc>
        <w:tc>
          <w:tcPr>
            <w:tcW w:w="1161" w:type="dxa"/>
            <w:vAlign w:val="center"/>
          </w:tcPr>
          <w:p w14:paraId="5FFF4F98">
            <w:pPr>
              <w:keepNext w:val="0"/>
              <w:keepLines w:val="0"/>
              <w:pageBreakBefore w:val="0"/>
              <w:kinsoku/>
              <w:wordWrap/>
              <w:overflowPunct/>
              <w:topLinePunct w:val="0"/>
              <w:autoSpaceDE/>
              <w:autoSpaceDN/>
              <w:bidi w:val="0"/>
              <w:adjustRightInd w:val="0"/>
              <w:snapToGrid w:val="0"/>
              <w:spacing w:line="400" w:lineRule="exact"/>
              <w:jc w:val="left"/>
              <w:textAlignment w:val="auto"/>
              <w:rPr>
                <w:rFonts w:ascii="方正书宋_GBK" w:eastAsia="方正书宋_GBK"/>
                <w:b/>
              </w:rPr>
            </w:pPr>
          </w:p>
        </w:tc>
        <w:tc>
          <w:tcPr>
            <w:tcW w:w="737" w:type="dxa"/>
            <w:vAlign w:val="center"/>
          </w:tcPr>
          <w:p w14:paraId="15C45960">
            <w:pPr>
              <w:keepNext w:val="0"/>
              <w:keepLines w:val="0"/>
              <w:pageBreakBefore w:val="0"/>
              <w:kinsoku/>
              <w:wordWrap/>
              <w:overflowPunct/>
              <w:topLinePunct w:val="0"/>
              <w:autoSpaceDE/>
              <w:autoSpaceDN/>
              <w:bidi w:val="0"/>
              <w:adjustRightInd w:val="0"/>
              <w:snapToGrid w:val="0"/>
              <w:spacing w:line="400" w:lineRule="exact"/>
              <w:jc w:val="left"/>
              <w:textAlignment w:val="auto"/>
              <w:rPr>
                <w:rFonts w:ascii="方正书宋_GBK" w:eastAsia="方正书宋_GBK"/>
                <w:b/>
              </w:rPr>
            </w:pPr>
          </w:p>
        </w:tc>
        <w:tc>
          <w:tcPr>
            <w:tcW w:w="737" w:type="dxa"/>
            <w:vAlign w:val="center"/>
          </w:tcPr>
          <w:p w14:paraId="7CCFB567">
            <w:pPr>
              <w:keepNext w:val="0"/>
              <w:keepLines w:val="0"/>
              <w:pageBreakBefore w:val="0"/>
              <w:kinsoku/>
              <w:wordWrap/>
              <w:overflowPunct/>
              <w:topLinePunct w:val="0"/>
              <w:autoSpaceDE/>
              <w:autoSpaceDN/>
              <w:bidi w:val="0"/>
              <w:adjustRightInd w:val="0"/>
              <w:snapToGrid w:val="0"/>
              <w:spacing w:line="400" w:lineRule="exact"/>
              <w:jc w:val="right"/>
              <w:textAlignment w:val="auto"/>
              <w:rPr>
                <w:rFonts w:ascii="方正书宋_GBK" w:eastAsia="方正书宋_GBK"/>
                <w:b/>
              </w:rPr>
            </w:pPr>
          </w:p>
        </w:tc>
        <w:tc>
          <w:tcPr>
            <w:tcW w:w="951" w:type="dxa"/>
            <w:vAlign w:val="center"/>
          </w:tcPr>
          <w:p w14:paraId="277FC495">
            <w:pPr>
              <w:keepNext w:val="0"/>
              <w:keepLines w:val="0"/>
              <w:pageBreakBefore w:val="0"/>
              <w:kinsoku/>
              <w:wordWrap/>
              <w:overflowPunct/>
              <w:topLinePunct w:val="0"/>
              <w:autoSpaceDE/>
              <w:autoSpaceDN/>
              <w:bidi w:val="0"/>
              <w:adjustRightInd w:val="0"/>
              <w:snapToGrid w:val="0"/>
              <w:spacing w:line="400" w:lineRule="exact"/>
              <w:jc w:val="right"/>
              <w:textAlignment w:val="auto"/>
              <w:rPr>
                <w:rFonts w:ascii="方正书宋_GBK" w:eastAsia="方正书宋_GBK"/>
                <w:b/>
              </w:rPr>
            </w:pPr>
          </w:p>
        </w:tc>
        <w:tc>
          <w:tcPr>
            <w:tcW w:w="957" w:type="dxa"/>
            <w:vAlign w:val="center"/>
          </w:tcPr>
          <w:p w14:paraId="3DB49953">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lang w:val="en-US" w:eastAsia="zh-CN"/>
              </w:rPr>
              <w:t>11.00</w:t>
            </w:r>
          </w:p>
        </w:tc>
        <w:tc>
          <w:tcPr>
            <w:tcW w:w="957" w:type="dxa"/>
            <w:vAlign w:val="center"/>
          </w:tcPr>
          <w:p w14:paraId="78E81F6A">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lang w:val="en-US" w:eastAsia="zh-CN"/>
              </w:rPr>
              <w:t>11.00</w:t>
            </w:r>
          </w:p>
        </w:tc>
        <w:tc>
          <w:tcPr>
            <w:tcW w:w="900" w:type="dxa"/>
            <w:vAlign w:val="center"/>
          </w:tcPr>
          <w:p w14:paraId="248C755B">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lang w:val="en-US" w:eastAsia="zh-CN"/>
              </w:rPr>
              <w:t>11.00</w:t>
            </w:r>
          </w:p>
        </w:tc>
        <w:tc>
          <w:tcPr>
            <w:tcW w:w="957" w:type="dxa"/>
            <w:vAlign w:val="center"/>
          </w:tcPr>
          <w:p w14:paraId="50B5995D">
            <w:pPr>
              <w:keepNext w:val="0"/>
              <w:keepLines w:val="0"/>
              <w:pageBreakBefore w:val="0"/>
              <w:kinsoku/>
              <w:wordWrap/>
              <w:overflowPunct/>
              <w:topLinePunct w:val="0"/>
              <w:autoSpaceDE/>
              <w:autoSpaceDN/>
              <w:bidi w:val="0"/>
              <w:adjustRightInd w:val="0"/>
              <w:snapToGrid w:val="0"/>
              <w:spacing w:line="400" w:lineRule="exact"/>
              <w:jc w:val="right"/>
              <w:textAlignment w:val="auto"/>
              <w:rPr>
                <w:rFonts w:ascii="方正书宋_GBK" w:eastAsia="方正书宋_GBK"/>
                <w:b/>
              </w:rPr>
            </w:pPr>
          </w:p>
        </w:tc>
        <w:tc>
          <w:tcPr>
            <w:tcW w:w="922" w:type="dxa"/>
            <w:vAlign w:val="center"/>
          </w:tcPr>
          <w:p w14:paraId="201D0688">
            <w:pPr>
              <w:keepNext w:val="0"/>
              <w:keepLines w:val="0"/>
              <w:pageBreakBefore w:val="0"/>
              <w:kinsoku/>
              <w:wordWrap/>
              <w:overflowPunct/>
              <w:topLinePunct w:val="0"/>
              <w:autoSpaceDE/>
              <w:autoSpaceDN/>
              <w:bidi w:val="0"/>
              <w:adjustRightInd w:val="0"/>
              <w:snapToGrid w:val="0"/>
              <w:spacing w:line="400" w:lineRule="exact"/>
              <w:jc w:val="right"/>
              <w:textAlignment w:val="auto"/>
              <w:rPr>
                <w:rFonts w:ascii="方正书宋_GBK" w:eastAsia="方正书宋_GBK"/>
                <w:b/>
              </w:rPr>
            </w:pPr>
          </w:p>
        </w:tc>
        <w:tc>
          <w:tcPr>
            <w:tcW w:w="941" w:type="dxa"/>
            <w:vAlign w:val="center"/>
          </w:tcPr>
          <w:p w14:paraId="50A89552">
            <w:pPr>
              <w:keepNext w:val="0"/>
              <w:keepLines w:val="0"/>
              <w:pageBreakBefore w:val="0"/>
              <w:kinsoku/>
              <w:wordWrap/>
              <w:overflowPunct/>
              <w:topLinePunct w:val="0"/>
              <w:autoSpaceDE/>
              <w:autoSpaceDN/>
              <w:bidi w:val="0"/>
              <w:adjustRightInd w:val="0"/>
              <w:snapToGrid w:val="0"/>
              <w:spacing w:line="400" w:lineRule="exact"/>
              <w:jc w:val="right"/>
              <w:textAlignment w:val="auto"/>
              <w:rPr>
                <w:rFonts w:ascii="方正书宋_GBK" w:eastAsia="方正书宋_GBK"/>
                <w:b/>
              </w:rPr>
            </w:pPr>
          </w:p>
        </w:tc>
        <w:tc>
          <w:tcPr>
            <w:tcW w:w="899" w:type="dxa"/>
            <w:vAlign w:val="center"/>
          </w:tcPr>
          <w:p w14:paraId="475D34A9">
            <w:pPr>
              <w:keepNext w:val="0"/>
              <w:keepLines w:val="0"/>
              <w:pageBreakBefore w:val="0"/>
              <w:kinsoku/>
              <w:wordWrap/>
              <w:overflowPunct/>
              <w:topLinePunct w:val="0"/>
              <w:autoSpaceDE/>
              <w:autoSpaceDN/>
              <w:bidi w:val="0"/>
              <w:adjustRightInd w:val="0"/>
              <w:snapToGrid w:val="0"/>
              <w:spacing w:line="400" w:lineRule="exact"/>
              <w:jc w:val="right"/>
              <w:textAlignment w:val="auto"/>
              <w:rPr>
                <w:rFonts w:ascii="方正书宋_GBK" w:eastAsia="方正书宋_GBK"/>
                <w:b/>
              </w:rPr>
            </w:pPr>
          </w:p>
        </w:tc>
      </w:tr>
      <w:tr w14:paraId="7DE8E0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601" w:type="dxa"/>
            <w:vAlign w:val="center"/>
          </w:tcPr>
          <w:p w14:paraId="1423D8FF">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b/>
              </w:rPr>
            </w:pPr>
            <w:r>
              <w:rPr>
                <w:rFonts w:hint="eastAsia" w:ascii="方正书宋_GBK" w:eastAsia="方正书宋_GBK"/>
                <w:b/>
              </w:rPr>
              <w:t>小计</w:t>
            </w:r>
          </w:p>
        </w:tc>
        <w:tc>
          <w:tcPr>
            <w:tcW w:w="898" w:type="dxa"/>
            <w:vAlign w:val="center"/>
          </w:tcPr>
          <w:p w14:paraId="0C01A91E">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b/>
                <w:lang w:val="en-US" w:eastAsia="zh-CN"/>
              </w:rPr>
            </w:pPr>
            <w:r>
              <w:rPr>
                <w:rFonts w:hint="eastAsia" w:ascii="方正书宋_GBK" w:eastAsia="方正书宋_GBK"/>
                <w:b/>
                <w:lang w:val="en-US" w:eastAsia="zh-CN"/>
              </w:rPr>
              <w:t>35</w:t>
            </w:r>
          </w:p>
        </w:tc>
        <w:tc>
          <w:tcPr>
            <w:tcW w:w="950" w:type="dxa"/>
            <w:vAlign w:val="center"/>
          </w:tcPr>
          <w:p w14:paraId="060B06B6">
            <w:pPr>
              <w:keepNext w:val="0"/>
              <w:keepLines w:val="0"/>
              <w:pageBreakBefore w:val="0"/>
              <w:kinsoku/>
              <w:wordWrap/>
              <w:overflowPunct/>
              <w:topLinePunct w:val="0"/>
              <w:autoSpaceDE/>
              <w:autoSpaceDN/>
              <w:bidi w:val="0"/>
              <w:adjustRightInd w:val="0"/>
              <w:snapToGrid w:val="0"/>
              <w:spacing w:line="400" w:lineRule="exact"/>
              <w:jc w:val="left"/>
              <w:textAlignment w:val="auto"/>
              <w:rPr>
                <w:rFonts w:ascii="方正书宋_GBK" w:eastAsia="方正书宋_GBK"/>
                <w:b/>
              </w:rPr>
            </w:pPr>
          </w:p>
        </w:tc>
        <w:tc>
          <w:tcPr>
            <w:tcW w:w="1161" w:type="dxa"/>
            <w:vAlign w:val="center"/>
          </w:tcPr>
          <w:p w14:paraId="7F4FEC01">
            <w:pPr>
              <w:keepNext w:val="0"/>
              <w:keepLines w:val="0"/>
              <w:pageBreakBefore w:val="0"/>
              <w:kinsoku/>
              <w:wordWrap/>
              <w:overflowPunct/>
              <w:topLinePunct w:val="0"/>
              <w:autoSpaceDE/>
              <w:autoSpaceDN/>
              <w:bidi w:val="0"/>
              <w:adjustRightInd w:val="0"/>
              <w:snapToGrid w:val="0"/>
              <w:spacing w:line="400" w:lineRule="exact"/>
              <w:jc w:val="left"/>
              <w:textAlignment w:val="auto"/>
              <w:rPr>
                <w:rFonts w:ascii="方正书宋_GBK" w:eastAsia="方正书宋_GBK"/>
                <w:b/>
              </w:rPr>
            </w:pPr>
          </w:p>
        </w:tc>
        <w:tc>
          <w:tcPr>
            <w:tcW w:w="737" w:type="dxa"/>
            <w:vAlign w:val="center"/>
          </w:tcPr>
          <w:p w14:paraId="50B760A1">
            <w:pPr>
              <w:keepNext w:val="0"/>
              <w:keepLines w:val="0"/>
              <w:pageBreakBefore w:val="0"/>
              <w:kinsoku/>
              <w:wordWrap/>
              <w:overflowPunct/>
              <w:topLinePunct w:val="0"/>
              <w:autoSpaceDE/>
              <w:autoSpaceDN/>
              <w:bidi w:val="0"/>
              <w:adjustRightInd w:val="0"/>
              <w:snapToGrid w:val="0"/>
              <w:spacing w:line="400" w:lineRule="exact"/>
              <w:jc w:val="left"/>
              <w:textAlignment w:val="auto"/>
              <w:rPr>
                <w:rFonts w:ascii="方正书宋_GBK" w:eastAsia="方正书宋_GBK"/>
                <w:b/>
              </w:rPr>
            </w:pPr>
          </w:p>
        </w:tc>
        <w:tc>
          <w:tcPr>
            <w:tcW w:w="737" w:type="dxa"/>
            <w:vAlign w:val="center"/>
          </w:tcPr>
          <w:p w14:paraId="01159944">
            <w:pPr>
              <w:keepNext w:val="0"/>
              <w:keepLines w:val="0"/>
              <w:pageBreakBefore w:val="0"/>
              <w:kinsoku/>
              <w:wordWrap/>
              <w:overflowPunct/>
              <w:topLinePunct w:val="0"/>
              <w:autoSpaceDE/>
              <w:autoSpaceDN/>
              <w:bidi w:val="0"/>
              <w:adjustRightInd w:val="0"/>
              <w:snapToGrid w:val="0"/>
              <w:spacing w:line="400" w:lineRule="exact"/>
              <w:jc w:val="right"/>
              <w:textAlignment w:val="auto"/>
              <w:rPr>
                <w:rFonts w:ascii="方正书宋_GBK" w:eastAsia="方正书宋_GBK"/>
                <w:b/>
              </w:rPr>
            </w:pPr>
          </w:p>
        </w:tc>
        <w:tc>
          <w:tcPr>
            <w:tcW w:w="951" w:type="dxa"/>
            <w:vAlign w:val="center"/>
          </w:tcPr>
          <w:p w14:paraId="23FD2118">
            <w:pPr>
              <w:keepNext w:val="0"/>
              <w:keepLines w:val="0"/>
              <w:pageBreakBefore w:val="0"/>
              <w:kinsoku/>
              <w:wordWrap/>
              <w:overflowPunct/>
              <w:topLinePunct w:val="0"/>
              <w:autoSpaceDE/>
              <w:autoSpaceDN/>
              <w:bidi w:val="0"/>
              <w:adjustRightInd w:val="0"/>
              <w:snapToGrid w:val="0"/>
              <w:spacing w:line="400" w:lineRule="exact"/>
              <w:jc w:val="right"/>
              <w:textAlignment w:val="auto"/>
              <w:rPr>
                <w:rFonts w:ascii="方正书宋_GBK" w:eastAsia="方正书宋_GBK"/>
                <w:b/>
              </w:rPr>
            </w:pPr>
          </w:p>
        </w:tc>
        <w:tc>
          <w:tcPr>
            <w:tcW w:w="957" w:type="dxa"/>
            <w:vAlign w:val="center"/>
          </w:tcPr>
          <w:p w14:paraId="04FFF819">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11.00</w:t>
            </w:r>
          </w:p>
        </w:tc>
        <w:tc>
          <w:tcPr>
            <w:tcW w:w="957" w:type="dxa"/>
            <w:vAlign w:val="center"/>
          </w:tcPr>
          <w:p w14:paraId="0F75B031">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11.00</w:t>
            </w:r>
          </w:p>
        </w:tc>
        <w:tc>
          <w:tcPr>
            <w:tcW w:w="900" w:type="dxa"/>
            <w:vAlign w:val="center"/>
          </w:tcPr>
          <w:p w14:paraId="7CFEEF9F">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11.00</w:t>
            </w:r>
          </w:p>
        </w:tc>
        <w:tc>
          <w:tcPr>
            <w:tcW w:w="957" w:type="dxa"/>
            <w:vAlign w:val="center"/>
          </w:tcPr>
          <w:p w14:paraId="16808372">
            <w:pPr>
              <w:keepNext w:val="0"/>
              <w:keepLines w:val="0"/>
              <w:pageBreakBefore w:val="0"/>
              <w:kinsoku/>
              <w:wordWrap/>
              <w:overflowPunct/>
              <w:topLinePunct w:val="0"/>
              <w:autoSpaceDE/>
              <w:autoSpaceDN/>
              <w:bidi w:val="0"/>
              <w:adjustRightInd w:val="0"/>
              <w:snapToGrid w:val="0"/>
              <w:spacing w:line="400" w:lineRule="exact"/>
              <w:jc w:val="right"/>
              <w:textAlignment w:val="auto"/>
              <w:rPr>
                <w:rFonts w:ascii="方正书宋_GBK" w:eastAsia="方正书宋_GBK"/>
                <w:b/>
              </w:rPr>
            </w:pPr>
          </w:p>
        </w:tc>
        <w:tc>
          <w:tcPr>
            <w:tcW w:w="922" w:type="dxa"/>
            <w:vAlign w:val="center"/>
          </w:tcPr>
          <w:p w14:paraId="263D5DD9">
            <w:pPr>
              <w:keepNext w:val="0"/>
              <w:keepLines w:val="0"/>
              <w:pageBreakBefore w:val="0"/>
              <w:kinsoku/>
              <w:wordWrap/>
              <w:overflowPunct/>
              <w:topLinePunct w:val="0"/>
              <w:autoSpaceDE/>
              <w:autoSpaceDN/>
              <w:bidi w:val="0"/>
              <w:adjustRightInd w:val="0"/>
              <w:snapToGrid w:val="0"/>
              <w:spacing w:line="400" w:lineRule="exact"/>
              <w:jc w:val="right"/>
              <w:textAlignment w:val="auto"/>
              <w:rPr>
                <w:rFonts w:ascii="方正书宋_GBK" w:eastAsia="方正书宋_GBK"/>
                <w:b/>
              </w:rPr>
            </w:pPr>
          </w:p>
        </w:tc>
        <w:tc>
          <w:tcPr>
            <w:tcW w:w="941" w:type="dxa"/>
            <w:vAlign w:val="center"/>
          </w:tcPr>
          <w:p w14:paraId="5DD25072">
            <w:pPr>
              <w:keepNext w:val="0"/>
              <w:keepLines w:val="0"/>
              <w:pageBreakBefore w:val="0"/>
              <w:kinsoku/>
              <w:wordWrap/>
              <w:overflowPunct/>
              <w:topLinePunct w:val="0"/>
              <w:autoSpaceDE/>
              <w:autoSpaceDN/>
              <w:bidi w:val="0"/>
              <w:adjustRightInd w:val="0"/>
              <w:snapToGrid w:val="0"/>
              <w:spacing w:line="400" w:lineRule="exact"/>
              <w:jc w:val="right"/>
              <w:textAlignment w:val="auto"/>
              <w:rPr>
                <w:rFonts w:ascii="方正书宋_GBK" w:eastAsia="方正书宋_GBK"/>
                <w:b/>
              </w:rPr>
            </w:pPr>
          </w:p>
        </w:tc>
        <w:tc>
          <w:tcPr>
            <w:tcW w:w="899" w:type="dxa"/>
            <w:vAlign w:val="center"/>
          </w:tcPr>
          <w:p w14:paraId="27AD1854">
            <w:pPr>
              <w:keepNext w:val="0"/>
              <w:keepLines w:val="0"/>
              <w:pageBreakBefore w:val="0"/>
              <w:kinsoku/>
              <w:wordWrap/>
              <w:overflowPunct/>
              <w:topLinePunct w:val="0"/>
              <w:autoSpaceDE/>
              <w:autoSpaceDN/>
              <w:bidi w:val="0"/>
              <w:adjustRightInd w:val="0"/>
              <w:snapToGrid w:val="0"/>
              <w:spacing w:line="400" w:lineRule="exact"/>
              <w:jc w:val="right"/>
              <w:textAlignment w:val="auto"/>
              <w:rPr>
                <w:rFonts w:ascii="方正书宋_GBK" w:eastAsia="方正书宋_GBK"/>
                <w:b/>
              </w:rPr>
            </w:pPr>
          </w:p>
        </w:tc>
      </w:tr>
      <w:tr w14:paraId="3C9347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601" w:type="dxa"/>
            <w:vAlign w:val="center"/>
          </w:tcPr>
          <w:p w14:paraId="5EE3F04F">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eastAsia="zh-CN"/>
              </w:rPr>
            </w:pPr>
            <w:r>
              <w:rPr>
                <w:rFonts w:hint="eastAsia" w:ascii="方正书宋_GBK" w:eastAsia="方正书宋_GBK"/>
                <w:lang w:eastAsia="zh-CN"/>
              </w:rPr>
              <w:t>开办经费资金</w:t>
            </w:r>
          </w:p>
        </w:tc>
        <w:tc>
          <w:tcPr>
            <w:tcW w:w="898" w:type="dxa"/>
            <w:vAlign w:val="center"/>
          </w:tcPr>
          <w:p w14:paraId="4CD2B6C4">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35</w:t>
            </w:r>
          </w:p>
        </w:tc>
        <w:tc>
          <w:tcPr>
            <w:tcW w:w="950" w:type="dxa"/>
            <w:vAlign w:val="center"/>
          </w:tcPr>
          <w:p w14:paraId="0138C0B5">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r>
              <w:rPr>
                <w:rFonts w:hint="eastAsia" w:ascii="方正书宋_GBK" w:eastAsia="方正书宋_GBK"/>
                <w:lang w:eastAsia="zh-CN"/>
              </w:rPr>
              <w:t>计算机设备</w:t>
            </w:r>
          </w:p>
        </w:tc>
        <w:tc>
          <w:tcPr>
            <w:tcW w:w="1161" w:type="dxa"/>
            <w:vAlign w:val="center"/>
          </w:tcPr>
          <w:p w14:paraId="45E8229E">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r>
              <w:rPr>
                <w:rFonts w:hint="eastAsia" w:ascii="方正书宋_GBK" w:eastAsia="方正书宋_GBK"/>
                <w:lang w:val="en-US" w:eastAsia="zh-CN"/>
              </w:rPr>
              <w:t>A020101</w:t>
            </w:r>
          </w:p>
        </w:tc>
        <w:tc>
          <w:tcPr>
            <w:tcW w:w="737" w:type="dxa"/>
            <w:vAlign w:val="center"/>
          </w:tcPr>
          <w:p w14:paraId="0B25BC39">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eastAsia="zh-CN"/>
              </w:rPr>
            </w:pPr>
            <w:r>
              <w:rPr>
                <w:rFonts w:hint="eastAsia" w:ascii="方正书宋_GBK" w:eastAsia="方正书宋_GBK"/>
                <w:lang w:eastAsia="zh-CN"/>
              </w:rPr>
              <w:t>台</w:t>
            </w:r>
          </w:p>
        </w:tc>
        <w:tc>
          <w:tcPr>
            <w:tcW w:w="737" w:type="dxa"/>
            <w:vAlign w:val="center"/>
          </w:tcPr>
          <w:p w14:paraId="58ACAF52">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r>
              <w:rPr>
                <w:rFonts w:hint="eastAsia" w:ascii="方正书宋_GBK" w:eastAsia="方正书宋_GBK"/>
                <w:lang w:val="en-US" w:eastAsia="zh-CN"/>
              </w:rPr>
              <w:t>8</w:t>
            </w:r>
            <w:r>
              <w:rPr>
                <w:rFonts w:ascii="方正书宋_GBK" w:eastAsia="方正书宋_GBK"/>
              </w:rPr>
              <w:t>.00</w:t>
            </w:r>
          </w:p>
        </w:tc>
        <w:tc>
          <w:tcPr>
            <w:tcW w:w="951" w:type="dxa"/>
            <w:vAlign w:val="center"/>
          </w:tcPr>
          <w:p w14:paraId="5269EB76">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0.50</w:t>
            </w:r>
          </w:p>
        </w:tc>
        <w:tc>
          <w:tcPr>
            <w:tcW w:w="957" w:type="dxa"/>
            <w:vAlign w:val="center"/>
          </w:tcPr>
          <w:p w14:paraId="1A42F90A">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4.00</w:t>
            </w:r>
          </w:p>
        </w:tc>
        <w:tc>
          <w:tcPr>
            <w:tcW w:w="957" w:type="dxa"/>
            <w:vAlign w:val="center"/>
          </w:tcPr>
          <w:p w14:paraId="28ADD0D2">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4.00</w:t>
            </w:r>
          </w:p>
        </w:tc>
        <w:tc>
          <w:tcPr>
            <w:tcW w:w="900" w:type="dxa"/>
            <w:vAlign w:val="center"/>
          </w:tcPr>
          <w:p w14:paraId="23DF8286">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r>
              <w:rPr>
                <w:rFonts w:hint="eastAsia" w:ascii="方正书宋_GBK" w:eastAsia="方正书宋_GBK"/>
                <w:lang w:val="en-US" w:eastAsia="zh-CN"/>
              </w:rPr>
              <w:t>4.00</w:t>
            </w:r>
          </w:p>
        </w:tc>
        <w:tc>
          <w:tcPr>
            <w:tcW w:w="957" w:type="dxa"/>
            <w:vAlign w:val="center"/>
          </w:tcPr>
          <w:p w14:paraId="1AA621C3">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p>
        </w:tc>
        <w:tc>
          <w:tcPr>
            <w:tcW w:w="922" w:type="dxa"/>
            <w:vAlign w:val="center"/>
          </w:tcPr>
          <w:p w14:paraId="0E4DB75A">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p>
        </w:tc>
        <w:tc>
          <w:tcPr>
            <w:tcW w:w="941" w:type="dxa"/>
            <w:vAlign w:val="center"/>
          </w:tcPr>
          <w:p w14:paraId="4A548318">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p>
        </w:tc>
        <w:tc>
          <w:tcPr>
            <w:tcW w:w="899" w:type="dxa"/>
            <w:vAlign w:val="center"/>
          </w:tcPr>
          <w:p w14:paraId="1D3EC6B4">
            <w:pPr>
              <w:keepNext w:val="0"/>
              <w:keepLines w:val="0"/>
              <w:pageBreakBefore w:val="0"/>
              <w:kinsoku/>
              <w:wordWrap/>
              <w:overflowPunct/>
              <w:topLinePunct w:val="0"/>
              <w:autoSpaceDE/>
              <w:autoSpaceDN/>
              <w:bidi w:val="0"/>
              <w:adjustRightInd w:val="0"/>
              <w:snapToGrid w:val="0"/>
              <w:spacing w:line="400" w:lineRule="exact"/>
              <w:jc w:val="right"/>
              <w:textAlignment w:val="auto"/>
              <w:rPr>
                <w:rFonts w:ascii="方正书宋_GBK" w:eastAsia="方正书宋_GBK"/>
              </w:rPr>
            </w:pPr>
          </w:p>
        </w:tc>
      </w:tr>
      <w:tr w14:paraId="18FF5E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601" w:type="dxa"/>
            <w:vAlign w:val="center"/>
          </w:tcPr>
          <w:p w14:paraId="3D013F8F">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eastAsia="zh-CN"/>
              </w:rPr>
            </w:pPr>
            <w:r>
              <w:rPr>
                <w:rFonts w:hint="eastAsia" w:ascii="方正书宋_GBK" w:eastAsia="方正书宋_GBK"/>
                <w:lang w:eastAsia="zh-CN"/>
              </w:rPr>
              <w:t>开办经费资金</w:t>
            </w:r>
          </w:p>
        </w:tc>
        <w:tc>
          <w:tcPr>
            <w:tcW w:w="898" w:type="dxa"/>
            <w:vAlign w:val="center"/>
          </w:tcPr>
          <w:p w14:paraId="6233E3CA">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35</w:t>
            </w:r>
          </w:p>
        </w:tc>
        <w:tc>
          <w:tcPr>
            <w:tcW w:w="950" w:type="dxa"/>
            <w:vAlign w:val="center"/>
          </w:tcPr>
          <w:p w14:paraId="182CE93C">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eastAsia="zh-CN"/>
              </w:rPr>
            </w:pPr>
            <w:r>
              <w:rPr>
                <w:rFonts w:hint="eastAsia" w:ascii="方正书宋_GBK" w:eastAsia="方正书宋_GBK"/>
                <w:lang w:eastAsia="zh-CN"/>
              </w:rPr>
              <w:t>复印机</w:t>
            </w:r>
          </w:p>
        </w:tc>
        <w:tc>
          <w:tcPr>
            <w:tcW w:w="1161" w:type="dxa"/>
            <w:vAlign w:val="center"/>
          </w:tcPr>
          <w:p w14:paraId="5619293D">
            <w:pPr>
              <w:keepNext w:val="0"/>
              <w:keepLines w:val="0"/>
              <w:pageBreakBefore w:val="0"/>
              <w:widowControl/>
              <w:suppressLineNumbers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r>
              <w:rPr>
                <w:rFonts w:hint="eastAsia" w:ascii="宋体" w:hAnsi="宋体" w:eastAsia="宋体" w:cs="宋体"/>
                <w:i w:val="0"/>
                <w:color w:val="000000"/>
                <w:kern w:val="0"/>
                <w:sz w:val="18"/>
                <w:szCs w:val="18"/>
                <w:u w:val="none"/>
                <w:lang w:val="en-US" w:eastAsia="zh-CN" w:bidi="ar"/>
              </w:rPr>
              <w:t>A020201</w:t>
            </w:r>
          </w:p>
        </w:tc>
        <w:tc>
          <w:tcPr>
            <w:tcW w:w="737" w:type="dxa"/>
            <w:vAlign w:val="center"/>
          </w:tcPr>
          <w:p w14:paraId="7E24F117">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eastAsia="zh-CN"/>
              </w:rPr>
            </w:pPr>
            <w:r>
              <w:rPr>
                <w:rFonts w:hint="eastAsia" w:ascii="方正书宋_GBK" w:eastAsia="方正书宋_GBK"/>
                <w:lang w:eastAsia="zh-CN"/>
              </w:rPr>
              <w:t>台</w:t>
            </w:r>
          </w:p>
        </w:tc>
        <w:tc>
          <w:tcPr>
            <w:tcW w:w="737" w:type="dxa"/>
            <w:vAlign w:val="center"/>
          </w:tcPr>
          <w:p w14:paraId="54F6FC61">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1.00</w:t>
            </w:r>
          </w:p>
        </w:tc>
        <w:tc>
          <w:tcPr>
            <w:tcW w:w="951" w:type="dxa"/>
            <w:vAlign w:val="center"/>
          </w:tcPr>
          <w:p w14:paraId="2CEAB238">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3.50</w:t>
            </w:r>
          </w:p>
        </w:tc>
        <w:tc>
          <w:tcPr>
            <w:tcW w:w="957" w:type="dxa"/>
            <w:vAlign w:val="center"/>
          </w:tcPr>
          <w:p w14:paraId="7025E657">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3.50</w:t>
            </w:r>
          </w:p>
        </w:tc>
        <w:tc>
          <w:tcPr>
            <w:tcW w:w="957" w:type="dxa"/>
            <w:vAlign w:val="center"/>
          </w:tcPr>
          <w:p w14:paraId="22D16C9F">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3.50</w:t>
            </w:r>
          </w:p>
        </w:tc>
        <w:tc>
          <w:tcPr>
            <w:tcW w:w="900" w:type="dxa"/>
            <w:vAlign w:val="center"/>
          </w:tcPr>
          <w:p w14:paraId="25885CB0">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3.50</w:t>
            </w:r>
          </w:p>
        </w:tc>
        <w:tc>
          <w:tcPr>
            <w:tcW w:w="957" w:type="dxa"/>
            <w:vAlign w:val="center"/>
          </w:tcPr>
          <w:p w14:paraId="110840C5">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p>
        </w:tc>
        <w:tc>
          <w:tcPr>
            <w:tcW w:w="922" w:type="dxa"/>
            <w:vAlign w:val="center"/>
          </w:tcPr>
          <w:p w14:paraId="7B8D4BAC">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p>
        </w:tc>
        <w:tc>
          <w:tcPr>
            <w:tcW w:w="941" w:type="dxa"/>
            <w:vAlign w:val="center"/>
          </w:tcPr>
          <w:p w14:paraId="43EDA94E">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p>
        </w:tc>
        <w:tc>
          <w:tcPr>
            <w:tcW w:w="899" w:type="dxa"/>
            <w:vAlign w:val="center"/>
          </w:tcPr>
          <w:p w14:paraId="7A9C6788">
            <w:pPr>
              <w:keepNext w:val="0"/>
              <w:keepLines w:val="0"/>
              <w:pageBreakBefore w:val="0"/>
              <w:kinsoku/>
              <w:wordWrap/>
              <w:overflowPunct/>
              <w:topLinePunct w:val="0"/>
              <w:autoSpaceDE/>
              <w:autoSpaceDN/>
              <w:bidi w:val="0"/>
              <w:adjustRightInd w:val="0"/>
              <w:snapToGrid w:val="0"/>
              <w:spacing w:line="400" w:lineRule="exact"/>
              <w:jc w:val="right"/>
              <w:textAlignment w:val="auto"/>
              <w:rPr>
                <w:rFonts w:ascii="方正书宋_GBK" w:eastAsia="方正书宋_GBK"/>
              </w:rPr>
            </w:pPr>
          </w:p>
        </w:tc>
      </w:tr>
      <w:tr w14:paraId="050883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601" w:type="dxa"/>
            <w:vAlign w:val="center"/>
          </w:tcPr>
          <w:p w14:paraId="11B06104">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eastAsia="zh-CN"/>
              </w:rPr>
            </w:pPr>
            <w:r>
              <w:rPr>
                <w:rFonts w:hint="eastAsia" w:ascii="方正书宋_GBK" w:eastAsia="方正书宋_GBK"/>
                <w:lang w:eastAsia="zh-CN"/>
              </w:rPr>
              <w:t>开办经费资金</w:t>
            </w:r>
          </w:p>
        </w:tc>
        <w:tc>
          <w:tcPr>
            <w:tcW w:w="898" w:type="dxa"/>
            <w:vAlign w:val="center"/>
          </w:tcPr>
          <w:p w14:paraId="314A252C">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35</w:t>
            </w:r>
          </w:p>
        </w:tc>
        <w:tc>
          <w:tcPr>
            <w:tcW w:w="950" w:type="dxa"/>
            <w:vAlign w:val="center"/>
          </w:tcPr>
          <w:p w14:paraId="15033E45">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eastAsia="zh-CN"/>
              </w:rPr>
            </w:pPr>
            <w:r>
              <w:rPr>
                <w:rFonts w:hint="eastAsia" w:ascii="方正书宋_GBK" w:eastAsia="方正书宋_GBK"/>
                <w:lang w:val="en-US" w:eastAsia="zh-CN"/>
              </w:rPr>
              <w:t>文件柜</w:t>
            </w:r>
          </w:p>
        </w:tc>
        <w:tc>
          <w:tcPr>
            <w:tcW w:w="1161" w:type="dxa"/>
            <w:vAlign w:val="center"/>
          </w:tcPr>
          <w:p w14:paraId="456F9486">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A06</w:t>
            </w:r>
          </w:p>
        </w:tc>
        <w:tc>
          <w:tcPr>
            <w:tcW w:w="737" w:type="dxa"/>
            <w:vAlign w:val="center"/>
          </w:tcPr>
          <w:p w14:paraId="773B6838">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套</w:t>
            </w:r>
          </w:p>
        </w:tc>
        <w:tc>
          <w:tcPr>
            <w:tcW w:w="737" w:type="dxa"/>
            <w:vAlign w:val="center"/>
          </w:tcPr>
          <w:p w14:paraId="52ED4C8B">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6</w:t>
            </w:r>
          </w:p>
        </w:tc>
        <w:tc>
          <w:tcPr>
            <w:tcW w:w="951" w:type="dxa"/>
            <w:vAlign w:val="center"/>
          </w:tcPr>
          <w:p w14:paraId="4A3B21C7">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0.33</w:t>
            </w:r>
          </w:p>
        </w:tc>
        <w:tc>
          <w:tcPr>
            <w:tcW w:w="957" w:type="dxa"/>
            <w:vAlign w:val="center"/>
          </w:tcPr>
          <w:p w14:paraId="42AE77C8">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2.00</w:t>
            </w:r>
          </w:p>
        </w:tc>
        <w:tc>
          <w:tcPr>
            <w:tcW w:w="957" w:type="dxa"/>
            <w:vAlign w:val="center"/>
          </w:tcPr>
          <w:p w14:paraId="2081FFA5">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eastAsia="zh-CN"/>
              </w:rPr>
            </w:pPr>
            <w:r>
              <w:rPr>
                <w:rFonts w:hint="eastAsia" w:ascii="方正书宋_GBK" w:eastAsia="方正书宋_GBK"/>
                <w:lang w:val="en-US" w:eastAsia="zh-CN"/>
              </w:rPr>
              <w:t>2.00</w:t>
            </w:r>
          </w:p>
        </w:tc>
        <w:tc>
          <w:tcPr>
            <w:tcW w:w="900" w:type="dxa"/>
            <w:vAlign w:val="center"/>
          </w:tcPr>
          <w:p w14:paraId="6333DCD9">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eastAsia="zh-CN"/>
              </w:rPr>
            </w:pPr>
            <w:r>
              <w:rPr>
                <w:rFonts w:hint="eastAsia" w:ascii="方正书宋_GBK" w:eastAsia="方正书宋_GBK"/>
                <w:lang w:val="en-US" w:eastAsia="zh-CN"/>
              </w:rPr>
              <w:t>2.00</w:t>
            </w:r>
          </w:p>
        </w:tc>
        <w:tc>
          <w:tcPr>
            <w:tcW w:w="957" w:type="dxa"/>
            <w:vAlign w:val="center"/>
          </w:tcPr>
          <w:p w14:paraId="016D131D">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eastAsia="zh-CN"/>
              </w:rPr>
            </w:pPr>
          </w:p>
        </w:tc>
        <w:tc>
          <w:tcPr>
            <w:tcW w:w="922" w:type="dxa"/>
            <w:vAlign w:val="center"/>
          </w:tcPr>
          <w:p w14:paraId="36C3323F">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p>
        </w:tc>
        <w:tc>
          <w:tcPr>
            <w:tcW w:w="941" w:type="dxa"/>
            <w:vAlign w:val="center"/>
          </w:tcPr>
          <w:p w14:paraId="07205988">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p>
        </w:tc>
        <w:tc>
          <w:tcPr>
            <w:tcW w:w="899" w:type="dxa"/>
            <w:vAlign w:val="center"/>
          </w:tcPr>
          <w:p w14:paraId="4C5A0A47">
            <w:pPr>
              <w:keepNext w:val="0"/>
              <w:keepLines w:val="0"/>
              <w:pageBreakBefore w:val="0"/>
              <w:kinsoku/>
              <w:wordWrap/>
              <w:overflowPunct/>
              <w:topLinePunct w:val="0"/>
              <w:autoSpaceDE/>
              <w:autoSpaceDN/>
              <w:bidi w:val="0"/>
              <w:adjustRightInd w:val="0"/>
              <w:snapToGrid w:val="0"/>
              <w:spacing w:line="400" w:lineRule="exact"/>
              <w:jc w:val="right"/>
              <w:textAlignment w:val="auto"/>
              <w:rPr>
                <w:rFonts w:ascii="方正书宋_GBK" w:eastAsia="方正书宋_GBK"/>
              </w:rPr>
            </w:pPr>
          </w:p>
        </w:tc>
      </w:tr>
      <w:tr w14:paraId="055E86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601" w:type="dxa"/>
            <w:vAlign w:val="center"/>
          </w:tcPr>
          <w:p w14:paraId="2607E6A4">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eastAsia="zh-CN"/>
              </w:rPr>
            </w:pPr>
            <w:r>
              <w:rPr>
                <w:rFonts w:hint="eastAsia" w:ascii="方正书宋_GBK" w:eastAsia="方正书宋_GBK"/>
                <w:lang w:eastAsia="zh-CN"/>
              </w:rPr>
              <w:t>开办经费资金</w:t>
            </w:r>
          </w:p>
        </w:tc>
        <w:tc>
          <w:tcPr>
            <w:tcW w:w="898" w:type="dxa"/>
            <w:vAlign w:val="center"/>
          </w:tcPr>
          <w:p w14:paraId="5E1DD431">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35</w:t>
            </w:r>
          </w:p>
        </w:tc>
        <w:tc>
          <w:tcPr>
            <w:tcW w:w="950" w:type="dxa"/>
            <w:vAlign w:val="center"/>
          </w:tcPr>
          <w:p w14:paraId="7BBA0707">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eastAsia="zh-CN"/>
              </w:rPr>
            </w:pPr>
            <w:r>
              <w:rPr>
                <w:rFonts w:hint="eastAsia" w:ascii="方正书宋_GBK" w:eastAsia="方正书宋_GBK"/>
                <w:lang w:val="en-US" w:eastAsia="zh-CN"/>
              </w:rPr>
              <w:t>办公桌椅</w:t>
            </w:r>
          </w:p>
        </w:tc>
        <w:tc>
          <w:tcPr>
            <w:tcW w:w="1161" w:type="dxa"/>
            <w:vAlign w:val="center"/>
          </w:tcPr>
          <w:p w14:paraId="7C9C4B61">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r>
              <w:rPr>
                <w:rFonts w:hint="eastAsia" w:ascii="方正书宋_GBK" w:eastAsia="方正书宋_GBK"/>
                <w:lang w:val="en-US" w:eastAsia="zh-CN"/>
              </w:rPr>
              <w:t>A06</w:t>
            </w:r>
          </w:p>
        </w:tc>
        <w:tc>
          <w:tcPr>
            <w:tcW w:w="737" w:type="dxa"/>
            <w:vAlign w:val="center"/>
          </w:tcPr>
          <w:p w14:paraId="612E1D9B">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rPr>
            </w:pPr>
            <w:r>
              <w:rPr>
                <w:rFonts w:hint="eastAsia" w:ascii="方正书宋_GBK" w:eastAsia="方正书宋_GBK"/>
                <w:lang w:val="en-US" w:eastAsia="zh-CN"/>
              </w:rPr>
              <w:t>套</w:t>
            </w:r>
          </w:p>
        </w:tc>
        <w:tc>
          <w:tcPr>
            <w:tcW w:w="737" w:type="dxa"/>
            <w:vAlign w:val="center"/>
          </w:tcPr>
          <w:p w14:paraId="41F6FB75">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8</w:t>
            </w:r>
          </w:p>
        </w:tc>
        <w:tc>
          <w:tcPr>
            <w:tcW w:w="951" w:type="dxa"/>
            <w:vAlign w:val="center"/>
          </w:tcPr>
          <w:p w14:paraId="20CD9817">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0.10</w:t>
            </w:r>
          </w:p>
        </w:tc>
        <w:tc>
          <w:tcPr>
            <w:tcW w:w="957" w:type="dxa"/>
            <w:vAlign w:val="center"/>
          </w:tcPr>
          <w:p w14:paraId="02CBEC1D">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0.80</w:t>
            </w:r>
          </w:p>
        </w:tc>
        <w:tc>
          <w:tcPr>
            <w:tcW w:w="957" w:type="dxa"/>
            <w:vAlign w:val="center"/>
          </w:tcPr>
          <w:p w14:paraId="3BDE6B0F">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r>
              <w:rPr>
                <w:rFonts w:hint="eastAsia" w:ascii="方正书宋_GBK" w:eastAsia="方正书宋_GBK"/>
                <w:lang w:val="en-US" w:eastAsia="zh-CN"/>
              </w:rPr>
              <w:t>0.80</w:t>
            </w:r>
          </w:p>
        </w:tc>
        <w:tc>
          <w:tcPr>
            <w:tcW w:w="900" w:type="dxa"/>
            <w:vAlign w:val="center"/>
          </w:tcPr>
          <w:p w14:paraId="12C8C78C">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r>
              <w:rPr>
                <w:rFonts w:hint="eastAsia" w:ascii="方正书宋_GBK" w:eastAsia="方正书宋_GBK"/>
                <w:lang w:val="en-US" w:eastAsia="zh-CN"/>
              </w:rPr>
              <w:t>0.80</w:t>
            </w:r>
          </w:p>
        </w:tc>
        <w:tc>
          <w:tcPr>
            <w:tcW w:w="957" w:type="dxa"/>
            <w:vAlign w:val="center"/>
          </w:tcPr>
          <w:p w14:paraId="797F21A1">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p>
        </w:tc>
        <w:tc>
          <w:tcPr>
            <w:tcW w:w="922" w:type="dxa"/>
            <w:vAlign w:val="center"/>
          </w:tcPr>
          <w:p w14:paraId="49DB16C1">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p>
        </w:tc>
        <w:tc>
          <w:tcPr>
            <w:tcW w:w="941" w:type="dxa"/>
            <w:vAlign w:val="center"/>
          </w:tcPr>
          <w:p w14:paraId="5197AA2B">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p>
        </w:tc>
        <w:tc>
          <w:tcPr>
            <w:tcW w:w="899" w:type="dxa"/>
            <w:vAlign w:val="center"/>
          </w:tcPr>
          <w:p w14:paraId="20245590">
            <w:pPr>
              <w:keepNext w:val="0"/>
              <w:keepLines w:val="0"/>
              <w:pageBreakBefore w:val="0"/>
              <w:kinsoku/>
              <w:wordWrap/>
              <w:overflowPunct/>
              <w:topLinePunct w:val="0"/>
              <w:autoSpaceDE/>
              <w:autoSpaceDN/>
              <w:bidi w:val="0"/>
              <w:adjustRightInd w:val="0"/>
              <w:snapToGrid w:val="0"/>
              <w:spacing w:line="400" w:lineRule="exact"/>
              <w:jc w:val="right"/>
              <w:textAlignment w:val="auto"/>
              <w:rPr>
                <w:rFonts w:ascii="方正书宋_GBK" w:eastAsia="方正书宋_GBK"/>
              </w:rPr>
            </w:pPr>
          </w:p>
        </w:tc>
      </w:tr>
      <w:tr w14:paraId="23DAE3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601" w:type="dxa"/>
            <w:vAlign w:val="center"/>
          </w:tcPr>
          <w:p w14:paraId="00540D93">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eastAsia="zh-CN"/>
              </w:rPr>
            </w:pPr>
            <w:r>
              <w:rPr>
                <w:rFonts w:hint="eastAsia" w:ascii="方正书宋_GBK" w:eastAsia="方正书宋_GBK"/>
                <w:lang w:eastAsia="zh-CN"/>
              </w:rPr>
              <w:t>开办经费资金</w:t>
            </w:r>
          </w:p>
        </w:tc>
        <w:tc>
          <w:tcPr>
            <w:tcW w:w="898" w:type="dxa"/>
            <w:vAlign w:val="center"/>
          </w:tcPr>
          <w:p w14:paraId="6CBBA813">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35</w:t>
            </w:r>
          </w:p>
        </w:tc>
        <w:tc>
          <w:tcPr>
            <w:tcW w:w="950" w:type="dxa"/>
            <w:vAlign w:val="center"/>
          </w:tcPr>
          <w:p w14:paraId="0AE54F8A">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eastAsia="zh-CN"/>
              </w:rPr>
            </w:pPr>
            <w:r>
              <w:rPr>
                <w:rFonts w:hint="eastAsia" w:ascii="方正书宋_GBK" w:eastAsia="方正书宋_GBK"/>
                <w:lang w:eastAsia="zh-CN"/>
              </w:rPr>
              <w:t>扫描仪</w:t>
            </w:r>
          </w:p>
        </w:tc>
        <w:tc>
          <w:tcPr>
            <w:tcW w:w="1161" w:type="dxa"/>
            <w:vAlign w:val="center"/>
          </w:tcPr>
          <w:p w14:paraId="4365DB88">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r>
              <w:rPr>
                <w:rFonts w:hint="eastAsia" w:ascii="方正书宋_GBK" w:eastAsia="方正书宋_GBK"/>
              </w:rPr>
              <w:t>A0201060901</w:t>
            </w:r>
          </w:p>
        </w:tc>
        <w:tc>
          <w:tcPr>
            <w:tcW w:w="737" w:type="dxa"/>
            <w:vAlign w:val="center"/>
          </w:tcPr>
          <w:p w14:paraId="06E08059">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eastAsia="zh-CN"/>
              </w:rPr>
            </w:pPr>
            <w:r>
              <w:rPr>
                <w:rFonts w:hint="eastAsia" w:ascii="方正书宋_GBK" w:eastAsia="方正书宋_GBK"/>
                <w:lang w:eastAsia="zh-CN"/>
              </w:rPr>
              <w:t>台</w:t>
            </w:r>
          </w:p>
        </w:tc>
        <w:tc>
          <w:tcPr>
            <w:tcW w:w="737" w:type="dxa"/>
            <w:vAlign w:val="center"/>
          </w:tcPr>
          <w:p w14:paraId="0EF42224">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1</w:t>
            </w:r>
          </w:p>
        </w:tc>
        <w:tc>
          <w:tcPr>
            <w:tcW w:w="951" w:type="dxa"/>
            <w:vAlign w:val="center"/>
          </w:tcPr>
          <w:p w14:paraId="246A1BA8">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0.20</w:t>
            </w:r>
          </w:p>
        </w:tc>
        <w:tc>
          <w:tcPr>
            <w:tcW w:w="957" w:type="dxa"/>
            <w:vAlign w:val="center"/>
          </w:tcPr>
          <w:p w14:paraId="4C67DE5E">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0.20</w:t>
            </w:r>
          </w:p>
        </w:tc>
        <w:tc>
          <w:tcPr>
            <w:tcW w:w="957" w:type="dxa"/>
            <w:vAlign w:val="center"/>
          </w:tcPr>
          <w:p w14:paraId="3510840D">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r>
              <w:rPr>
                <w:rFonts w:hint="eastAsia" w:ascii="方正书宋_GBK" w:eastAsia="方正书宋_GBK"/>
                <w:lang w:val="en-US" w:eastAsia="zh-CN"/>
              </w:rPr>
              <w:t>0.20</w:t>
            </w:r>
          </w:p>
        </w:tc>
        <w:tc>
          <w:tcPr>
            <w:tcW w:w="900" w:type="dxa"/>
            <w:vAlign w:val="center"/>
          </w:tcPr>
          <w:p w14:paraId="567BB2C4">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r>
              <w:rPr>
                <w:rFonts w:hint="eastAsia" w:ascii="方正书宋_GBK" w:eastAsia="方正书宋_GBK"/>
                <w:lang w:val="en-US" w:eastAsia="zh-CN"/>
              </w:rPr>
              <w:t>0.20</w:t>
            </w:r>
          </w:p>
        </w:tc>
        <w:tc>
          <w:tcPr>
            <w:tcW w:w="957" w:type="dxa"/>
            <w:vAlign w:val="center"/>
          </w:tcPr>
          <w:p w14:paraId="7306462D">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p>
        </w:tc>
        <w:tc>
          <w:tcPr>
            <w:tcW w:w="922" w:type="dxa"/>
            <w:vAlign w:val="center"/>
          </w:tcPr>
          <w:p w14:paraId="5E76ED4D">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p>
        </w:tc>
        <w:tc>
          <w:tcPr>
            <w:tcW w:w="941" w:type="dxa"/>
            <w:vAlign w:val="center"/>
          </w:tcPr>
          <w:p w14:paraId="01ABCA20">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p>
        </w:tc>
        <w:tc>
          <w:tcPr>
            <w:tcW w:w="899" w:type="dxa"/>
            <w:vAlign w:val="center"/>
          </w:tcPr>
          <w:p w14:paraId="7F32EC2A">
            <w:pPr>
              <w:keepNext w:val="0"/>
              <w:keepLines w:val="0"/>
              <w:pageBreakBefore w:val="0"/>
              <w:kinsoku/>
              <w:wordWrap/>
              <w:overflowPunct/>
              <w:topLinePunct w:val="0"/>
              <w:autoSpaceDE/>
              <w:autoSpaceDN/>
              <w:bidi w:val="0"/>
              <w:adjustRightInd w:val="0"/>
              <w:snapToGrid w:val="0"/>
              <w:spacing w:line="400" w:lineRule="exact"/>
              <w:jc w:val="right"/>
              <w:textAlignment w:val="auto"/>
              <w:rPr>
                <w:rFonts w:ascii="方正书宋_GBK" w:eastAsia="方正书宋_GBK"/>
              </w:rPr>
            </w:pPr>
          </w:p>
        </w:tc>
      </w:tr>
      <w:tr w14:paraId="5274BC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0" w:hRule="atLeast"/>
          <w:jc w:val="center"/>
        </w:trPr>
        <w:tc>
          <w:tcPr>
            <w:tcW w:w="2601" w:type="dxa"/>
            <w:vAlign w:val="center"/>
          </w:tcPr>
          <w:p w14:paraId="2381FBDD">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eastAsia="zh-CN"/>
              </w:rPr>
            </w:pPr>
            <w:r>
              <w:rPr>
                <w:rFonts w:hint="eastAsia" w:ascii="方正书宋_GBK" w:eastAsia="方正书宋_GBK"/>
                <w:lang w:eastAsia="zh-CN"/>
              </w:rPr>
              <w:t>开办经费资金</w:t>
            </w:r>
          </w:p>
        </w:tc>
        <w:tc>
          <w:tcPr>
            <w:tcW w:w="898" w:type="dxa"/>
            <w:vAlign w:val="center"/>
          </w:tcPr>
          <w:p w14:paraId="077EA3A1">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35</w:t>
            </w:r>
          </w:p>
        </w:tc>
        <w:tc>
          <w:tcPr>
            <w:tcW w:w="950" w:type="dxa"/>
            <w:vAlign w:val="center"/>
          </w:tcPr>
          <w:p w14:paraId="56101324">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eastAsia="zh-CN"/>
              </w:rPr>
            </w:pPr>
            <w:r>
              <w:rPr>
                <w:rFonts w:hint="eastAsia" w:ascii="方正书宋_GBK" w:eastAsia="方正书宋_GBK"/>
                <w:lang w:eastAsia="zh-CN"/>
              </w:rPr>
              <w:t>传真机</w:t>
            </w:r>
          </w:p>
        </w:tc>
        <w:tc>
          <w:tcPr>
            <w:tcW w:w="1161" w:type="dxa"/>
            <w:vAlign w:val="center"/>
          </w:tcPr>
          <w:p w14:paraId="7D846295">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r>
              <w:rPr>
                <w:rFonts w:hint="eastAsia" w:ascii="方正书宋_GBK" w:eastAsia="方正书宋_GBK"/>
              </w:rPr>
              <w:t>A02081001</w:t>
            </w:r>
          </w:p>
        </w:tc>
        <w:tc>
          <w:tcPr>
            <w:tcW w:w="737" w:type="dxa"/>
            <w:vAlign w:val="center"/>
          </w:tcPr>
          <w:p w14:paraId="0C7A39D3">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rPr>
            </w:pPr>
            <w:r>
              <w:rPr>
                <w:rFonts w:hint="eastAsia" w:ascii="方正书宋_GBK" w:eastAsia="方正书宋_GBK"/>
                <w:lang w:eastAsia="zh-CN"/>
              </w:rPr>
              <w:t>台</w:t>
            </w:r>
          </w:p>
        </w:tc>
        <w:tc>
          <w:tcPr>
            <w:tcW w:w="737" w:type="dxa"/>
            <w:vAlign w:val="center"/>
          </w:tcPr>
          <w:p w14:paraId="26041AE0">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1</w:t>
            </w:r>
          </w:p>
        </w:tc>
        <w:tc>
          <w:tcPr>
            <w:tcW w:w="951" w:type="dxa"/>
            <w:vAlign w:val="center"/>
          </w:tcPr>
          <w:p w14:paraId="07270D5E">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方正书宋_GBK" w:eastAsia="方正书宋_GBK"/>
                <w:lang w:val="en-US" w:eastAsia="zh-CN"/>
              </w:rPr>
            </w:pPr>
            <w:r>
              <w:rPr>
                <w:rFonts w:hint="eastAsia" w:ascii="方正书宋_GBK" w:eastAsia="方正书宋_GBK"/>
                <w:lang w:val="en-US" w:eastAsia="zh-CN"/>
              </w:rPr>
              <w:t>0.5</w:t>
            </w:r>
          </w:p>
        </w:tc>
        <w:tc>
          <w:tcPr>
            <w:tcW w:w="957" w:type="dxa"/>
            <w:vAlign w:val="center"/>
          </w:tcPr>
          <w:p w14:paraId="000ADAF1">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r>
              <w:rPr>
                <w:rFonts w:hint="eastAsia" w:ascii="方正书宋_GBK" w:eastAsia="方正书宋_GBK"/>
                <w:lang w:val="en-US" w:eastAsia="zh-CN"/>
              </w:rPr>
              <w:t>0.5</w:t>
            </w:r>
          </w:p>
        </w:tc>
        <w:tc>
          <w:tcPr>
            <w:tcW w:w="957" w:type="dxa"/>
            <w:vAlign w:val="center"/>
          </w:tcPr>
          <w:p w14:paraId="2CFB6F7B">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r>
              <w:rPr>
                <w:rFonts w:hint="eastAsia" w:ascii="方正书宋_GBK" w:eastAsia="方正书宋_GBK"/>
                <w:lang w:val="en-US" w:eastAsia="zh-CN"/>
              </w:rPr>
              <w:t>0.5</w:t>
            </w:r>
          </w:p>
        </w:tc>
        <w:tc>
          <w:tcPr>
            <w:tcW w:w="900" w:type="dxa"/>
            <w:vAlign w:val="center"/>
          </w:tcPr>
          <w:p w14:paraId="4DD4B028">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r>
              <w:rPr>
                <w:rFonts w:hint="eastAsia" w:ascii="方正书宋_GBK" w:eastAsia="方正书宋_GBK"/>
                <w:lang w:val="en-US" w:eastAsia="zh-CN"/>
              </w:rPr>
              <w:t>0.5</w:t>
            </w:r>
          </w:p>
        </w:tc>
        <w:tc>
          <w:tcPr>
            <w:tcW w:w="957" w:type="dxa"/>
            <w:vAlign w:val="center"/>
          </w:tcPr>
          <w:p w14:paraId="4749150B">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p>
        </w:tc>
        <w:tc>
          <w:tcPr>
            <w:tcW w:w="922" w:type="dxa"/>
            <w:vAlign w:val="center"/>
          </w:tcPr>
          <w:p w14:paraId="0463F253">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p>
        </w:tc>
        <w:tc>
          <w:tcPr>
            <w:tcW w:w="941" w:type="dxa"/>
            <w:vAlign w:val="center"/>
          </w:tcPr>
          <w:p w14:paraId="1E567658">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ascii="方正书宋_GBK" w:eastAsia="方正书宋_GBK"/>
              </w:rPr>
            </w:pPr>
          </w:p>
        </w:tc>
        <w:tc>
          <w:tcPr>
            <w:tcW w:w="899" w:type="dxa"/>
            <w:vAlign w:val="center"/>
          </w:tcPr>
          <w:p w14:paraId="3FECC294">
            <w:pPr>
              <w:keepNext w:val="0"/>
              <w:keepLines w:val="0"/>
              <w:pageBreakBefore w:val="0"/>
              <w:kinsoku/>
              <w:wordWrap/>
              <w:overflowPunct/>
              <w:topLinePunct w:val="0"/>
              <w:autoSpaceDE/>
              <w:autoSpaceDN/>
              <w:bidi w:val="0"/>
              <w:adjustRightInd w:val="0"/>
              <w:snapToGrid w:val="0"/>
              <w:spacing w:line="400" w:lineRule="exact"/>
              <w:jc w:val="right"/>
              <w:textAlignment w:val="auto"/>
              <w:rPr>
                <w:rFonts w:ascii="方正书宋_GBK" w:eastAsia="方正书宋_GBK"/>
              </w:rPr>
            </w:pPr>
          </w:p>
        </w:tc>
      </w:tr>
    </w:tbl>
    <w:p w14:paraId="1E7CD8FF">
      <w:pPr>
        <w:keepNext w:val="0"/>
        <w:keepLines w:val="0"/>
        <w:pageBreakBefore w:val="0"/>
        <w:kinsoku/>
        <w:wordWrap/>
        <w:overflowPunct/>
        <w:topLinePunct w:val="0"/>
        <w:autoSpaceDE w:val="0"/>
        <w:autoSpaceDN w:val="0"/>
        <w:bidi w:val="0"/>
        <w:adjustRightInd w:val="0"/>
        <w:snapToGrid w:val="0"/>
        <w:spacing w:line="500" w:lineRule="exact"/>
        <w:ind w:firstLine="640" w:firstLineChars="200"/>
        <w:jc w:val="left"/>
        <w:rPr>
          <w:rFonts w:ascii="Times New Roman" w:hAnsi="黑体" w:eastAsia="黑体" w:cs="Times New Roman"/>
          <w:sz w:val="32"/>
          <w:szCs w:val="32"/>
        </w:rPr>
      </w:pPr>
    </w:p>
    <w:p w14:paraId="1D1DD25D">
      <w:pPr>
        <w:keepNext w:val="0"/>
        <w:keepLines w:val="0"/>
        <w:pageBreakBefore w:val="0"/>
        <w:kinsoku/>
        <w:wordWrap/>
        <w:overflowPunct/>
        <w:topLinePunct w:val="0"/>
        <w:autoSpaceDE w:val="0"/>
        <w:autoSpaceDN w:val="0"/>
        <w:bidi w:val="0"/>
        <w:adjustRightInd w:val="0"/>
        <w:snapToGrid w:val="0"/>
        <w:spacing w:line="500"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七、国有资产信息</w:t>
      </w:r>
    </w:p>
    <w:p w14:paraId="61512CB2">
      <w:pPr>
        <w:keepNext w:val="0"/>
        <w:keepLines w:val="0"/>
        <w:pageBreakBefore w:val="0"/>
        <w:kinsoku/>
        <w:wordWrap/>
        <w:overflowPunct/>
        <w:topLinePunct w:val="0"/>
        <w:bidi w:val="0"/>
        <w:adjustRightInd w:val="0"/>
        <w:snapToGrid w:val="0"/>
        <w:spacing w:line="50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廊坊市邮政业安全中心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含所属单位）上年末固定资产金额为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万元。本年度我部门拟购置固定资产</w:t>
      </w:r>
      <w:r>
        <w:rPr>
          <w:rFonts w:hint="eastAsia" w:ascii="Times New Roman" w:hAnsi="Times New Roman" w:eastAsia="仿宋_GB2312" w:cs="Times New Roman"/>
          <w:sz w:val="32"/>
          <w:szCs w:val="32"/>
        </w:rPr>
        <w:t>共计</w:t>
      </w:r>
      <w:r>
        <w:rPr>
          <w:rFonts w:hint="eastAsia" w:ascii="Times New Roman" w:hAnsi="Times New Roman" w:eastAsia="仿宋_GB2312" w:cs="Times New Roman"/>
          <w:sz w:val="32"/>
          <w:szCs w:val="32"/>
          <w:lang w:val="en-US" w:eastAsia="zh-CN"/>
        </w:rPr>
        <w:t>8.2</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，主要为计算机设备、打印设备等</w:t>
      </w:r>
      <w:r>
        <w:rPr>
          <w:rFonts w:hint="eastAsia" w:ascii="Times New Roman" w:hAnsi="Times New Roman" w:eastAsia="仿宋_GB2312" w:cs="Times New Roman"/>
          <w:sz w:val="32"/>
          <w:szCs w:val="32"/>
          <w:lang w:eastAsia="zh-CN"/>
        </w:rPr>
        <w:t>办公</w:t>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w:t>
      </w:r>
      <w:r>
        <w:rPr>
          <w:rFonts w:hint="eastAsia" w:ascii="Times New Roman" w:hAnsi="Times New Roman" w:eastAsia="仿宋_GB2312" w:cs="Times New Roman"/>
          <w:sz w:val="32"/>
          <w:szCs w:val="32"/>
          <w:lang w:eastAsia="zh-CN"/>
        </w:rPr>
        <w:t>情况表</w:t>
      </w:r>
      <w:r>
        <w:rPr>
          <w:rFonts w:ascii="Times New Roman" w:hAnsi="Times New Roman" w:eastAsia="仿宋_GB2312" w:cs="Times New Roman"/>
          <w:sz w:val="32"/>
          <w:szCs w:val="32"/>
        </w:rPr>
        <w:t>。</w:t>
      </w:r>
    </w:p>
    <w:p w14:paraId="13F418BD">
      <w:pPr>
        <w:keepNext w:val="0"/>
        <w:keepLines w:val="0"/>
        <w:pageBreakBefore w:val="0"/>
        <w:kinsoku/>
        <w:wordWrap/>
        <w:overflowPunct/>
        <w:topLinePunct w:val="0"/>
        <w:autoSpaceDE w:val="0"/>
        <w:autoSpaceDN w:val="0"/>
        <w:bidi w:val="0"/>
        <w:adjustRightInd w:val="0"/>
        <w:snapToGrid w:val="0"/>
        <w:spacing w:line="500"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八、名词解释</w:t>
      </w:r>
    </w:p>
    <w:p w14:paraId="40F71C26">
      <w:pPr>
        <w:keepNext w:val="0"/>
        <w:keepLines w:val="0"/>
        <w:pageBreakBefore w:val="0"/>
        <w:tabs>
          <w:tab w:val="left" w:pos="11490"/>
        </w:tabs>
        <w:kinsoku/>
        <w:wordWrap/>
        <w:overflowPunct/>
        <w:topLinePunct w:val="0"/>
        <w:bidi w:val="0"/>
        <w:adjustRightInd w:val="0"/>
        <w:snapToGrid w:val="0"/>
        <w:spacing w:line="5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级财政当年拨付的资金。</w:t>
      </w:r>
    </w:p>
    <w:p w14:paraId="280CC686">
      <w:pPr>
        <w:keepNext w:val="0"/>
        <w:keepLines w:val="0"/>
        <w:pageBreakBefore w:val="0"/>
        <w:tabs>
          <w:tab w:val="left" w:pos="11490"/>
        </w:tabs>
        <w:kinsoku/>
        <w:wordWrap/>
        <w:overflowPunct/>
        <w:topLinePunct w:val="0"/>
        <w:bidi w:val="0"/>
        <w:adjustRightInd w:val="0"/>
        <w:snapToGrid w:val="0"/>
        <w:spacing w:line="5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45641ADD">
      <w:pPr>
        <w:keepNext w:val="0"/>
        <w:keepLines w:val="0"/>
        <w:pageBreakBefore w:val="0"/>
        <w:tabs>
          <w:tab w:val="left" w:pos="11490"/>
        </w:tabs>
        <w:kinsoku/>
        <w:wordWrap/>
        <w:overflowPunct/>
        <w:topLinePunct w:val="0"/>
        <w:bidi w:val="0"/>
        <w:adjustRightInd w:val="0"/>
        <w:snapToGrid w:val="0"/>
        <w:spacing w:line="500"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1DF9CA6C">
      <w:pPr>
        <w:keepNext w:val="0"/>
        <w:keepLines w:val="0"/>
        <w:pageBreakBefore w:val="0"/>
        <w:tabs>
          <w:tab w:val="left" w:pos="11490"/>
        </w:tabs>
        <w:kinsoku/>
        <w:wordWrap/>
        <w:overflowPunct/>
        <w:topLinePunct w:val="0"/>
        <w:bidi w:val="0"/>
        <w:adjustRightInd w:val="0"/>
        <w:snapToGrid w:val="0"/>
        <w:spacing w:line="5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7A1DBB0F">
      <w:pPr>
        <w:keepNext w:val="0"/>
        <w:keepLines w:val="0"/>
        <w:pageBreakBefore w:val="0"/>
        <w:tabs>
          <w:tab w:val="left" w:pos="11490"/>
        </w:tabs>
        <w:kinsoku/>
        <w:wordWrap/>
        <w:overflowPunct/>
        <w:topLinePunct w:val="0"/>
        <w:bidi w:val="0"/>
        <w:adjustRightInd w:val="0"/>
        <w:snapToGrid w:val="0"/>
        <w:spacing w:line="5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17FE482B">
      <w:pPr>
        <w:keepNext w:val="0"/>
        <w:keepLines w:val="0"/>
        <w:pageBreakBefore w:val="0"/>
        <w:tabs>
          <w:tab w:val="left" w:pos="11490"/>
        </w:tabs>
        <w:kinsoku/>
        <w:wordWrap/>
        <w:overflowPunct/>
        <w:topLinePunct w:val="0"/>
        <w:bidi w:val="0"/>
        <w:adjustRightInd w:val="0"/>
        <w:snapToGrid w:val="0"/>
        <w:spacing w:line="5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1B1714F5">
      <w:pPr>
        <w:keepNext w:val="0"/>
        <w:keepLines w:val="0"/>
        <w:pageBreakBefore w:val="0"/>
        <w:tabs>
          <w:tab w:val="left" w:pos="11490"/>
        </w:tabs>
        <w:kinsoku/>
        <w:wordWrap/>
        <w:overflowPunct/>
        <w:topLinePunct w:val="0"/>
        <w:bidi w:val="0"/>
        <w:adjustRightInd w:val="0"/>
        <w:snapToGrid w:val="0"/>
        <w:spacing w:line="5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级财政预算管理的“三公”经费，是指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7A2006D7">
      <w:pPr>
        <w:keepNext w:val="0"/>
        <w:keepLines w:val="0"/>
        <w:pageBreakBefore w:val="0"/>
        <w:tabs>
          <w:tab w:val="left" w:pos="11490"/>
        </w:tabs>
        <w:kinsoku/>
        <w:wordWrap/>
        <w:overflowPunct/>
        <w:topLinePunct w:val="0"/>
        <w:bidi w:val="0"/>
        <w:adjustRightInd w:val="0"/>
        <w:snapToGrid w:val="0"/>
        <w:spacing w:line="5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E236083">
      <w:pPr>
        <w:keepNext w:val="0"/>
        <w:keepLines w:val="0"/>
        <w:pageBreakBefore w:val="0"/>
        <w:tabs>
          <w:tab w:val="left" w:pos="11490"/>
        </w:tabs>
        <w:kinsoku/>
        <w:wordWrap/>
        <w:overflowPunct/>
        <w:topLinePunct w:val="0"/>
        <w:bidi w:val="0"/>
        <w:adjustRightInd w:val="0"/>
        <w:snapToGrid w:val="0"/>
        <w:spacing w:line="5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4BBAE866">
      <w:pPr>
        <w:keepNext w:val="0"/>
        <w:keepLines w:val="0"/>
        <w:pageBreakBefore w:val="0"/>
        <w:tabs>
          <w:tab w:val="left" w:pos="11490"/>
        </w:tabs>
        <w:kinsoku/>
        <w:wordWrap/>
        <w:overflowPunct/>
        <w:topLinePunct w:val="0"/>
        <w:bidi w:val="0"/>
        <w:adjustRightInd w:val="0"/>
        <w:snapToGrid w:val="0"/>
        <w:spacing w:line="5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4A464AE6">
      <w:pPr>
        <w:keepNext w:val="0"/>
        <w:keepLines w:val="0"/>
        <w:pageBreakBefore w:val="0"/>
        <w:kinsoku/>
        <w:wordWrap/>
        <w:overflowPunct/>
        <w:topLinePunct w:val="0"/>
        <w:autoSpaceDE w:val="0"/>
        <w:autoSpaceDN w:val="0"/>
        <w:bidi w:val="0"/>
        <w:adjustRightInd w:val="0"/>
        <w:snapToGrid w:val="0"/>
        <w:spacing w:line="500"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九、其他需要说明的事项</w:t>
      </w:r>
    </w:p>
    <w:p w14:paraId="6588D2D8">
      <w:pPr>
        <w:keepNext w:val="0"/>
        <w:keepLines w:val="0"/>
        <w:pageBreakBefore w:val="0"/>
        <w:kinsoku/>
        <w:wordWrap/>
        <w:overflowPunct/>
        <w:topLinePunct w:val="0"/>
        <w:bidi w:val="0"/>
        <w:adjustRightInd w:val="0"/>
        <w:snapToGrid w:val="0"/>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sectPr>
      <w:footerReference r:id="rId3" w:type="default"/>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altName w:val="宋体"/>
    <w:panose1 w:val="00000000000000000000"/>
    <w:charset w:val="86"/>
    <w:family w:val="roman"/>
    <w:pitch w:val="default"/>
    <w:sig w:usb0="00000000" w:usb1="00000000" w:usb2="00000000" w:usb3="00000000" w:csb0="00040001" w:csb1="00000000"/>
  </w:font>
  <w:font w:name="方正小标宋_GBK">
    <w:altName w:val="宋体"/>
    <w:panose1 w:val="00000000000000000000"/>
    <w:charset w:val="86"/>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4349198"/>
      <w:docPartObj>
        <w:docPartGallery w:val="autotext"/>
      </w:docPartObj>
    </w:sdtPr>
    <w:sdtContent>
      <w:p w14:paraId="4E84318D">
        <w:pPr>
          <w:pStyle w:val="3"/>
          <w:jc w:val="center"/>
        </w:pPr>
        <w:r>
          <w:rPr>
            <w:rFonts w:hint="eastAsia"/>
          </w:rPr>
          <w:t>-</w:t>
        </w:r>
        <w:r>
          <w:fldChar w:fldCharType="begin"/>
        </w:r>
        <w:r>
          <w:instrText xml:space="preserve">PAGE   \* MERGEFORMAT</w:instrText>
        </w:r>
        <w:r>
          <w:fldChar w:fldCharType="separate"/>
        </w:r>
        <w:r>
          <w:rPr>
            <w:lang w:val="zh-CN"/>
          </w:rPr>
          <w:t>10</w:t>
        </w:r>
        <w:r>
          <w:rPr>
            <w:lang w:val="zh-CN"/>
          </w:rPr>
          <w:fldChar w:fldCharType="end"/>
        </w:r>
        <w:r>
          <w:rPr>
            <w:rFonts w:hint="eastAsia"/>
          </w:rPr>
          <w:t>-</w:t>
        </w:r>
      </w:p>
    </w:sdtContent>
  </w:sdt>
  <w:p w14:paraId="01452541">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2AF160"/>
    <w:multiLevelType w:val="singleLevel"/>
    <w:tmpl w:val="242AF16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66032"/>
    <w:rsid w:val="000053CC"/>
    <w:rsid w:val="00010564"/>
    <w:rsid w:val="00037AF6"/>
    <w:rsid w:val="000410F2"/>
    <w:rsid w:val="0004565F"/>
    <w:rsid w:val="00072187"/>
    <w:rsid w:val="00075D5F"/>
    <w:rsid w:val="0008180F"/>
    <w:rsid w:val="00093DA3"/>
    <w:rsid w:val="000A125B"/>
    <w:rsid w:val="000B529B"/>
    <w:rsid w:val="000C24E6"/>
    <w:rsid w:val="000C345A"/>
    <w:rsid w:val="000C3A19"/>
    <w:rsid w:val="000E4305"/>
    <w:rsid w:val="000F0D09"/>
    <w:rsid w:val="001245BB"/>
    <w:rsid w:val="001251A3"/>
    <w:rsid w:val="0015229A"/>
    <w:rsid w:val="00160266"/>
    <w:rsid w:val="001643E8"/>
    <w:rsid w:val="00176C13"/>
    <w:rsid w:val="001919C4"/>
    <w:rsid w:val="0019723B"/>
    <w:rsid w:val="001A0943"/>
    <w:rsid w:val="001A5828"/>
    <w:rsid w:val="001A6226"/>
    <w:rsid w:val="001B5C1D"/>
    <w:rsid w:val="001E0757"/>
    <w:rsid w:val="001E6DDC"/>
    <w:rsid w:val="001E70E9"/>
    <w:rsid w:val="001F5C92"/>
    <w:rsid w:val="001F7873"/>
    <w:rsid w:val="00230E48"/>
    <w:rsid w:val="00241FD4"/>
    <w:rsid w:val="00246317"/>
    <w:rsid w:val="00251B12"/>
    <w:rsid w:val="00265318"/>
    <w:rsid w:val="00266BE3"/>
    <w:rsid w:val="002740C2"/>
    <w:rsid w:val="002835D7"/>
    <w:rsid w:val="00290FD6"/>
    <w:rsid w:val="00293364"/>
    <w:rsid w:val="00296113"/>
    <w:rsid w:val="002A673A"/>
    <w:rsid w:val="002C5E13"/>
    <w:rsid w:val="002C62BC"/>
    <w:rsid w:val="002E0449"/>
    <w:rsid w:val="002E0EB8"/>
    <w:rsid w:val="002F3E58"/>
    <w:rsid w:val="0030542C"/>
    <w:rsid w:val="00311B7A"/>
    <w:rsid w:val="003126B6"/>
    <w:rsid w:val="00313D9C"/>
    <w:rsid w:val="00325215"/>
    <w:rsid w:val="0033339C"/>
    <w:rsid w:val="00340B53"/>
    <w:rsid w:val="0035775D"/>
    <w:rsid w:val="0036086E"/>
    <w:rsid w:val="003874EF"/>
    <w:rsid w:val="003B6D37"/>
    <w:rsid w:val="003C7F80"/>
    <w:rsid w:val="00414BD3"/>
    <w:rsid w:val="00424943"/>
    <w:rsid w:val="0042727E"/>
    <w:rsid w:val="0043175C"/>
    <w:rsid w:val="00437296"/>
    <w:rsid w:val="00451590"/>
    <w:rsid w:val="00451871"/>
    <w:rsid w:val="004706DE"/>
    <w:rsid w:val="00472923"/>
    <w:rsid w:val="00486DCD"/>
    <w:rsid w:val="0049120C"/>
    <w:rsid w:val="004B0C3A"/>
    <w:rsid w:val="004C49A8"/>
    <w:rsid w:val="004D5788"/>
    <w:rsid w:val="004E3066"/>
    <w:rsid w:val="004E419C"/>
    <w:rsid w:val="004E74CD"/>
    <w:rsid w:val="004F05E7"/>
    <w:rsid w:val="00524EFD"/>
    <w:rsid w:val="00572067"/>
    <w:rsid w:val="00573562"/>
    <w:rsid w:val="00590ECE"/>
    <w:rsid w:val="00591131"/>
    <w:rsid w:val="005B3F56"/>
    <w:rsid w:val="005C0E90"/>
    <w:rsid w:val="005D0C27"/>
    <w:rsid w:val="005D37CA"/>
    <w:rsid w:val="005F5714"/>
    <w:rsid w:val="005F7AE1"/>
    <w:rsid w:val="00600299"/>
    <w:rsid w:val="00611D03"/>
    <w:rsid w:val="00614A29"/>
    <w:rsid w:val="00636109"/>
    <w:rsid w:val="00651BA2"/>
    <w:rsid w:val="00673D76"/>
    <w:rsid w:val="006854F0"/>
    <w:rsid w:val="006B1C4A"/>
    <w:rsid w:val="006B610D"/>
    <w:rsid w:val="006C206A"/>
    <w:rsid w:val="006C5E77"/>
    <w:rsid w:val="006E49F5"/>
    <w:rsid w:val="007013C8"/>
    <w:rsid w:val="00727C84"/>
    <w:rsid w:val="0074338E"/>
    <w:rsid w:val="0075008C"/>
    <w:rsid w:val="00753836"/>
    <w:rsid w:val="0075393C"/>
    <w:rsid w:val="00754592"/>
    <w:rsid w:val="00776C08"/>
    <w:rsid w:val="007928BD"/>
    <w:rsid w:val="007B154A"/>
    <w:rsid w:val="007B49AA"/>
    <w:rsid w:val="007C219A"/>
    <w:rsid w:val="007E1DA8"/>
    <w:rsid w:val="007F0BFC"/>
    <w:rsid w:val="007F1335"/>
    <w:rsid w:val="007F6C26"/>
    <w:rsid w:val="00800B4F"/>
    <w:rsid w:val="00800F72"/>
    <w:rsid w:val="00811795"/>
    <w:rsid w:val="00813208"/>
    <w:rsid w:val="00815157"/>
    <w:rsid w:val="0083348E"/>
    <w:rsid w:val="008334AE"/>
    <w:rsid w:val="00836FED"/>
    <w:rsid w:val="0083724E"/>
    <w:rsid w:val="00841D53"/>
    <w:rsid w:val="00845CD2"/>
    <w:rsid w:val="00852B0D"/>
    <w:rsid w:val="0085425A"/>
    <w:rsid w:val="00862CE4"/>
    <w:rsid w:val="00864B7F"/>
    <w:rsid w:val="00881692"/>
    <w:rsid w:val="00882539"/>
    <w:rsid w:val="008839D6"/>
    <w:rsid w:val="008858FF"/>
    <w:rsid w:val="008A6576"/>
    <w:rsid w:val="008B3CC5"/>
    <w:rsid w:val="008B52CD"/>
    <w:rsid w:val="008C7C4D"/>
    <w:rsid w:val="008E4261"/>
    <w:rsid w:val="008E70D4"/>
    <w:rsid w:val="008F4662"/>
    <w:rsid w:val="0090563F"/>
    <w:rsid w:val="00905D08"/>
    <w:rsid w:val="00906672"/>
    <w:rsid w:val="00925753"/>
    <w:rsid w:val="00937F8B"/>
    <w:rsid w:val="009425F4"/>
    <w:rsid w:val="00943BD8"/>
    <w:rsid w:val="00954B2C"/>
    <w:rsid w:val="00966C5C"/>
    <w:rsid w:val="00973104"/>
    <w:rsid w:val="009842F6"/>
    <w:rsid w:val="00995BF0"/>
    <w:rsid w:val="009A16D5"/>
    <w:rsid w:val="009A353D"/>
    <w:rsid w:val="009B0B77"/>
    <w:rsid w:val="009B511E"/>
    <w:rsid w:val="009B5215"/>
    <w:rsid w:val="009C6C86"/>
    <w:rsid w:val="009D37D3"/>
    <w:rsid w:val="00A06C2B"/>
    <w:rsid w:val="00A16E6C"/>
    <w:rsid w:val="00A36F96"/>
    <w:rsid w:val="00A40F60"/>
    <w:rsid w:val="00A44E3D"/>
    <w:rsid w:val="00A72D2E"/>
    <w:rsid w:val="00A74447"/>
    <w:rsid w:val="00A74CE5"/>
    <w:rsid w:val="00A77500"/>
    <w:rsid w:val="00A8536F"/>
    <w:rsid w:val="00A911E7"/>
    <w:rsid w:val="00A939D9"/>
    <w:rsid w:val="00AB77AA"/>
    <w:rsid w:val="00AC4748"/>
    <w:rsid w:val="00AD5259"/>
    <w:rsid w:val="00B01D36"/>
    <w:rsid w:val="00B078CD"/>
    <w:rsid w:val="00B20712"/>
    <w:rsid w:val="00B43238"/>
    <w:rsid w:val="00B45DD3"/>
    <w:rsid w:val="00B54B90"/>
    <w:rsid w:val="00B64D40"/>
    <w:rsid w:val="00B64FA8"/>
    <w:rsid w:val="00B73582"/>
    <w:rsid w:val="00B75216"/>
    <w:rsid w:val="00B755A2"/>
    <w:rsid w:val="00B9104C"/>
    <w:rsid w:val="00B91D52"/>
    <w:rsid w:val="00B9490F"/>
    <w:rsid w:val="00BA1ACD"/>
    <w:rsid w:val="00BD09F8"/>
    <w:rsid w:val="00C005B2"/>
    <w:rsid w:val="00C1565C"/>
    <w:rsid w:val="00C21E0F"/>
    <w:rsid w:val="00C362CA"/>
    <w:rsid w:val="00C732BF"/>
    <w:rsid w:val="00C772C1"/>
    <w:rsid w:val="00CA7176"/>
    <w:rsid w:val="00CB51D7"/>
    <w:rsid w:val="00CC75B0"/>
    <w:rsid w:val="00CC7B84"/>
    <w:rsid w:val="00CD2773"/>
    <w:rsid w:val="00CE01BA"/>
    <w:rsid w:val="00CE143B"/>
    <w:rsid w:val="00CE3A91"/>
    <w:rsid w:val="00CE75EF"/>
    <w:rsid w:val="00D07DBA"/>
    <w:rsid w:val="00D23C16"/>
    <w:rsid w:val="00D27003"/>
    <w:rsid w:val="00D324AD"/>
    <w:rsid w:val="00D80DCC"/>
    <w:rsid w:val="00D9307A"/>
    <w:rsid w:val="00DA76CB"/>
    <w:rsid w:val="00DB4322"/>
    <w:rsid w:val="00DD1D0C"/>
    <w:rsid w:val="00DE186D"/>
    <w:rsid w:val="00E10D6F"/>
    <w:rsid w:val="00E167C7"/>
    <w:rsid w:val="00E32E4D"/>
    <w:rsid w:val="00E5467E"/>
    <w:rsid w:val="00E55B78"/>
    <w:rsid w:val="00E76361"/>
    <w:rsid w:val="00E84020"/>
    <w:rsid w:val="00E906B2"/>
    <w:rsid w:val="00EB7A80"/>
    <w:rsid w:val="00EC47F6"/>
    <w:rsid w:val="00EE6D6D"/>
    <w:rsid w:val="00EF08C9"/>
    <w:rsid w:val="00EF535E"/>
    <w:rsid w:val="00F471F7"/>
    <w:rsid w:val="00F66032"/>
    <w:rsid w:val="00F83B96"/>
    <w:rsid w:val="00F8441D"/>
    <w:rsid w:val="00F87C1E"/>
    <w:rsid w:val="00F958C2"/>
    <w:rsid w:val="00FA740E"/>
    <w:rsid w:val="00FC06C7"/>
    <w:rsid w:val="00FD5DB4"/>
    <w:rsid w:val="00FD676E"/>
    <w:rsid w:val="00FE1724"/>
    <w:rsid w:val="00FE5FBF"/>
    <w:rsid w:val="00FE753C"/>
    <w:rsid w:val="00FF2346"/>
    <w:rsid w:val="017507E3"/>
    <w:rsid w:val="01F1288D"/>
    <w:rsid w:val="03084E4F"/>
    <w:rsid w:val="06EE31D2"/>
    <w:rsid w:val="08587D84"/>
    <w:rsid w:val="08BB1481"/>
    <w:rsid w:val="0B7F4ED5"/>
    <w:rsid w:val="113A1A59"/>
    <w:rsid w:val="14EF30D4"/>
    <w:rsid w:val="162F4185"/>
    <w:rsid w:val="1950788F"/>
    <w:rsid w:val="1BCE67C4"/>
    <w:rsid w:val="22FA39F2"/>
    <w:rsid w:val="23B040C9"/>
    <w:rsid w:val="285115AF"/>
    <w:rsid w:val="298C3450"/>
    <w:rsid w:val="2A466AE4"/>
    <w:rsid w:val="2E124418"/>
    <w:rsid w:val="30964ABD"/>
    <w:rsid w:val="30B0330D"/>
    <w:rsid w:val="30B54966"/>
    <w:rsid w:val="3585294F"/>
    <w:rsid w:val="35AF0733"/>
    <w:rsid w:val="36E64A31"/>
    <w:rsid w:val="37075F2B"/>
    <w:rsid w:val="3C5B7F14"/>
    <w:rsid w:val="40346855"/>
    <w:rsid w:val="464429E5"/>
    <w:rsid w:val="48A554A5"/>
    <w:rsid w:val="48EC6524"/>
    <w:rsid w:val="4CAA436F"/>
    <w:rsid w:val="56E11F3C"/>
    <w:rsid w:val="5C315721"/>
    <w:rsid w:val="5E0C270B"/>
    <w:rsid w:val="5F5D711F"/>
    <w:rsid w:val="61532960"/>
    <w:rsid w:val="62DD31ED"/>
    <w:rsid w:val="642F05FE"/>
    <w:rsid w:val="64A05FCA"/>
    <w:rsid w:val="66551A67"/>
    <w:rsid w:val="66566BD2"/>
    <w:rsid w:val="686172EE"/>
    <w:rsid w:val="69743EC7"/>
    <w:rsid w:val="6D3562FF"/>
    <w:rsid w:val="6E394A05"/>
    <w:rsid w:val="7360655F"/>
    <w:rsid w:val="747D3342"/>
    <w:rsid w:val="758956D2"/>
    <w:rsid w:val="779471BF"/>
    <w:rsid w:val="78F701F9"/>
    <w:rsid w:val="793B2EBA"/>
    <w:rsid w:val="7E3321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toc 1"/>
    <w:basedOn w:val="1"/>
    <w:next w:val="1"/>
    <w:qFormat/>
    <w:uiPriority w:val="39"/>
    <w:rPr>
      <w:rFonts w:ascii="Times New Roman" w:hAnsi="Times New Roman" w:eastAsia="宋体" w:cs="Times New Roman"/>
      <w:szCs w:val="24"/>
    </w:rPr>
  </w:style>
  <w:style w:type="paragraph" w:styleId="6">
    <w:name w:val="footnote text"/>
    <w:basedOn w:val="1"/>
    <w:link w:val="15"/>
    <w:semiHidden/>
    <w:unhideWhenUsed/>
    <w:qFormat/>
    <w:uiPriority w:val="99"/>
    <w:pPr>
      <w:snapToGrid w:val="0"/>
      <w:jc w:val="left"/>
    </w:pPr>
    <w:rPr>
      <w:rFonts w:ascii="Calibri" w:hAnsi="Calibri" w:eastAsia="宋体" w:cs="Times New Roman"/>
      <w:sz w:val="18"/>
      <w:szCs w:val="18"/>
    </w:rPr>
  </w:style>
  <w:style w:type="paragraph" w:styleId="7">
    <w:name w:val="toc 2"/>
    <w:basedOn w:val="1"/>
    <w:next w:val="1"/>
    <w:qFormat/>
    <w:uiPriority w:val="39"/>
    <w:pPr>
      <w:ind w:left="420" w:leftChars="200"/>
    </w:pPr>
    <w:rPr>
      <w:rFonts w:ascii="Times New Roman" w:hAnsi="Times New Roman" w:eastAsia="宋体" w:cs="Times New Roman"/>
      <w:szCs w:val="24"/>
    </w:rPr>
  </w:style>
  <w:style w:type="character" w:styleId="10">
    <w:name w:val="footnote reference"/>
    <w:semiHidden/>
    <w:unhideWhenUsed/>
    <w:qFormat/>
    <w:uiPriority w:val="99"/>
    <w:rPr>
      <w:vertAlign w:val="superscript"/>
    </w:rPr>
  </w:style>
  <w:style w:type="character" w:customStyle="1" w:styleId="11">
    <w:name w:val="页眉 Char"/>
    <w:basedOn w:val="9"/>
    <w:link w:val="4"/>
    <w:qFormat/>
    <w:uiPriority w:val="99"/>
    <w:rPr>
      <w:rFonts w:ascii="Times New Roman" w:hAnsi="Times New Roman" w:eastAsia="宋体" w:cs="Times New Roman"/>
      <w:sz w:val="18"/>
      <w:szCs w:val="18"/>
    </w:rPr>
  </w:style>
  <w:style w:type="character" w:customStyle="1" w:styleId="12">
    <w:name w:val="页脚 Char"/>
    <w:basedOn w:val="9"/>
    <w:link w:val="3"/>
    <w:qFormat/>
    <w:uiPriority w:val="99"/>
    <w:rPr>
      <w:rFonts w:ascii="Times New Roman" w:hAnsi="Times New Roman" w:eastAsia="宋体" w:cs="Times New Roman"/>
      <w:sz w:val="18"/>
      <w:szCs w:val="18"/>
    </w:rPr>
  </w:style>
  <w:style w:type="character" w:customStyle="1" w:styleId="13">
    <w:name w:val="批注框文本 Char"/>
    <w:basedOn w:val="9"/>
    <w:link w:val="2"/>
    <w:semiHidden/>
    <w:qFormat/>
    <w:uiPriority w:val="99"/>
    <w:rPr>
      <w:sz w:val="18"/>
      <w:szCs w:val="18"/>
    </w:rPr>
  </w:style>
  <w:style w:type="paragraph" w:customStyle="1" w:styleId="14">
    <w:name w:val="Default"/>
    <w:qForma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 w:type="character" w:customStyle="1" w:styleId="15">
    <w:name w:val="脚注文本 Char"/>
    <w:basedOn w:val="9"/>
    <w:link w:val="6"/>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51300-69A4-4F9B-B3F4-4D128046F08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1738</Words>
  <Characters>1818</Characters>
  <Lines>47</Lines>
  <Paragraphs>13</Paragraphs>
  <TotalTime>2</TotalTime>
  <ScaleCrop>false</ScaleCrop>
  <LinksUpToDate>false</LinksUpToDate>
  <CharactersWithSpaces>1821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2019-01-16T09:51:00Z</dcterms:created>
  <dc:creator>guest</dc:creator>
  <cp:lastModifiedBy>BianL</cp:lastModifiedBy>
  <cp:lastPrinted>2018-01-30T06:12:00Z</cp:lastPrinted>
  <dcterms:modified xsi:type="dcterms:W3CDTF">2019-02-06T03:12:34Z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BF5ECFD911EA4DE8A0EBFEDD6878EF88</vt:lpwstr>
  </property>
  <property fmtid="{D5CDD505-2E9C-101B-9397-08002B2CF9AE}" pid="4" name="KSOTemplateDocerSaveRecord">
    <vt:lpwstr>eyJoZGlkIjoiOTY1NDE1NDI3YWU5MWQ5YTlkN2Q3ZjQyZmM0N2I3ZDEifQ==</vt:lpwstr>
  </property>
</Properties>
</file>