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AD49B">
      <w:pPr>
        <w:spacing w:before="0" w:after="0" w:line="240" w:lineRule="auto"/>
        <w:ind w:firstLine="0"/>
        <w:jc w:val="center"/>
        <w:outlineLvl w:val="4"/>
        <w:rPr>
          <w:rFonts w:hint="eastAsia" w:ascii="方正小标宋简体" w:hAnsi="方正小标宋简体" w:eastAsia="方正小标宋简体" w:cs="方正小标宋简体"/>
          <w:b w:val="0"/>
          <w:color w:val="000000"/>
          <w:sz w:val="44"/>
          <w:szCs w:val="44"/>
        </w:rPr>
      </w:pPr>
      <w:r>
        <w:rPr>
          <w:rFonts w:hint="eastAsia" w:ascii="方正小标宋简体" w:hAnsi="方正小标宋简体" w:eastAsia="方正小标宋简体" w:cs="方正小标宋简体"/>
          <w:b w:val="0"/>
          <w:color w:val="000000"/>
          <w:sz w:val="44"/>
          <w:szCs w:val="44"/>
        </w:rPr>
        <w:t>中共廊坊市委网络安全和信息化委员会办公室本级</w:t>
      </w:r>
    </w:p>
    <w:p w14:paraId="26FD3466">
      <w:pPr>
        <w:spacing w:before="0" w:after="0" w:line="240" w:lineRule="auto"/>
        <w:ind w:firstLine="0"/>
        <w:jc w:val="center"/>
        <w:outlineLvl w:val="4"/>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color w:val="000000"/>
          <w:sz w:val="44"/>
          <w:szCs w:val="44"/>
        </w:rPr>
        <w:t>2023年单位预算信息公开情况说明</w:t>
      </w:r>
    </w:p>
    <w:p w14:paraId="4BBF8187">
      <w:pPr>
        <w:spacing w:line="500" w:lineRule="exact"/>
        <w:ind w:firstLine="560"/>
      </w:pPr>
      <w:r>
        <w:rPr>
          <w:rFonts w:eastAsia="方正仿宋_GBK"/>
          <w:color w:val="000000"/>
          <w:sz w:val="28"/>
        </w:rPr>
        <w:t>按照《预算法》、《地方预决算公开操作规程》和《关于进一步推进预算公开工作的实施意见》规定，现将中共廊坊市委网络安全和信息化委员会办公室</w:t>
      </w:r>
      <w:r>
        <w:rPr>
          <w:rFonts w:hint="eastAsia" w:eastAsia="方正仿宋_GBK"/>
          <w:color w:val="000000"/>
          <w:sz w:val="28"/>
          <w:lang w:eastAsia="zh-CN"/>
        </w:rPr>
        <w:t>本级</w:t>
      </w:r>
      <w:r>
        <w:rPr>
          <w:rFonts w:eastAsia="方正仿宋_GBK"/>
          <w:color w:val="000000"/>
          <w:sz w:val="28"/>
        </w:rPr>
        <w:t>202</w:t>
      </w:r>
      <w:r>
        <w:rPr>
          <w:rFonts w:hint="default" w:eastAsia="方正仿宋_GBK"/>
          <w:color w:val="000000"/>
          <w:sz w:val="28"/>
          <w:lang w:val="en"/>
        </w:rPr>
        <w:t>3</w:t>
      </w:r>
      <w:r>
        <w:rPr>
          <w:rFonts w:eastAsia="方正仿宋_GBK"/>
          <w:color w:val="000000"/>
          <w:sz w:val="28"/>
        </w:rPr>
        <w:t>年</w:t>
      </w:r>
      <w:r>
        <w:rPr>
          <w:rFonts w:hint="eastAsia" w:eastAsia="方正仿宋_GBK"/>
          <w:color w:val="000000"/>
          <w:sz w:val="28"/>
          <w:lang w:eastAsia="zh-CN"/>
        </w:rPr>
        <w:t>单位</w:t>
      </w:r>
      <w:r>
        <w:rPr>
          <w:rFonts w:eastAsia="方正仿宋_GBK"/>
          <w:color w:val="000000"/>
          <w:sz w:val="28"/>
        </w:rPr>
        <w:t>预算公开如下：</w:t>
      </w:r>
    </w:p>
    <w:p w14:paraId="5280FAB2">
      <w:pPr>
        <w:spacing w:before="10" w:after="10" w:line="360" w:lineRule="auto"/>
        <w:ind w:firstLine="640"/>
        <w:outlineLvl w:val="2"/>
        <w:rPr>
          <w:sz w:val="32"/>
          <w:szCs w:val="32"/>
        </w:rPr>
      </w:pPr>
      <w:bookmarkStart w:id="0" w:name="_Toc_3_3_0000000010"/>
      <w:r>
        <w:rPr>
          <w:rFonts w:ascii="黑体" w:hAnsi="黑体" w:eastAsia="黑体" w:cs="黑体"/>
          <w:color w:val="000000"/>
          <w:sz w:val="32"/>
          <w:szCs w:val="32"/>
        </w:rPr>
        <w:t>一、</w:t>
      </w:r>
      <w:r>
        <w:rPr>
          <w:rFonts w:hint="eastAsia" w:ascii="黑体" w:hAnsi="黑体" w:eastAsia="黑体" w:cs="黑体"/>
          <w:color w:val="000000"/>
          <w:sz w:val="32"/>
          <w:szCs w:val="32"/>
          <w:lang w:eastAsia="zh-CN"/>
        </w:rPr>
        <w:t>单位</w:t>
      </w:r>
      <w:r>
        <w:rPr>
          <w:rFonts w:ascii="黑体" w:hAnsi="黑体" w:eastAsia="黑体" w:cs="黑体"/>
          <w:color w:val="000000"/>
          <w:sz w:val="32"/>
          <w:szCs w:val="32"/>
        </w:rPr>
        <w:t>职责及机构设置情况</w:t>
      </w:r>
      <w:bookmarkEnd w:id="0"/>
    </w:p>
    <w:p w14:paraId="66CD6366">
      <w:pPr>
        <w:ind w:firstLine="640"/>
      </w:pPr>
      <w:r>
        <w:rPr>
          <w:rFonts w:hint="eastAsia" w:ascii="方正楷体_GBK" w:hAnsi="方正楷体_GBK" w:eastAsia="方正楷体_GBK" w:cs="方正楷体_GBK"/>
          <w:b/>
          <w:color w:val="000000"/>
          <w:sz w:val="32"/>
          <w:lang w:eastAsia="zh-CN"/>
        </w:rPr>
        <w:t>单位</w:t>
      </w:r>
      <w:r>
        <w:rPr>
          <w:rFonts w:ascii="方正楷体_GBK" w:hAnsi="方正楷体_GBK" w:eastAsia="方正楷体_GBK" w:cs="方正楷体_GBK"/>
          <w:b/>
          <w:color w:val="000000"/>
          <w:sz w:val="32"/>
        </w:rPr>
        <w:t>职责：</w:t>
      </w:r>
    </w:p>
    <w:p w14:paraId="190EC0DB">
      <w:pPr>
        <w:pStyle w:val="7"/>
        <w:rPr>
          <w:rFonts w:hint="eastAsia" w:eastAsia="方正仿宋_GBK"/>
          <w:lang w:val="en-US" w:eastAsia="zh-CN"/>
        </w:rPr>
      </w:pPr>
      <w:r>
        <w:t>根据《中共廊坊市委网络安全和信息化委员会办公室职能配置、内设机构和人员编制规定》，中共廊坊市委网络安全和信息化委员会办公室的主要职责是：</w:t>
      </w:r>
      <w:r>
        <w:rPr>
          <w:rFonts w:hint="eastAsia"/>
          <w:lang w:val="en-US" w:eastAsia="zh-CN"/>
        </w:rPr>
        <w:t xml:space="preserve"> </w:t>
      </w:r>
      <w:bookmarkStart w:id="9" w:name="_GoBack"/>
      <w:bookmarkEnd w:id="9"/>
    </w:p>
    <w:p w14:paraId="55DF94AD">
      <w:pPr>
        <w:pStyle w:val="7"/>
      </w:pPr>
      <w:r>
        <w:t>负责处理市委网络安全和信息化委员会日常事务工作。</w:t>
      </w:r>
    </w:p>
    <w:p w14:paraId="32741F9A">
      <w:pPr>
        <w:pStyle w:val="7"/>
      </w:pPr>
      <w:r>
        <w:t>组织研究起草我市网络安全和信息化发展战略、宏观规划和重大政策。</w:t>
      </w:r>
    </w:p>
    <w:p w14:paraId="6A88A72F">
      <w:pPr>
        <w:pStyle w:val="7"/>
      </w:pPr>
      <w:r>
        <w:t>统筹协调全市网络安全保障体系和可信体系建设。</w:t>
      </w:r>
    </w:p>
    <w:p w14:paraId="54927081">
      <w:pPr>
        <w:pStyle w:val="7"/>
      </w:pPr>
      <w:r>
        <w:t>督促落实我市涉及政治、经济、文化、社会、生态及军事等各个领域网络安全和信息化重大事项；负责协调处理网络安全和信息化重大突发事件有关应急工作。</w:t>
      </w:r>
    </w:p>
    <w:p w14:paraId="5DF89271">
      <w:pPr>
        <w:pStyle w:val="7"/>
      </w:pPr>
      <w:r>
        <w:t>负责全市互联网信息内容管理。</w:t>
      </w:r>
    </w:p>
    <w:p w14:paraId="2221DDDF">
      <w:pPr>
        <w:pStyle w:val="7"/>
      </w:pPr>
      <w:r>
        <w:t>推动全市网络阵地建设和重点新闻网站规划建设。</w:t>
      </w:r>
    </w:p>
    <w:p w14:paraId="6F56C51D">
      <w:pPr>
        <w:pStyle w:val="7"/>
      </w:pPr>
      <w:r>
        <w:t>推动全市网络社会工作和网络文化、网络文明建设；指导互联网行业自律，推进网站党建工作。</w:t>
      </w:r>
    </w:p>
    <w:p w14:paraId="3735DD59">
      <w:pPr>
        <w:pStyle w:val="7"/>
      </w:pPr>
      <w:r>
        <w:t>落实互联网信息服务资本准入和信息网络行业安全审查的有关政策。</w:t>
      </w:r>
    </w:p>
    <w:p w14:paraId="3033F2F7">
      <w:pPr>
        <w:pStyle w:val="7"/>
      </w:pPr>
      <w:r>
        <w:t>协调推进全市信息网络行业自主创新和发展。</w:t>
      </w:r>
    </w:p>
    <w:p w14:paraId="418D6F1B">
      <w:pPr>
        <w:pStyle w:val="7"/>
      </w:pPr>
      <w:r>
        <w:t>规划指导市内机构开展金融信息服务业务。</w:t>
      </w:r>
    </w:p>
    <w:p w14:paraId="65B06129">
      <w:pPr>
        <w:pStyle w:val="7"/>
      </w:pPr>
      <w:r>
        <w:t>组织拟订网络安全和信息化干部人才队伍发展规划，组织开展网信系统干部教育培训和人才队伍建设。</w:t>
      </w:r>
    </w:p>
    <w:p w14:paraId="5A5363D2">
      <w:pPr>
        <w:pStyle w:val="7"/>
      </w:pPr>
      <w:r>
        <w:t>组织开展相关领域国内国际交流与合作。</w:t>
      </w:r>
    </w:p>
    <w:p w14:paraId="1B061017">
      <w:pPr>
        <w:pStyle w:val="7"/>
      </w:pPr>
      <w:r>
        <w:t>指导、检查、推动各县（市、区)、廊坊开发区有关部门网络安全和信息化工作。</w:t>
      </w:r>
    </w:p>
    <w:p w14:paraId="1DB760F4">
      <w:pPr>
        <w:pStyle w:val="7"/>
      </w:pPr>
      <w:r>
        <w:t>统筹协调网络数据开发、利用的安全管理，统筹协调网络数据安全和个人信息保护工作，指导协调网络数据跨区域流动安全管理。</w:t>
      </w:r>
    </w:p>
    <w:p w14:paraId="03E1D89D">
      <w:pPr>
        <w:pStyle w:val="7"/>
      </w:pPr>
      <w:r>
        <w:t>负责全市网络安全和信息化重大专项任务的统筹协调、组织推动、督促落实。</w:t>
      </w:r>
    </w:p>
    <w:p w14:paraId="28A8038E">
      <w:pPr>
        <w:pStyle w:val="7"/>
      </w:pPr>
      <w:r>
        <w:t>统筹协调全市网络综合治理体系建设，协调推进上下协同的网信工作体系建设。</w:t>
      </w:r>
    </w:p>
    <w:p w14:paraId="58FD67C1">
      <w:pPr>
        <w:pStyle w:val="7"/>
      </w:pPr>
      <w:r>
        <w:t>完成省委网络安全和信息化委员会办公室（省互联网信息办公室）和市委、市政府及市委网络安全和信息化委员会、市委宣传部交办的其他任务。</w:t>
      </w:r>
    </w:p>
    <w:p w14:paraId="54DD224E">
      <w:pPr>
        <w:ind w:firstLine="640"/>
      </w:pPr>
      <w:r>
        <w:rPr>
          <w:rFonts w:ascii="方正楷体_GBK" w:hAnsi="方正楷体_GBK" w:eastAsia="方正楷体_GBK" w:cs="方正楷体_GBK"/>
          <w:b/>
          <w:color w:val="000000"/>
          <w:sz w:val="32"/>
        </w:rPr>
        <w:t>机构设置：</w:t>
      </w:r>
    </w:p>
    <w:p w14:paraId="60C5DE0D">
      <w:pPr>
        <w:jc w:val="center"/>
      </w:pPr>
      <w:r>
        <w:rPr>
          <w:rFonts w:hint="eastAsia" w:ascii="方正小标宋_GBK" w:hAnsi="方正小标宋_GBK" w:eastAsia="方正小标宋_GBK" w:cs="方正小标宋_GBK"/>
          <w:color w:val="000000"/>
          <w:sz w:val="32"/>
          <w:lang w:eastAsia="zh-CN"/>
        </w:rPr>
        <w:t>单位</w:t>
      </w:r>
      <w:r>
        <w:rPr>
          <w:rFonts w:ascii="方正小标宋_GBK" w:hAnsi="方正小标宋_GBK" w:eastAsia="方正小标宋_GBK" w:cs="方正小标宋_GBK"/>
          <w:color w:val="000000"/>
          <w:sz w:val="32"/>
        </w:rPr>
        <w:t>机构设置情况</w:t>
      </w:r>
    </w:p>
    <w:tbl>
      <w:tblPr>
        <w:tblStyle w:val="5"/>
        <w:tblW w:w="134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14:paraId="51F38A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noWrap w:val="0"/>
            <w:vAlign w:val="center"/>
          </w:tcPr>
          <w:p w14:paraId="0DD6AE69">
            <w:pPr>
              <w:pStyle w:val="8"/>
            </w:pPr>
            <w:r>
              <w:t>单位名称</w:t>
            </w:r>
          </w:p>
        </w:tc>
        <w:tc>
          <w:tcPr>
            <w:tcW w:w="1843" w:type="dxa"/>
            <w:noWrap w:val="0"/>
            <w:vAlign w:val="center"/>
          </w:tcPr>
          <w:p w14:paraId="588E267A">
            <w:pPr>
              <w:pStyle w:val="8"/>
            </w:pPr>
            <w:r>
              <w:t>单位性质</w:t>
            </w:r>
          </w:p>
        </w:tc>
        <w:tc>
          <w:tcPr>
            <w:tcW w:w="2126" w:type="dxa"/>
            <w:noWrap w:val="0"/>
            <w:vAlign w:val="center"/>
          </w:tcPr>
          <w:p w14:paraId="4EA7E6A9">
            <w:pPr>
              <w:pStyle w:val="8"/>
            </w:pPr>
            <w:r>
              <w:t>单位规格</w:t>
            </w:r>
          </w:p>
        </w:tc>
        <w:tc>
          <w:tcPr>
            <w:tcW w:w="3827" w:type="dxa"/>
            <w:noWrap w:val="0"/>
            <w:vAlign w:val="center"/>
          </w:tcPr>
          <w:p w14:paraId="25D22E90">
            <w:pPr>
              <w:pStyle w:val="8"/>
            </w:pPr>
            <w:r>
              <w:t>经费保障形式</w:t>
            </w:r>
          </w:p>
        </w:tc>
      </w:tr>
      <w:tr w14:paraId="2163A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noWrap w:val="0"/>
            <w:vAlign w:val="center"/>
          </w:tcPr>
          <w:p w14:paraId="4D80B23E">
            <w:pPr>
              <w:pStyle w:val="9"/>
            </w:pPr>
            <w:r>
              <w:t>中共廊坊市委网络安全和信息化委员会办公室本级</w:t>
            </w:r>
          </w:p>
        </w:tc>
        <w:tc>
          <w:tcPr>
            <w:tcW w:w="1843" w:type="dxa"/>
            <w:noWrap w:val="0"/>
            <w:vAlign w:val="center"/>
          </w:tcPr>
          <w:p w14:paraId="20BACFA9">
            <w:pPr>
              <w:pStyle w:val="10"/>
            </w:pPr>
            <w:r>
              <w:t>行政</w:t>
            </w:r>
          </w:p>
        </w:tc>
        <w:tc>
          <w:tcPr>
            <w:tcW w:w="2126" w:type="dxa"/>
            <w:noWrap w:val="0"/>
            <w:vAlign w:val="center"/>
          </w:tcPr>
          <w:p w14:paraId="1207444C">
            <w:pPr>
              <w:pStyle w:val="10"/>
            </w:pPr>
            <w:r>
              <w:t>正处（县）级</w:t>
            </w:r>
          </w:p>
        </w:tc>
        <w:tc>
          <w:tcPr>
            <w:tcW w:w="3827" w:type="dxa"/>
            <w:noWrap w:val="0"/>
            <w:vAlign w:val="center"/>
          </w:tcPr>
          <w:p w14:paraId="348A524B">
            <w:pPr>
              <w:pStyle w:val="10"/>
            </w:pPr>
            <w:r>
              <w:t>财政拨款</w:t>
            </w:r>
          </w:p>
        </w:tc>
      </w:tr>
    </w:tbl>
    <w:p w14:paraId="695F9F6F">
      <w:pPr>
        <w:spacing w:before="10" w:after="10" w:line="360" w:lineRule="auto"/>
        <w:ind w:firstLine="640"/>
        <w:outlineLvl w:val="2"/>
        <w:rPr>
          <w:rFonts w:ascii="黑体" w:hAnsi="黑体" w:eastAsia="黑体" w:cs="黑体"/>
          <w:color w:val="000000"/>
          <w:sz w:val="32"/>
        </w:rPr>
      </w:pPr>
      <w:bookmarkStart w:id="1" w:name="_Toc_3_3_0000000011"/>
    </w:p>
    <w:p w14:paraId="50DC861E">
      <w:pPr>
        <w:spacing w:before="10" w:after="10" w:line="360" w:lineRule="auto"/>
        <w:ind w:firstLine="640"/>
        <w:outlineLvl w:val="2"/>
        <w:rPr>
          <w:sz w:val="32"/>
          <w:szCs w:val="32"/>
        </w:rPr>
      </w:pPr>
      <w:r>
        <w:rPr>
          <w:rFonts w:ascii="黑体" w:hAnsi="黑体" w:eastAsia="黑体" w:cs="黑体"/>
          <w:color w:val="000000"/>
          <w:sz w:val="32"/>
          <w:szCs w:val="32"/>
        </w:rPr>
        <w:t>二、</w:t>
      </w:r>
      <w:r>
        <w:rPr>
          <w:rFonts w:hint="eastAsia" w:ascii="黑体" w:hAnsi="黑体" w:eastAsia="黑体" w:cs="黑体"/>
          <w:color w:val="000000"/>
          <w:sz w:val="32"/>
          <w:szCs w:val="32"/>
          <w:lang w:eastAsia="zh-CN"/>
        </w:rPr>
        <w:t>单位</w:t>
      </w:r>
      <w:r>
        <w:rPr>
          <w:rFonts w:ascii="黑体" w:hAnsi="黑体" w:eastAsia="黑体" w:cs="黑体"/>
          <w:color w:val="000000"/>
          <w:sz w:val="32"/>
          <w:szCs w:val="32"/>
        </w:rPr>
        <w:t>预算安排的总体情况</w:t>
      </w:r>
      <w:bookmarkEnd w:id="1"/>
    </w:p>
    <w:p w14:paraId="3F5AC3B0">
      <w:pPr>
        <w:keepNext w:val="0"/>
        <w:keepLines w:val="0"/>
        <w:pageBreakBefore w:val="0"/>
        <w:widowControl/>
        <w:kinsoku/>
        <w:wordWrap/>
        <w:overflowPunct/>
        <w:topLinePunct w:val="0"/>
        <w:bidi w:val="0"/>
        <w:snapToGrid/>
        <w:spacing w:line="572" w:lineRule="exact"/>
        <w:ind w:firstLine="640"/>
        <w:textAlignment w:val="auto"/>
        <w:rPr>
          <w:rFonts w:eastAsia="方正仿宋_GBK"/>
          <w:color w:val="000000"/>
          <w:sz w:val="28"/>
        </w:rPr>
      </w:pPr>
      <w:r>
        <w:rPr>
          <w:rFonts w:eastAsia="方正仿宋_GBK"/>
          <w:color w:val="000000"/>
          <w:sz w:val="28"/>
        </w:rPr>
        <w:t>按照预算管理有关规定，目前我省</w:t>
      </w:r>
      <w:r>
        <w:rPr>
          <w:rFonts w:hint="eastAsia" w:eastAsia="方正仿宋_GBK"/>
          <w:color w:val="000000"/>
          <w:sz w:val="28"/>
          <w:lang w:eastAsia="zh-CN"/>
        </w:rPr>
        <w:t>单位</w:t>
      </w:r>
      <w:r>
        <w:rPr>
          <w:rFonts w:eastAsia="方正仿宋_GBK"/>
          <w:color w:val="000000"/>
          <w:sz w:val="28"/>
        </w:rPr>
        <w:t>预算的编制实行综合预算管理，即全部收入和支出都反映在预算中。</w:t>
      </w:r>
    </w:p>
    <w:p w14:paraId="469BA9AB">
      <w:pPr>
        <w:keepNext w:val="0"/>
        <w:keepLines w:val="0"/>
        <w:pageBreakBefore w:val="0"/>
        <w:widowControl/>
        <w:kinsoku/>
        <w:wordWrap/>
        <w:overflowPunct/>
        <w:topLinePunct w:val="0"/>
        <w:bidi w:val="0"/>
        <w:snapToGrid/>
        <w:spacing w:line="572" w:lineRule="exact"/>
        <w:ind w:firstLine="640"/>
        <w:textAlignment w:val="auto"/>
        <w:rPr>
          <w:rFonts w:hint="eastAsia" w:ascii="CESI楷体-GB2312" w:hAnsi="CESI楷体-GB2312" w:eastAsia="CESI楷体-GB2312" w:cs="CESI楷体-GB2312"/>
          <w:b/>
          <w:sz w:val="32"/>
          <w:szCs w:val="32"/>
          <w:highlight w:val="none"/>
        </w:rPr>
      </w:pPr>
      <w:r>
        <w:rPr>
          <w:rFonts w:hint="eastAsia" w:ascii="CESI楷体-GB2312" w:hAnsi="CESI楷体-GB2312" w:eastAsia="CESI楷体-GB2312" w:cs="CESI楷体-GB2312"/>
          <w:b/>
          <w:sz w:val="32"/>
          <w:szCs w:val="32"/>
          <w:highlight w:val="none"/>
        </w:rPr>
        <w:t>1、收入说明</w:t>
      </w:r>
    </w:p>
    <w:p w14:paraId="6BF3F4E4">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反映本</w:t>
      </w:r>
      <w:r>
        <w:rPr>
          <w:rFonts w:hint="eastAsia" w:eastAsia="方正仿宋_GBK" w:cs="Times New Roman"/>
          <w:sz w:val="28"/>
          <w:szCs w:val="24"/>
          <w:lang w:val="en-US" w:eastAsia="zh-CN" w:bidi="ar-SA"/>
        </w:rPr>
        <w:t>单位</w:t>
      </w:r>
      <w:r>
        <w:rPr>
          <w:rFonts w:ascii="Times New Roman" w:hAnsi="Times New Roman" w:eastAsia="方正仿宋_GBK" w:cs="Times New Roman"/>
          <w:sz w:val="28"/>
          <w:szCs w:val="24"/>
          <w:lang w:val="en-US" w:eastAsia="uk-UA" w:bidi="ar-SA"/>
        </w:rPr>
        <w:t>当年全部收入。20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3</w:t>
      </w:r>
      <w:r>
        <w:rPr>
          <w:rFonts w:ascii="Times New Roman" w:hAnsi="Times New Roman" w:eastAsia="方正仿宋_GBK" w:cs="Times New Roman"/>
          <w:sz w:val="28"/>
          <w:szCs w:val="24"/>
          <w:lang w:val="en-US" w:eastAsia="uk-UA" w:bidi="ar-SA"/>
        </w:rPr>
        <w:t>年预算收入</w:t>
      </w:r>
      <w:r>
        <w:rPr>
          <w:rFonts w:hint="eastAsia" w:eastAsia="方正仿宋_GBK" w:cs="Times New Roman"/>
          <w:sz w:val="28"/>
          <w:szCs w:val="24"/>
          <w:lang w:val="en-US" w:eastAsia="zh-CN" w:bidi="ar-SA"/>
        </w:rPr>
        <w:t xml:space="preserve"> </w:t>
      </w:r>
      <w:r>
        <w:rPr>
          <w:rFonts w:hint="default" w:eastAsia="方正仿宋_GBK" w:cs="Times New Roman"/>
          <w:sz w:val="28"/>
          <w:szCs w:val="24"/>
          <w:lang w:val="en" w:eastAsia="zh-CN" w:bidi="ar-SA"/>
        </w:rPr>
        <w:t>2534.06</w:t>
      </w:r>
      <w:r>
        <w:rPr>
          <w:rFonts w:ascii="Times New Roman" w:hAnsi="Times New Roman" w:eastAsia="方正仿宋_GBK" w:cs="Times New Roman"/>
          <w:sz w:val="28"/>
          <w:szCs w:val="24"/>
          <w:lang w:val="en-US" w:eastAsia="uk-UA" w:bidi="ar-SA"/>
        </w:rPr>
        <w:t>万元，其中：一般公共预算收入</w:t>
      </w:r>
      <w:r>
        <w:rPr>
          <w:rFonts w:hint="eastAsia" w:ascii="Times New Roman" w:hAnsi="Times New Roman" w:eastAsia="方正仿宋_GBK" w:cs="Times New Roman"/>
          <w:sz w:val="28"/>
          <w:szCs w:val="24"/>
          <w:lang w:val="en-US" w:eastAsia="zh-CN" w:bidi="ar-SA"/>
        </w:rPr>
        <w:t>2534.06</w:t>
      </w:r>
      <w:r>
        <w:rPr>
          <w:rFonts w:ascii="Times New Roman" w:hAnsi="Times New Roman" w:eastAsia="方正仿宋_GBK" w:cs="Times New Roman"/>
          <w:sz w:val="28"/>
          <w:szCs w:val="24"/>
          <w:lang w:val="en-US" w:eastAsia="uk-UA" w:bidi="ar-SA"/>
        </w:rPr>
        <w:t>万元，基金预算收入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万元，财政专户核拨收入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万元，其他来源收入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w:t>
      </w:r>
      <w:r>
        <w:rPr>
          <w:rFonts w:hint="eastAsia" w:ascii="Times New Roman" w:hAnsi="Times New Roman" w:eastAsia="方正仿宋_GBK" w:cs="Times New Roman"/>
          <w:sz w:val="28"/>
          <w:szCs w:val="24"/>
          <w:lang w:val="en-US" w:eastAsia="uk-UA" w:bidi="ar-SA"/>
        </w:rPr>
        <w:t>，</w:t>
      </w:r>
      <w:r>
        <w:rPr>
          <w:rFonts w:ascii="Times New Roman" w:hAnsi="Times New Roman" w:eastAsia="方正仿宋_GBK" w:cs="Times New Roman"/>
          <w:sz w:val="28"/>
          <w:szCs w:val="24"/>
          <w:lang w:val="en-US" w:eastAsia="uk-UA" w:bidi="ar-SA"/>
        </w:rPr>
        <w:t>上年结转</w:t>
      </w:r>
      <w:r>
        <w:rPr>
          <w:rFonts w:hint="eastAsia" w:ascii="Times New Roman" w:hAnsi="Times New Roman" w:eastAsia="方正仿宋_GBK" w:cs="Times New Roman"/>
          <w:sz w:val="28"/>
          <w:szCs w:val="24"/>
          <w:lang w:val="en-US" w:eastAsia="zh-CN" w:bidi="ar-SA"/>
        </w:rPr>
        <w:t>0</w:t>
      </w:r>
      <w:r>
        <w:rPr>
          <w:rFonts w:hint="eastAsia" w:ascii="Times New Roman" w:hAnsi="Times New Roman" w:eastAsia="方正仿宋_GBK" w:cs="Times New Roman"/>
          <w:sz w:val="28"/>
          <w:szCs w:val="24"/>
          <w:lang w:val="en-US" w:eastAsia="uk-UA" w:bidi="ar-SA"/>
        </w:rPr>
        <w:t>万元</w:t>
      </w:r>
      <w:r>
        <w:rPr>
          <w:rFonts w:ascii="Times New Roman" w:hAnsi="Times New Roman" w:eastAsia="方正仿宋_GBK" w:cs="Times New Roman"/>
          <w:sz w:val="28"/>
          <w:szCs w:val="24"/>
          <w:lang w:val="en-US" w:eastAsia="uk-UA" w:bidi="ar-SA"/>
        </w:rPr>
        <w:t>。</w:t>
      </w:r>
    </w:p>
    <w:p w14:paraId="407FD6F5">
      <w:pPr>
        <w:keepNext w:val="0"/>
        <w:keepLines w:val="0"/>
        <w:pageBreakBefore w:val="0"/>
        <w:widowControl/>
        <w:kinsoku/>
        <w:wordWrap/>
        <w:overflowPunct/>
        <w:topLinePunct w:val="0"/>
        <w:bidi w:val="0"/>
        <w:snapToGrid/>
        <w:spacing w:line="572" w:lineRule="exact"/>
        <w:ind w:firstLine="640"/>
        <w:textAlignment w:val="auto"/>
        <w:rPr>
          <w:rFonts w:hint="eastAsia" w:ascii="CESI楷体-GB2312" w:hAnsi="CESI楷体-GB2312" w:eastAsia="CESI楷体-GB2312" w:cs="CESI楷体-GB2312"/>
          <w:b/>
          <w:sz w:val="32"/>
          <w:szCs w:val="32"/>
          <w:highlight w:val="none"/>
        </w:rPr>
      </w:pPr>
      <w:r>
        <w:rPr>
          <w:rFonts w:hint="eastAsia" w:ascii="CESI楷体-GB2312" w:hAnsi="CESI楷体-GB2312" w:eastAsia="CESI楷体-GB2312" w:cs="CESI楷体-GB2312"/>
          <w:b/>
          <w:sz w:val="32"/>
          <w:szCs w:val="32"/>
          <w:highlight w:val="none"/>
        </w:rPr>
        <w:t>2、支出说明</w:t>
      </w:r>
    </w:p>
    <w:p w14:paraId="48945877">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收支预算总表支出栏、基本支出表、项目支出表按经济分类和支出功能分类科目编制，反映</w:t>
      </w:r>
      <w:r>
        <w:rPr>
          <w:rFonts w:hint="eastAsia" w:eastAsia="方正仿宋_GBK" w:cs="Times New Roman"/>
          <w:sz w:val="28"/>
          <w:szCs w:val="24"/>
          <w:lang w:val="en-US" w:eastAsia="zh-CN" w:bidi="ar-SA"/>
        </w:rPr>
        <w:t>中共</w:t>
      </w:r>
      <w:r>
        <w:rPr>
          <w:rFonts w:ascii="Times New Roman" w:hAnsi="Times New Roman" w:eastAsia="方正仿宋_GBK" w:cs="Times New Roman"/>
          <w:sz w:val="28"/>
          <w:szCs w:val="24"/>
          <w:lang w:val="en-US" w:eastAsia="uk-UA" w:bidi="ar-SA"/>
        </w:rPr>
        <w:t>廊坊市</w:t>
      </w:r>
      <w:r>
        <w:rPr>
          <w:rFonts w:hint="eastAsia" w:eastAsia="方正仿宋_GBK" w:cs="Times New Roman"/>
          <w:sz w:val="28"/>
          <w:szCs w:val="24"/>
          <w:lang w:val="en-US" w:eastAsia="zh-CN" w:bidi="ar-SA"/>
        </w:rPr>
        <w:t>委网络安全和信息化委员会办公室</w:t>
      </w:r>
      <w:r>
        <w:rPr>
          <w:rFonts w:ascii="Times New Roman" w:hAnsi="Times New Roman" w:eastAsia="方正仿宋_GBK" w:cs="Times New Roman"/>
          <w:sz w:val="28"/>
          <w:szCs w:val="24"/>
          <w:lang w:val="en-US" w:eastAsia="uk-UA" w:bidi="ar-SA"/>
        </w:rPr>
        <w:t>年度</w:t>
      </w:r>
      <w:r>
        <w:rPr>
          <w:rFonts w:hint="eastAsia" w:eastAsia="方正仿宋_GBK" w:cs="Times New Roman"/>
          <w:sz w:val="28"/>
          <w:szCs w:val="24"/>
          <w:lang w:val="en-US" w:eastAsia="zh-CN" w:bidi="ar-SA"/>
        </w:rPr>
        <w:t>单位预</w:t>
      </w:r>
      <w:r>
        <w:rPr>
          <w:rFonts w:ascii="Times New Roman" w:hAnsi="Times New Roman" w:eastAsia="方正仿宋_GBK" w:cs="Times New Roman"/>
          <w:sz w:val="28"/>
          <w:szCs w:val="24"/>
          <w:lang w:val="en-US" w:eastAsia="uk-UA" w:bidi="ar-SA"/>
        </w:rPr>
        <w:t>算中支出预算的总体情况。20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3</w:t>
      </w:r>
      <w:r>
        <w:rPr>
          <w:rFonts w:ascii="Times New Roman" w:hAnsi="Times New Roman" w:eastAsia="方正仿宋_GBK" w:cs="Times New Roman"/>
          <w:sz w:val="28"/>
          <w:szCs w:val="24"/>
          <w:lang w:val="en-US" w:eastAsia="uk-UA" w:bidi="ar-SA"/>
        </w:rPr>
        <w:t>年支出预算</w:t>
      </w:r>
      <w:r>
        <w:rPr>
          <w:rFonts w:hint="default" w:eastAsia="方正仿宋_GBK" w:cs="Times New Roman"/>
          <w:sz w:val="28"/>
          <w:szCs w:val="24"/>
          <w:lang w:val="en" w:eastAsia="zh-CN" w:bidi="ar-SA"/>
        </w:rPr>
        <w:t>2534.06</w:t>
      </w:r>
      <w:r>
        <w:rPr>
          <w:rFonts w:ascii="Times New Roman" w:hAnsi="Times New Roman" w:eastAsia="方正仿宋_GBK" w:cs="Times New Roman"/>
          <w:sz w:val="28"/>
          <w:szCs w:val="24"/>
          <w:lang w:val="en-US" w:eastAsia="uk-UA" w:bidi="ar-SA"/>
        </w:rPr>
        <w:t>万元，其中基本支出</w:t>
      </w:r>
      <w:r>
        <w:rPr>
          <w:rFonts w:hint="default" w:eastAsia="方正仿宋_GBK" w:cs="Times New Roman"/>
          <w:sz w:val="28"/>
          <w:szCs w:val="24"/>
          <w:lang w:val="en" w:eastAsia="zh-CN" w:bidi="ar-SA"/>
        </w:rPr>
        <w:t>803.26</w:t>
      </w:r>
      <w:r>
        <w:rPr>
          <w:rFonts w:ascii="Times New Roman" w:hAnsi="Times New Roman" w:eastAsia="方正仿宋_GBK" w:cs="Times New Roman"/>
          <w:sz w:val="28"/>
          <w:szCs w:val="24"/>
          <w:lang w:val="en-US" w:eastAsia="uk-UA" w:bidi="ar-SA"/>
        </w:rPr>
        <w:t>万元，包括人员经费</w:t>
      </w:r>
      <w:r>
        <w:rPr>
          <w:rFonts w:hint="default" w:eastAsia="方正仿宋_GBK" w:cs="Times New Roman"/>
          <w:sz w:val="28"/>
          <w:szCs w:val="24"/>
          <w:lang w:val="en" w:eastAsia="zh-CN" w:bidi="ar-SA"/>
        </w:rPr>
        <w:t>728.42</w:t>
      </w:r>
      <w:r>
        <w:rPr>
          <w:rFonts w:ascii="Times New Roman" w:hAnsi="Times New Roman" w:eastAsia="方正仿宋_GBK" w:cs="Times New Roman"/>
          <w:sz w:val="28"/>
          <w:szCs w:val="24"/>
          <w:lang w:val="en-US" w:eastAsia="uk-UA" w:bidi="ar-SA"/>
        </w:rPr>
        <w:t>万元和</w:t>
      </w:r>
      <w:r>
        <w:rPr>
          <w:rFonts w:hint="eastAsia" w:ascii="Times New Roman" w:hAnsi="Times New Roman" w:eastAsia="方正仿宋_GBK" w:cs="Times New Roman"/>
          <w:sz w:val="28"/>
          <w:szCs w:val="24"/>
          <w:lang w:val="en-US" w:eastAsia="zh-CN" w:bidi="ar-SA"/>
        </w:rPr>
        <w:t>日常</w:t>
      </w:r>
      <w:r>
        <w:rPr>
          <w:rFonts w:ascii="Times New Roman" w:hAnsi="Times New Roman" w:eastAsia="方正仿宋_GBK" w:cs="Times New Roman"/>
          <w:sz w:val="28"/>
          <w:szCs w:val="24"/>
          <w:lang w:val="en-US" w:eastAsia="uk-UA" w:bidi="ar-SA"/>
        </w:rPr>
        <w:t>公用经费</w:t>
      </w:r>
      <w:r>
        <w:rPr>
          <w:rFonts w:hint="default" w:eastAsia="方正仿宋_GBK" w:cs="Times New Roman"/>
          <w:sz w:val="28"/>
          <w:szCs w:val="24"/>
          <w:lang w:val="en" w:eastAsia="zh-CN" w:bidi="ar-SA"/>
        </w:rPr>
        <w:t>74.84</w:t>
      </w:r>
      <w:r>
        <w:rPr>
          <w:rFonts w:ascii="Times New Roman" w:hAnsi="Times New Roman" w:eastAsia="方正仿宋_GBK" w:cs="Times New Roman"/>
          <w:sz w:val="28"/>
          <w:szCs w:val="24"/>
          <w:lang w:val="en-US" w:eastAsia="uk-UA" w:bidi="ar-SA"/>
        </w:rPr>
        <w:t>万元；运转类其他及特定目标类项目支出</w:t>
      </w:r>
      <w:r>
        <w:rPr>
          <w:rFonts w:hint="default" w:eastAsia="方正仿宋_GBK" w:cs="Times New Roman"/>
          <w:sz w:val="28"/>
          <w:szCs w:val="24"/>
          <w:lang w:val="en" w:eastAsia="zh-CN" w:bidi="ar-SA"/>
        </w:rPr>
        <w:t>1730.8</w:t>
      </w:r>
      <w:r>
        <w:rPr>
          <w:rFonts w:hint="eastAsia"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万元，包括本级支出</w:t>
      </w:r>
      <w:r>
        <w:rPr>
          <w:rFonts w:hint="default" w:eastAsia="方正仿宋_GBK" w:cs="Times New Roman"/>
          <w:sz w:val="28"/>
          <w:szCs w:val="24"/>
          <w:lang w:val="en" w:eastAsia="zh-CN" w:bidi="ar-SA"/>
        </w:rPr>
        <w:t>1730.8</w:t>
      </w:r>
      <w:r>
        <w:rPr>
          <w:rFonts w:hint="eastAsia" w:eastAsia="方正仿宋_GBK" w:cs="Times New Roman"/>
          <w:sz w:val="28"/>
          <w:szCs w:val="24"/>
          <w:lang w:val="en-US" w:eastAsia="zh-CN" w:bidi="ar-SA"/>
        </w:rPr>
        <w:t>0</w:t>
      </w:r>
      <w:r>
        <w:rPr>
          <w:rFonts w:hint="eastAsia" w:ascii="Times New Roman" w:hAnsi="Times New Roman" w:eastAsia="方正仿宋_GBK" w:cs="Times New Roman"/>
          <w:sz w:val="28"/>
          <w:szCs w:val="24"/>
          <w:lang w:val="en-US" w:eastAsia="zh-CN" w:bidi="ar-SA"/>
        </w:rPr>
        <w:t>万元</w:t>
      </w:r>
      <w:r>
        <w:rPr>
          <w:rFonts w:ascii="Times New Roman" w:hAnsi="Times New Roman" w:eastAsia="方正仿宋_GBK" w:cs="Times New Roman"/>
          <w:sz w:val="28"/>
          <w:szCs w:val="24"/>
          <w:lang w:val="en-US" w:eastAsia="uk-UA" w:bidi="ar-SA"/>
        </w:rPr>
        <w:t>，</w:t>
      </w:r>
      <w:r>
        <w:rPr>
          <w:rFonts w:ascii="Times New Roman" w:hAnsi="Times New Roman" w:eastAsia="方正仿宋_GBK" w:cs="Times New Roman"/>
          <w:sz w:val="28"/>
          <w:szCs w:val="24"/>
          <w:highlight w:val="none"/>
          <w:lang w:val="en-US" w:eastAsia="uk-UA" w:bidi="ar-SA"/>
        </w:rPr>
        <w:t>主要为</w:t>
      </w:r>
      <w:r>
        <w:rPr>
          <w:rFonts w:hint="eastAsia" w:ascii="Times New Roman" w:hAnsi="Times New Roman" w:eastAsia="方正仿宋_GBK" w:cs="Times New Roman"/>
          <w:sz w:val="28"/>
          <w:szCs w:val="24"/>
          <w:highlight w:val="none"/>
          <w:lang w:val="en-US" w:eastAsia="zh-CN" w:bidi="ar-SA"/>
        </w:rPr>
        <w:t>公务网络机房维护、</w:t>
      </w:r>
      <w:r>
        <w:rPr>
          <w:rFonts w:ascii="Times New Roman" w:hAnsi="Times New Roman" w:eastAsia="方正仿宋_GBK" w:cs="Times New Roman"/>
          <w:sz w:val="28"/>
          <w:szCs w:val="24"/>
          <w:highlight w:val="none"/>
          <w:lang w:val="en-US" w:eastAsia="uk-UA" w:bidi="ar-SA"/>
        </w:rPr>
        <w:t>智能AI外呼服务平台建设资金</w:t>
      </w:r>
      <w:r>
        <w:rPr>
          <w:rFonts w:hint="eastAsia" w:ascii="Times New Roman" w:hAnsi="Times New Roman" w:eastAsia="方正仿宋_GBK" w:cs="Times New Roman"/>
          <w:sz w:val="28"/>
          <w:szCs w:val="24"/>
          <w:highlight w:val="none"/>
          <w:lang w:val="en-US" w:eastAsia="zh-CN" w:bidi="ar-SA"/>
        </w:rPr>
        <w:t>和网络媒体宣传引导</w:t>
      </w:r>
      <w:r>
        <w:rPr>
          <w:rFonts w:ascii="Times New Roman" w:hAnsi="Times New Roman" w:eastAsia="方正仿宋_GBK" w:cs="Times New Roman"/>
          <w:sz w:val="28"/>
          <w:szCs w:val="24"/>
          <w:highlight w:val="none"/>
          <w:lang w:val="en-US" w:eastAsia="uk-UA" w:bidi="ar-SA"/>
        </w:rPr>
        <w:t>等</w:t>
      </w:r>
      <w:r>
        <w:rPr>
          <w:rFonts w:hint="eastAsia" w:ascii="Times New Roman" w:hAnsi="Times New Roman" w:eastAsia="方正仿宋_GBK" w:cs="Times New Roman"/>
          <w:sz w:val="28"/>
          <w:szCs w:val="24"/>
          <w:highlight w:val="none"/>
          <w:lang w:val="en-US" w:eastAsia="zh-CN" w:bidi="ar-SA"/>
        </w:rPr>
        <w:t>项目</w:t>
      </w:r>
      <w:r>
        <w:rPr>
          <w:rFonts w:ascii="Times New Roman" w:hAnsi="Times New Roman" w:eastAsia="方正仿宋_GBK" w:cs="Times New Roman"/>
          <w:sz w:val="28"/>
          <w:szCs w:val="24"/>
          <w:highlight w:val="none"/>
          <w:lang w:val="en-US" w:eastAsia="uk-UA" w:bidi="ar-SA"/>
        </w:rPr>
        <w:t>支出。</w:t>
      </w:r>
    </w:p>
    <w:p w14:paraId="34F32271">
      <w:pPr>
        <w:keepNext w:val="0"/>
        <w:keepLines w:val="0"/>
        <w:pageBreakBefore w:val="0"/>
        <w:widowControl/>
        <w:kinsoku/>
        <w:wordWrap/>
        <w:overflowPunct/>
        <w:topLinePunct w:val="0"/>
        <w:bidi w:val="0"/>
        <w:snapToGrid/>
        <w:spacing w:line="572" w:lineRule="exact"/>
        <w:ind w:firstLine="640"/>
        <w:textAlignment w:val="auto"/>
        <w:rPr>
          <w:rFonts w:hint="eastAsia" w:ascii="CESI楷体-GB2312" w:hAnsi="CESI楷体-GB2312" w:eastAsia="CESI楷体-GB2312" w:cs="CESI楷体-GB2312"/>
          <w:b/>
          <w:sz w:val="32"/>
          <w:szCs w:val="32"/>
          <w:highlight w:val="none"/>
        </w:rPr>
      </w:pPr>
      <w:r>
        <w:rPr>
          <w:rFonts w:hint="eastAsia" w:ascii="CESI楷体-GB2312" w:hAnsi="CESI楷体-GB2312" w:eastAsia="CESI楷体-GB2312" w:cs="CESI楷体-GB2312"/>
          <w:b/>
          <w:sz w:val="32"/>
          <w:szCs w:val="32"/>
          <w:highlight w:val="none"/>
        </w:rPr>
        <w:t>3、比上年增减情况</w:t>
      </w:r>
    </w:p>
    <w:p w14:paraId="57F37B58">
      <w:pPr>
        <w:keepNext w:val="0"/>
        <w:keepLines w:val="0"/>
        <w:pageBreakBefore w:val="0"/>
        <w:widowControl/>
        <w:kinsoku/>
        <w:wordWrap/>
        <w:overflowPunct/>
        <w:topLinePunct w:val="0"/>
        <w:bidi w:val="0"/>
        <w:snapToGrid/>
        <w:spacing w:line="572" w:lineRule="exact"/>
        <w:ind w:firstLine="640"/>
        <w:textAlignment w:val="auto"/>
      </w:pPr>
      <w:r>
        <w:rPr>
          <w:rFonts w:ascii="Times New Roman" w:hAnsi="Times New Roman" w:eastAsia="方正仿宋_GBK" w:cs="Times New Roman"/>
          <w:sz w:val="28"/>
          <w:szCs w:val="24"/>
          <w:lang w:val="en-US" w:eastAsia="uk-UA" w:bidi="ar-SA"/>
        </w:rPr>
        <w:t>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3</w:t>
      </w:r>
      <w:r>
        <w:rPr>
          <w:rFonts w:ascii="Times New Roman" w:hAnsi="Times New Roman" w:eastAsia="方正仿宋_GBK" w:cs="Times New Roman"/>
          <w:sz w:val="28"/>
          <w:szCs w:val="24"/>
          <w:lang w:val="en-US" w:eastAsia="uk-UA" w:bidi="ar-SA"/>
        </w:rPr>
        <w:t>年预算收支安排</w:t>
      </w:r>
      <w:r>
        <w:rPr>
          <w:rFonts w:hint="default" w:eastAsia="方正仿宋_GBK" w:cs="Times New Roman"/>
          <w:sz w:val="28"/>
          <w:szCs w:val="24"/>
          <w:lang w:val="en" w:eastAsia="zh-CN" w:bidi="ar-SA"/>
        </w:rPr>
        <w:t>2534.06</w:t>
      </w:r>
      <w:r>
        <w:rPr>
          <w:rFonts w:ascii="Times New Roman" w:hAnsi="Times New Roman" w:eastAsia="方正仿宋_GBK" w:cs="Times New Roman"/>
          <w:sz w:val="28"/>
          <w:szCs w:val="24"/>
          <w:lang w:val="en-US" w:eastAsia="uk-UA" w:bidi="ar-SA"/>
        </w:rPr>
        <w:t>万元，较20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2</w:t>
      </w:r>
      <w:r>
        <w:rPr>
          <w:rFonts w:ascii="Times New Roman" w:hAnsi="Times New Roman" w:eastAsia="方正仿宋_GBK" w:cs="Times New Roman"/>
          <w:sz w:val="28"/>
          <w:szCs w:val="24"/>
          <w:lang w:val="en-US" w:eastAsia="uk-UA" w:bidi="ar-SA"/>
        </w:rPr>
        <w:t>年预算</w:t>
      </w:r>
      <w:r>
        <w:rPr>
          <w:rFonts w:hint="eastAsia" w:eastAsia="方正仿宋_GBK" w:cs="Times New Roman"/>
          <w:sz w:val="28"/>
          <w:szCs w:val="24"/>
          <w:lang w:val="en-US" w:eastAsia="zh-CN" w:bidi="ar-SA"/>
        </w:rPr>
        <w:t>减少3523.81</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增加</w:t>
      </w:r>
      <w:r>
        <w:rPr>
          <w:rFonts w:hint="eastAsia" w:eastAsia="方正仿宋_GBK" w:cs="Times New Roman"/>
          <w:sz w:val="28"/>
          <w:szCs w:val="24"/>
          <w:lang w:val="en-US" w:eastAsia="zh-CN" w:bidi="ar-SA"/>
        </w:rPr>
        <w:t>113.34</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人员经费</w:t>
      </w:r>
      <w:r>
        <w:rPr>
          <w:rFonts w:ascii="Times New Roman" w:hAnsi="Times New Roman" w:eastAsia="方正仿宋_GBK" w:cs="Times New Roman"/>
          <w:sz w:val="28"/>
          <w:szCs w:val="24"/>
          <w:lang w:val="en-US" w:eastAsia="uk-UA" w:bidi="ar-SA"/>
        </w:rPr>
        <w:t>支出；项目支出</w:t>
      </w:r>
      <w:r>
        <w:rPr>
          <w:rFonts w:hint="eastAsia" w:eastAsia="方正仿宋_GBK" w:cs="Times New Roman"/>
          <w:sz w:val="28"/>
          <w:szCs w:val="24"/>
          <w:lang w:val="en-US" w:eastAsia="zh-CN" w:bidi="ar-SA"/>
        </w:rPr>
        <w:t>较少3637.15</w:t>
      </w:r>
      <w:r>
        <w:rPr>
          <w:rFonts w:ascii="Times New Roman" w:hAnsi="Times New Roman" w:eastAsia="方正仿宋_GBK" w:cs="Times New Roman"/>
          <w:sz w:val="28"/>
          <w:szCs w:val="24"/>
          <w:lang w:val="en-US" w:eastAsia="uk-UA" w:bidi="ar-SA"/>
        </w:rPr>
        <w:t>万元，主要为</w:t>
      </w:r>
      <w:r>
        <w:rPr>
          <w:rFonts w:hint="eastAsia" w:eastAsia="方正仿宋_GBK" w:cs="Times New Roman"/>
          <w:sz w:val="28"/>
          <w:szCs w:val="24"/>
          <w:highlight w:val="none"/>
          <w:lang w:val="en-US" w:eastAsia="zh-CN" w:bidi="ar-SA"/>
        </w:rPr>
        <w:t>大额</w:t>
      </w:r>
      <w:r>
        <w:rPr>
          <w:rFonts w:ascii="Times New Roman" w:hAnsi="Times New Roman" w:eastAsia="方正仿宋_GBK" w:cs="Times New Roman"/>
          <w:sz w:val="28"/>
          <w:szCs w:val="24"/>
          <w:highlight w:val="none"/>
          <w:lang w:val="en-US" w:eastAsia="uk-UA" w:bidi="ar-SA"/>
        </w:rPr>
        <w:t>项目支出</w:t>
      </w:r>
      <w:r>
        <w:rPr>
          <w:rFonts w:hint="eastAsia" w:eastAsia="方正仿宋_GBK" w:cs="Times New Roman"/>
          <w:sz w:val="28"/>
          <w:szCs w:val="24"/>
          <w:highlight w:val="none"/>
          <w:lang w:val="en-US" w:eastAsia="zh-CN" w:bidi="ar-SA"/>
        </w:rPr>
        <w:t>减少</w:t>
      </w:r>
      <w:r>
        <w:rPr>
          <w:rFonts w:ascii="Times New Roman" w:hAnsi="Times New Roman" w:eastAsia="方正仿宋_GBK" w:cs="Times New Roman"/>
          <w:sz w:val="28"/>
          <w:szCs w:val="24"/>
          <w:lang w:val="en-US" w:eastAsia="uk-UA" w:bidi="ar-SA"/>
        </w:rPr>
        <w:t>。</w:t>
      </w:r>
    </w:p>
    <w:p w14:paraId="609B5E8F">
      <w:pPr>
        <w:pStyle w:val="11"/>
      </w:pPr>
    </w:p>
    <w:p w14:paraId="67186487">
      <w:pPr>
        <w:spacing w:before="10" w:after="10" w:line="360" w:lineRule="auto"/>
        <w:ind w:firstLine="640"/>
        <w:outlineLvl w:val="2"/>
        <w:rPr>
          <w:sz w:val="32"/>
          <w:szCs w:val="32"/>
          <w:highlight w:val="none"/>
        </w:rPr>
      </w:pPr>
      <w:bookmarkStart w:id="2" w:name="_Toc_3_3_0000000012"/>
      <w:r>
        <w:rPr>
          <w:rFonts w:ascii="黑体" w:hAnsi="黑体" w:eastAsia="黑体" w:cs="黑体"/>
          <w:color w:val="000000"/>
          <w:sz w:val="32"/>
          <w:szCs w:val="32"/>
          <w:highlight w:val="none"/>
        </w:rPr>
        <w:t>三、机关运行经费安排情况</w:t>
      </w:r>
      <w:bookmarkEnd w:id="2"/>
    </w:p>
    <w:p w14:paraId="784CB7CE">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r>
        <w:rPr>
          <w:rFonts w:hint="eastAsia" w:ascii="Times New Roman" w:hAnsi="Times New Roman" w:eastAsia="方正仿宋_GBK" w:cs="Times New Roman"/>
          <w:sz w:val="28"/>
          <w:szCs w:val="24"/>
          <w:lang w:val="en-US" w:eastAsia="zh-CN" w:bidi="ar-SA"/>
        </w:rPr>
        <w:t>202</w:t>
      </w:r>
      <w:r>
        <w:rPr>
          <w:rFonts w:hint="eastAsia"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zh-CN" w:bidi="ar-SA"/>
        </w:rPr>
        <w:t>年，我</w:t>
      </w:r>
      <w:r>
        <w:rPr>
          <w:rFonts w:hint="eastAsia" w:eastAsia="方正仿宋_GBK" w:cs="Times New Roman"/>
          <w:sz w:val="28"/>
          <w:szCs w:val="24"/>
          <w:lang w:val="en-US" w:eastAsia="zh-CN" w:bidi="ar-SA"/>
        </w:rPr>
        <w:t>单位</w:t>
      </w:r>
      <w:r>
        <w:rPr>
          <w:rFonts w:hint="eastAsia" w:ascii="Times New Roman" w:hAnsi="Times New Roman" w:eastAsia="方正仿宋_GBK" w:cs="Times New Roman"/>
          <w:sz w:val="28"/>
          <w:szCs w:val="24"/>
          <w:lang w:val="en-US" w:eastAsia="zh-CN" w:bidi="ar-SA"/>
        </w:rPr>
        <w:t>机关运行经费共计安排</w:t>
      </w:r>
      <w:r>
        <w:rPr>
          <w:rFonts w:hint="eastAsia" w:eastAsia="方正仿宋_GBK" w:cs="Times New Roman"/>
          <w:sz w:val="28"/>
          <w:szCs w:val="24"/>
          <w:lang w:val="en-US" w:eastAsia="zh-CN" w:bidi="ar-SA"/>
        </w:rPr>
        <w:t>74.84</w:t>
      </w:r>
      <w:r>
        <w:rPr>
          <w:rFonts w:hint="eastAsia" w:ascii="Times New Roman" w:hAnsi="Times New Roman" w:eastAsia="方正仿宋_GBK" w:cs="Times New Roman"/>
          <w:sz w:val="28"/>
          <w:szCs w:val="24"/>
          <w:lang w:val="en-US" w:eastAsia="zh-CN" w:bidi="ar-SA"/>
        </w:rPr>
        <w:t>万元，主要用于中共廊坊市委网络安全和信息化委员会办公室办公区的日常维修、办公用房水电费、办公用房取暖费、办公用房物业管理费等日常运行支出。</w:t>
      </w:r>
    </w:p>
    <w:p w14:paraId="6DA0843B">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p>
    <w:p w14:paraId="7358C114">
      <w:pPr>
        <w:spacing w:before="10" w:after="10" w:line="360" w:lineRule="auto"/>
        <w:ind w:firstLine="640"/>
        <w:outlineLvl w:val="2"/>
        <w:rPr>
          <w:sz w:val="32"/>
          <w:szCs w:val="32"/>
          <w:highlight w:val="none"/>
        </w:rPr>
      </w:pPr>
      <w:bookmarkStart w:id="3" w:name="_Toc_3_3_0000000013"/>
      <w:r>
        <w:rPr>
          <w:rFonts w:ascii="黑体" w:hAnsi="黑体" w:eastAsia="黑体" w:cs="黑体"/>
          <w:color w:val="000000"/>
          <w:sz w:val="32"/>
          <w:szCs w:val="32"/>
          <w:highlight w:val="none"/>
        </w:rPr>
        <w:t>四、财政拨款“三公”经费预算情况及增减变化原因</w:t>
      </w:r>
      <w:bookmarkEnd w:id="3"/>
    </w:p>
    <w:p w14:paraId="57067F17">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uk-UA" w:bidi="ar-SA"/>
        </w:rPr>
      </w:pPr>
      <w:r>
        <w:rPr>
          <w:rFonts w:hint="eastAsia" w:ascii="Times New Roman" w:hAnsi="Times New Roman" w:eastAsia="方正仿宋_GBK" w:cs="Times New Roman"/>
          <w:sz w:val="28"/>
          <w:szCs w:val="24"/>
          <w:lang w:val="en-US" w:eastAsia="uk-UA" w:bidi="ar-SA"/>
        </w:rPr>
        <w:t>202</w:t>
      </w:r>
      <w:r>
        <w:rPr>
          <w:rFonts w:hint="eastAsia"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uk-UA" w:bidi="ar-SA"/>
        </w:rPr>
        <w:t>年，我</w:t>
      </w:r>
      <w:r>
        <w:rPr>
          <w:rFonts w:hint="eastAsia" w:eastAsia="方正仿宋_GBK" w:cs="Times New Roman"/>
          <w:sz w:val="28"/>
          <w:szCs w:val="24"/>
          <w:lang w:val="en-US" w:eastAsia="zh-CN" w:bidi="ar-SA"/>
        </w:rPr>
        <w:t>单位</w:t>
      </w:r>
      <w:r>
        <w:rPr>
          <w:rFonts w:hint="eastAsia" w:ascii="Times New Roman" w:hAnsi="Times New Roman" w:eastAsia="方正仿宋_GBK" w:cs="Times New Roman"/>
          <w:sz w:val="28"/>
          <w:szCs w:val="24"/>
          <w:lang w:val="en-US" w:eastAsia="uk-UA" w:bidi="ar-SA"/>
        </w:rPr>
        <w:t>财政拨款“三公”经费预算安排</w:t>
      </w:r>
      <w:r>
        <w:rPr>
          <w:rFonts w:hint="eastAsia" w:ascii="Times New Roman" w:hAnsi="Times New Roman" w:eastAsia="方正仿宋_GBK" w:cs="Times New Roman"/>
          <w:sz w:val="28"/>
          <w:szCs w:val="24"/>
          <w:lang w:val="en-US" w:eastAsia="zh-CN" w:bidi="ar-SA"/>
        </w:rPr>
        <w:t>6.63</w:t>
      </w:r>
      <w:r>
        <w:rPr>
          <w:rFonts w:hint="eastAsia" w:ascii="Times New Roman" w:hAnsi="Times New Roman" w:eastAsia="方正仿宋_GBK" w:cs="Times New Roman"/>
          <w:sz w:val="28"/>
          <w:szCs w:val="24"/>
          <w:lang w:val="en-US" w:eastAsia="uk-UA" w:bidi="ar-SA"/>
        </w:rPr>
        <w:t>万元。其中，因公出国（境）费0万元；公务用车购置及运维费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万元（其中：公务用车购置费为0万元，公务用车运维费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万元)；公务接待费0.4</w:t>
      </w:r>
      <w:r>
        <w:rPr>
          <w:rFonts w:hint="eastAsia" w:ascii="Times New Roman" w:hAnsi="Times New Roman"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uk-UA" w:bidi="ar-SA"/>
        </w:rPr>
        <w:t>万元。与202</w:t>
      </w:r>
      <w:r>
        <w:rPr>
          <w:rFonts w:hint="eastAsia" w:eastAsia="方正仿宋_GBK" w:cs="Times New Roman"/>
          <w:sz w:val="28"/>
          <w:szCs w:val="24"/>
          <w:lang w:val="en-US" w:eastAsia="zh-CN" w:bidi="ar-SA"/>
        </w:rPr>
        <w:t>2</w:t>
      </w:r>
      <w:r>
        <w:rPr>
          <w:rFonts w:hint="eastAsia" w:ascii="Times New Roman" w:hAnsi="Times New Roman" w:eastAsia="方正仿宋_GBK" w:cs="Times New Roman"/>
          <w:sz w:val="28"/>
          <w:szCs w:val="24"/>
          <w:lang w:val="en-US" w:eastAsia="uk-UA" w:bidi="ar-SA"/>
        </w:rPr>
        <w:t>年相比持平。</w:t>
      </w:r>
      <w:bookmarkStart w:id="4" w:name="_Toc_3_3_0000000014"/>
    </w:p>
    <w:p w14:paraId="01C9EEB5">
      <w:pPr>
        <w:pStyle w:val="2"/>
      </w:pPr>
    </w:p>
    <w:p w14:paraId="7E88C85B">
      <w:pPr>
        <w:spacing w:before="10" w:after="10" w:line="360" w:lineRule="auto"/>
        <w:ind w:firstLine="640"/>
        <w:outlineLvl w:val="2"/>
        <w:rPr>
          <w:sz w:val="32"/>
          <w:szCs w:val="32"/>
        </w:rPr>
      </w:pPr>
      <w:r>
        <w:rPr>
          <w:rFonts w:ascii="黑体" w:hAnsi="黑体" w:eastAsia="黑体" w:cs="黑体"/>
          <w:color w:val="000000"/>
          <w:sz w:val="32"/>
          <w:szCs w:val="32"/>
        </w:rPr>
        <w:t>五、预算绩效信息</w:t>
      </w:r>
      <w:bookmarkEnd w:id="4"/>
    </w:p>
    <w:p w14:paraId="4FCB9088">
      <w:pPr>
        <w:pStyle w:val="15"/>
        <w:ind w:firstLine="560"/>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1、网信业务保障经费绩效目标表</w:t>
      </w:r>
    </w:p>
    <w:p w14:paraId="6A1C3624">
      <w:pPr>
        <w:pStyle w:val="15"/>
        <w:spacing w:line="2" w:lineRule="exact"/>
        <w:jc w:val="center"/>
      </w:pPr>
      <w:r>
        <w:rPr>
          <w:rFonts w:ascii="方正书宋_GBK" w:hAnsi="方正书宋_GBK" w:eastAsia="方正书宋_GBK" w:cs="方正书宋_GBK"/>
          <w:color w:val="000000"/>
          <w:sz w:val="18"/>
        </w:rPr>
        <w:t xml:space="preserve"> </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69366A9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6928964">
            <w:pPr>
              <w:pStyle w:val="8"/>
            </w:pPr>
            <w:r>
              <w:t>绩效目标</w:t>
            </w:r>
          </w:p>
        </w:tc>
        <w:tc>
          <w:tcPr>
            <w:tcW w:w="7399" w:type="dxa"/>
            <w:tcBorders>
              <w:bottom w:val="single" w:color="FFFFFF" w:sz="6" w:space="0"/>
            </w:tcBorders>
            <w:vAlign w:val="center"/>
          </w:tcPr>
          <w:p w14:paraId="24448D46">
            <w:pPr>
              <w:pStyle w:val="9"/>
            </w:pPr>
            <w:r>
              <w:t>1.通过开展此项目，更好地发挥互联网宣传管理职能，全面保障廊坊市网信工作正常开展。</w:t>
            </w:r>
          </w:p>
          <w:p w14:paraId="303A3FC8">
            <w:pPr>
              <w:pStyle w:val="9"/>
            </w:pPr>
            <w:r>
              <w:t>2.保障廊坊网信办的指挥便捷、调度顺畅，为各项网信工作提供保障。</w:t>
            </w:r>
          </w:p>
        </w:tc>
      </w:tr>
    </w:tbl>
    <w:p w14:paraId="5FA77497">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76A258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1853666A">
            <w:pPr>
              <w:pStyle w:val="8"/>
            </w:pPr>
            <w:r>
              <w:t>一级指标</w:t>
            </w:r>
          </w:p>
        </w:tc>
        <w:tc>
          <w:tcPr>
            <w:tcW w:w="2466" w:type="dxa"/>
            <w:vAlign w:val="center"/>
          </w:tcPr>
          <w:p w14:paraId="6E3E88D6">
            <w:pPr>
              <w:pStyle w:val="8"/>
            </w:pPr>
            <w:r>
              <w:t>二级指标</w:t>
            </w:r>
          </w:p>
        </w:tc>
        <w:tc>
          <w:tcPr>
            <w:tcW w:w="2466" w:type="dxa"/>
            <w:vAlign w:val="center"/>
          </w:tcPr>
          <w:p w14:paraId="3F212601">
            <w:pPr>
              <w:pStyle w:val="8"/>
            </w:pPr>
            <w:r>
              <w:t>三级指标</w:t>
            </w:r>
          </w:p>
        </w:tc>
        <w:tc>
          <w:tcPr>
            <w:tcW w:w="2466" w:type="dxa"/>
            <w:vAlign w:val="center"/>
          </w:tcPr>
          <w:p w14:paraId="3A9F55D1">
            <w:pPr>
              <w:pStyle w:val="8"/>
            </w:pPr>
            <w:r>
              <w:t>绩效指标描述</w:t>
            </w:r>
          </w:p>
        </w:tc>
        <w:tc>
          <w:tcPr>
            <w:tcW w:w="2466" w:type="dxa"/>
            <w:vAlign w:val="center"/>
          </w:tcPr>
          <w:p w14:paraId="116C62CD">
            <w:pPr>
              <w:pStyle w:val="8"/>
            </w:pPr>
            <w:r>
              <w:t>指标值</w:t>
            </w:r>
          </w:p>
        </w:tc>
        <w:tc>
          <w:tcPr>
            <w:tcW w:w="2466" w:type="dxa"/>
            <w:vAlign w:val="center"/>
          </w:tcPr>
          <w:p w14:paraId="7F3ACEA6">
            <w:pPr>
              <w:pStyle w:val="8"/>
            </w:pPr>
            <w:r>
              <w:t>指标值确定依据</w:t>
            </w:r>
          </w:p>
        </w:tc>
      </w:tr>
      <w:tr w14:paraId="7F960E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20B4097">
            <w:pPr>
              <w:pStyle w:val="10"/>
            </w:pPr>
            <w:r>
              <w:t>产出指标</w:t>
            </w:r>
          </w:p>
        </w:tc>
        <w:tc>
          <w:tcPr>
            <w:tcW w:w="2466" w:type="dxa"/>
            <w:vAlign w:val="center"/>
          </w:tcPr>
          <w:p w14:paraId="6D1C9051">
            <w:pPr>
              <w:pStyle w:val="9"/>
            </w:pPr>
            <w:r>
              <w:t>数量指标</w:t>
            </w:r>
          </w:p>
        </w:tc>
        <w:tc>
          <w:tcPr>
            <w:tcW w:w="2466" w:type="dxa"/>
            <w:vAlign w:val="center"/>
          </w:tcPr>
          <w:p w14:paraId="437D98AC">
            <w:pPr>
              <w:pStyle w:val="9"/>
            </w:pPr>
            <w:r>
              <w:t>视频会议系统租赁数量</w:t>
            </w:r>
          </w:p>
        </w:tc>
        <w:tc>
          <w:tcPr>
            <w:tcW w:w="2466" w:type="dxa"/>
            <w:vAlign w:val="center"/>
          </w:tcPr>
          <w:p w14:paraId="6E60501F">
            <w:pPr>
              <w:pStyle w:val="9"/>
            </w:pPr>
            <w:r>
              <w:t>2023年视频会议系统租赁数量</w:t>
            </w:r>
          </w:p>
        </w:tc>
        <w:tc>
          <w:tcPr>
            <w:tcW w:w="2466" w:type="dxa"/>
            <w:vAlign w:val="center"/>
          </w:tcPr>
          <w:p w14:paraId="38025BBD">
            <w:pPr>
              <w:pStyle w:val="9"/>
            </w:pPr>
            <w:r>
              <w:t>1套</w:t>
            </w:r>
          </w:p>
        </w:tc>
        <w:tc>
          <w:tcPr>
            <w:tcW w:w="2466" w:type="dxa"/>
            <w:vAlign w:val="center"/>
          </w:tcPr>
          <w:p w14:paraId="0B3F1DB9">
            <w:pPr>
              <w:pStyle w:val="9"/>
            </w:pPr>
            <w:r>
              <w:t>实际租赁情况</w:t>
            </w:r>
          </w:p>
        </w:tc>
      </w:tr>
      <w:tr w14:paraId="04B488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CD986CF"/>
        </w:tc>
        <w:tc>
          <w:tcPr>
            <w:tcW w:w="2466" w:type="dxa"/>
            <w:vAlign w:val="center"/>
          </w:tcPr>
          <w:p w14:paraId="1BB7D673">
            <w:pPr>
              <w:pStyle w:val="9"/>
            </w:pPr>
            <w:r>
              <w:t>质量指标</w:t>
            </w:r>
          </w:p>
        </w:tc>
        <w:tc>
          <w:tcPr>
            <w:tcW w:w="2466" w:type="dxa"/>
            <w:vAlign w:val="center"/>
          </w:tcPr>
          <w:p w14:paraId="72D4A672">
            <w:pPr>
              <w:pStyle w:val="9"/>
            </w:pPr>
            <w:r>
              <w:t>安全保卫人员出勤率</w:t>
            </w:r>
          </w:p>
        </w:tc>
        <w:tc>
          <w:tcPr>
            <w:tcW w:w="2466" w:type="dxa"/>
            <w:vAlign w:val="center"/>
          </w:tcPr>
          <w:p w14:paraId="7AB6D3A0">
            <w:pPr>
              <w:pStyle w:val="9"/>
            </w:pPr>
            <w:r>
              <w:t>安全保卫人员全年出勤率率</w:t>
            </w:r>
          </w:p>
        </w:tc>
        <w:tc>
          <w:tcPr>
            <w:tcW w:w="2466" w:type="dxa"/>
            <w:vAlign w:val="center"/>
          </w:tcPr>
          <w:p w14:paraId="6E02076C">
            <w:pPr>
              <w:pStyle w:val="9"/>
            </w:pPr>
            <w:r>
              <w:t>≥95%</w:t>
            </w:r>
          </w:p>
        </w:tc>
        <w:tc>
          <w:tcPr>
            <w:tcW w:w="2466" w:type="dxa"/>
            <w:vAlign w:val="center"/>
          </w:tcPr>
          <w:p w14:paraId="08BF22B6">
            <w:pPr>
              <w:pStyle w:val="9"/>
            </w:pPr>
            <w:r>
              <w:t>工作记录表</w:t>
            </w:r>
          </w:p>
        </w:tc>
      </w:tr>
      <w:tr w14:paraId="53D50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9" w:hRule="atLeast"/>
          <w:jc w:val="center"/>
        </w:trPr>
        <w:tc>
          <w:tcPr>
            <w:tcW w:w="2466" w:type="dxa"/>
            <w:vMerge w:val="continue"/>
            <w:vAlign w:val="center"/>
          </w:tcPr>
          <w:p w14:paraId="176482E2"/>
        </w:tc>
        <w:tc>
          <w:tcPr>
            <w:tcW w:w="2466" w:type="dxa"/>
            <w:vAlign w:val="center"/>
          </w:tcPr>
          <w:p w14:paraId="64690A7D">
            <w:pPr>
              <w:pStyle w:val="9"/>
            </w:pPr>
            <w:r>
              <w:t>成本指标</w:t>
            </w:r>
          </w:p>
        </w:tc>
        <w:tc>
          <w:tcPr>
            <w:tcW w:w="2466" w:type="dxa"/>
            <w:vAlign w:val="center"/>
          </w:tcPr>
          <w:p w14:paraId="3F7DEB98">
            <w:pPr>
              <w:pStyle w:val="9"/>
            </w:pPr>
            <w:r>
              <w:t>文印服务成本</w:t>
            </w:r>
          </w:p>
        </w:tc>
        <w:tc>
          <w:tcPr>
            <w:tcW w:w="2466" w:type="dxa"/>
            <w:vAlign w:val="center"/>
          </w:tcPr>
          <w:p w14:paraId="0010A9D5">
            <w:pPr>
              <w:pStyle w:val="9"/>
            </w:pPr>
            <w:r>
              <w:t>全年文印服务费用</w:t>
            </w:r>
          </w:p>
        </w:tc>
        <w:tc>
          <w:tcPr>
            <w:tcW w:w="2466" w:type="dxa"/>
            <w:vAlign w:val="center"/>
          </w:tcPr>
          <w:p w14:paraId="5A15DE00">
            <w:pPr>
              <w:pStyle w:val="9"/>
            </w:pPr>
            <w:r>
              <w:t>≤20万元</w:t>
            </w:r>
          </w:p>
        </w:tc>
        <w:tc>
          <w:tcPr>
            <w:tcW w:w="2466" w:type="dxa"/>
            <w:vAlign w:val="center"/>
          </w:tcPr>
          <w:p w14:paraId="490CD844">
            <w:pPr>
              <w:pStyle w:val="9"/>
            </w:pPr>
            <w:r>
              <w:t>实际支付情况</w:t>
            </w:r>
          </w:p>
        </w:tc>
      </w:tr>
      <w:tr w14:paraId="2557FE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3" w:hRule="atLeast"/>
          <w:jc w:val="center"/>
        </w:trPr>
        <w:tc>
          <w:tcPr>
            <w:tcW w:w="2466" w:type="dxa"/>
            <w:vAlign w:val="center"/>
          </w:tcPr>
          <w:p w14:paraId="1E899712">
            <w:pPr>
              <w:pStyle w:val="10"/>
            </w:pPr>
            <w:r>
              <w:t>效益指标</w:t>
            </w:r>
          </w:p>
        </w:tc>
        <w:tc>
          <w:tcPr>
            <w:tcW w:w="2466" w:type="dxa"/>
            <w:vAlign w:val="center"/>
          </w:tcPr>
          <w:p w14:paraId="1781F7C4">
            <w:pPr>
              <w:pStyle w:val="9"/>
            </w:pPr>
            <w:r>
              <w:t>社会效益指标</w:t>
            </w:r>
          </w:p>
        </w:tc>
        <w:tc>
          <w:tcPr>
            <w:tcW w:w="2466" w:type="dxa"/>
            <w:vAlign w:val="center"/>
          </w:tcPr>
          <w:p w14:paraId="23CF8379">
            <w:pPr>
              <w:pStyle w:val="9"/>
            </w:pPr>
            <w:r>
              <w:t>营造安全稳定的网络空间和良好网上舆论氛围</w:t>
            </w:r>
          </w:p>
        </w:tc>
        <w:tc>
          <w:tcPr>
            <w:tcW w:w="2466" w:type="dxa"/>
            <w:vAlign w:val="center"/>
          </w:tcPr>
          <w:p w14:paraId="12398F89">
            <w:pPr>
              <w:pStyle w:val="9"/>
            </w:pPr>
            <w:r>
              <w:t>是否营造安全稳定繁荣的网络空间和良好网上舆论氛围</w:t>
            </w:r>
          </w:p>
        </w:tc>
        <w:tc>
          <w:tcPr>
            <w:tcW w:w="2466" w:type="dxa"/>
            <w:vAlign w:val="center"/>
          </w:tcPr>
          <w:p w14:paraId="0D88EB13">
            <w:pPr>
              <w:pStyle w:val="9"/>
            </w:pPr>
            <w:r>
              <w:t>是</w:t>
            </w:r>
          </w:p>
        </w:tc>
        <w:tc>
          <w:tcPr>
            <w:tcW w:w="2466" w:type="dxa"/>
            <w:vAlign w:val="center"/>
          </w:tcPr>
          <w:p w14:paraId="678E517E">
            <w:pPr>
              <w:pStyle w:val="9"/>
            </w:pPr>
            <w:r>
              <w:t>工作总结</w:t>
            </w:r>
          </w:p>
        </w:tc>
      </w:tr>
      <w:tr w14:paraId="2616C9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496D444">
            <w:pPr>
              <w:pStyle w:val="10"/>
            </w:pPr>
            <w:r>
              <w:t>满意度指标</w:t>
            </w:r>
          </w:p>
        </w:tc>
        <w:tc>
          <w:tcPr>
            <w:tcW w:w="2466" w:type="dxa"/>
            <w:vAlign w:val="center"/>
          </w:tcPr>
          <w:p w14:paraId="5F2F9998">
            <w:pPr>
              <w:pStyle w:val="9"/>
            </w:pPr>
            <w:r>
              <w:t>服务对象满意度指标</w:t>
            </w:r>
          </w:p>
        </w:tc>
        <w:tc>
          <w:tcPr>
            <w:tcW w:w="2466" w:type="dxa"/>
            <w:vAlign w:val="center"/>
          </w:tcPr>
          <w:p w14:paraId="7EBCAB2F">
            <w:pPr>
              <w:pStyle w:val="9"/>
            </w:pPr>
            <w:r>
              <w:t>视频会议系统使用人员满意度　</w:t>
            </w:r>
          </w:p>
        </w:tc>
        <w:tc>
          <w:tcPr>
            <w:tcW w:w="2466" w:type="dxa"/>
            <w:vAlign w:val="center"/>
          </w:tcPr>
          <w:p w14:paraId="5E4ADB3D">
            <w:pPr>
              <w:pStyle w:val="9"/>
            </w:pPr>
            <w:r>
              <w:t>视频会议系统使用人员满意率</w:t>
            </w:r>
          </w:p>
        </w:tc>
        <w:tc>
          <w:tcPr>
            <w:tcW w:w="2466" w:type="dxa"/>
            <w:vAlign w:val="center"/>
          </w:tcPr>
          <w:p w14:paraId="5F2EFAAE">
            <w:pPr>
              <w:pStyle w:val="9"/>
            </w:pPr>
            <w:r>
              <w:t>≥90%　</w:t>
            </w:r>
          </w:p>
        </w:tc>
        <w:tc>
          <w:tcPr>
            <w:tcW w:w="2466" w:type="dxa"/>
            <w:vAlign w:val="center"/>
          </w:tcPr>
          <w:p w14:paraId="359DA113">
            <w:pPr>
              <w:pStyle w:val="9"/>
            </w:pPr>
            <w:r>
              <w:t>问卷调查　</w:t>
            </w:r>
          </w:p>
        </w:tc>
      </w:tr>
    </w:tbl>
    <w:p w14:paraId="454EC194">
      <w:pPr>
        <w:pStyle w:val="2"/>
        <w:rPr>
          <w:rFonts w:ascii="方正仿宋_GBK" w:hAnsi="方正仿宋_GBK" w:eastAsia="方正仿宋_GBK" w:cs="方正仿宋_GBK"/>
          <w:b/>
          <w:color w:val="000000"/>
          <w:sz w:val="28"/>
        </w:rPr>
      </w:pPr>
    </w:p>
    <w:p w14:paraId="127B0817">
      <w:pPr>
        <w:pStyle w:val="2"/>
        <w:rPr>
          <w:rFonts w:ascii="方正仿宋_GBK" w:hAnsi="方正仿宋_GBK" w:eastAsia="方正仿宋_GBK" w:cs="方正仿宋_GBK"/>
          <w:b/>
          <w:color w:val="000000"/>
          <w:sz w:val="28"/>
        </w:rPr>
      </w:pPr>
    </w:p>
    <w:p w14:paraId="346B6D28">
      <w:pPr>
        <w:spacing w:before="0" w:after="0"/>
        <w:ind w:firstLine="560"/>
        <w:jc w:val="left"/>
        <w:outlineLvl w:val="9"/>
        <w:rPr>
          <w:rFonts w:ascii="方正仿宋_GBK" w:hAnsi="方正仿宋_GBK" w:eastAsia="方正仿宋_GBK" w:cs="方正仿宋_GBK"/>
          <w:b/>
          <w:color w:val="000000"/>
          <w:sz w:val="28"/>
        </w:rPr>
      </w:pPr>
    </w:p>
    <w:p w14:paraId="5FBCDA7B">
      <w:pPr>
        <w:pStyle w:val="15"/>
        <w:ind w:firstLine="560"/>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2、公务网络机房维护经费绩效目标表</w:t>
      </w:r>
    </w:p>
    <w:p w14:paraId="1D3FF815">
      <w:pPr>
        <w:pStyle w:val="15"/>
        <w:ind w:firstLine="560"/>
        <w:rPr>
          <w:rFonts w:ascii="黑体" w:hAnsi="黑体" w:eastAsia="黑体" w:cs="黑体"/>
          <w:color w:val="000000"/>
          <w:sz w:val="32"/>
          <w:szCs w:val="32"/>
          <w:lang w:val="en-US" w:eastAsia="uk-UA" w:bidi="ar-SA"/>
        </w:rPr>
      </w:pP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6A99C76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60D425D4">
            <w:pPr>
              <w:pStyle w:val="8"/>
            </w:pPr>
            <w:r>
              <w:t>绩效目标</w:t>
            </w:r>
          </w:p>
        </w:tc>
        <w:tc>
          <w:tcPr>
            <w:tcW w:w="7399" w:type="dxa"/>
            <w:tcBorders>
              <w:bottom w:val="single" w:color="FFFFFF" w:sz="6" w:space="0"/>
            </w:tcBorders>
            <w:vAlign w:val="center"/>
          </w:tcPr>
          <w:p w14:paraId="79446D26">
            <w:pPr>
              <w:pStyle w:val="9"/>
            </w:pPr>
            <w:r>
              <w:t>1.通过项目的开展，确保机房各类设备安全稳定运行，保障电子政务外网、办公资源网、财政、GIS等专网畅通；确保电子政务外网畅通，各业务专网稳定；实时监测各个托管政务信息化系统，保障公务云计算中心稳定运行；</w:t>
            </w:r>
          </w:p>
          <w:p w14:paraId="3683A4AF">
            <w:pPr>
              <w:pStyle w:val="9"/>
            </w:pPr>
            <w:r>
              <w:t>2.通过项目的开展，确保信息资源中心公务网络机房各类设备稳定运行，保障公务网络畅通。</w:t>
            </w:r>
          </w:p>
        </w:tc>
      </w:tr>
    </w:tbl>
    <w:p w14:paraId="09E0B37B">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56941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2E18D188">
            <w:pPr>
              <w:pStyle w:val="8"/>
            </w:pPr>
            <w:r>
              <w:t>一级指标</w:t>
            </w:r>
          </w:p>
        </w:tc>
        <w:tc>
          <w:tcPr>
            <w:tcW w:w="2466" w:type="dxa"/>
            <w:vAlign w:val="center"/>
          </w:tcPr>
          <w:p w14:paraId="6E691A7B">
            <w:pPr>
              <w:pStyle w:val="8"/>
            </w:pPr>
            <w:r>
              <w:t>二级指标</w:t>
            </w:r>
          </w:p>
        </w:tc>
        <w:tc>
          <w:tcPr>
            <w:tcW w:w="2466" w:type="dxa"/>
            <w:vAlign w:val="center"/>
          </w:tcPr>
          <w:p w14:paraId="71A14C25">
            <w:pPr>
              <w:pStyle w:val="8"/>
            </w:pPr>
            <w:r>
              <w:t>三级指标</w:t>
            </w:r>
          </w:p>
        </w:tc>
        <w:tc>
          <w:tcPr>
            <w:tcW w:w="2466" w:type="dxa"/>
            <w:vAlign w:val="center"/>
          </w:tcPr>
          <w:p w14:paraId="0B41EC7D">
            <w:pPr>
              <w:pStyle w:val="8"/>
            </w:pPr>
            <w:r>
              <w:t>绩效指标描述</w:t>
            </w:r>
          </w:p>
        </w:tc>
        <w:tc>
          <w:tcPr>
            <w:tcW w:w="2466" w:type="dxa"/>
            <w:vAlign w:val="center"/>
          </w:tcPr>
          <w:p w14:paraId="20D20A3A">
            <w:pPr>
              <w:pStyle w:val="8"/>
            </w:pPr>
            <w:r>
              <w:t>指标值</w:t>
            </w:r>
          </w:p>
        </w:tc>
        <w:tc>
          <w:tcPr>
            <w:tcW w:w="2466" w:type="dxa"/>
            <w:vAlign w:val="center"/>
          </w:tcPr>
          <w:p w14:paraId="344EB2D6">
            <w:pPr>
              <w:pStyle w:val="8"/>
            </w:pPr>
            <w:r>
              <w:t>指标值确定依据</w:t>
            </w:r>
          </w:p>
        </w:tc>
      </w:tr>
      <w:tr w14:paraId="4EE5F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15EE6AA2">
            <w:pPr>
              <w:pStyle w:val="10"/>
            </w:pPr>
            <w:r>
              <w:t>产出指标</w:t>
            </w:r>
          </w:p>
        </w:tc>
        <w:tc>
          <w:tcPr>
            <w:tcW w:w="2466" w:type="dxa"/>
            <w:vAlign w:val="center"/>
          </w:tcPr>
          <w:p w14:paraId="3317880D">
            <w:pPr>
              <w:pStyle w:val="9"/>
            </w:pPr>
            <w:r>
              <w:t>数量指标</w:t>
            </w:r>
          </w:p>
        </w:tc>
        <w:tc>
          <w:tcPr>
            <w:tcW w:w="2466" w:type="dxa"/>
            <w:vAlign w:val="center"/>
          </w:tcPr>
          <w:p w14:paraId="0F6E31A5">
            <w:pPr>
              <w:pStyle w:val="9"/>
            </w:pPr>
            <w:r>
              <w:t>运维市级接入单位互连线路数量</w:t>
            </w:r>
          </w:p>
        </w:tc>
        <w:tc>
          <w:tcPr>
            <w:tcW w:w="2466" w:type="dxa"/>
            <w:vAlign w:val="center"/>
          </w:tcPr>
          <w:p w14:paraId="0977383F">
            <w:pPr>
              <w:pStyle w:val="9"/>
            </w:pPr>
            <w:r>
              <w:t>运维市级接入单位互连线路并能保证稳定俺去运行的总体数量</w:t>
            </w:r>
          </w:p>
        </w:tc>
        <w:tc>
          <w:tcPr>
            <w:tcW w:w="2466" w:type="dxa"/>
            <w:vAlign w:val="center"/>
          </w:tcPr>
          <w:p w14:paraId="1B3EF0EC">
            <w:pPr>
              <w:pStyle w:val="9"/>
            </w:pPr>
            <w:r>
              <w:t>≥200条</w:t>
            </w:r>
          </w:p>
        </w:tc>
        <w:tc>
          <w:tcPr>
            <w:tcW w:w="2466" w:type="dxa"/>
            <w:vAlign w:val="center"/>
          </w:tcPr>
          <w:p w14:paraId="23DBEF77">
            <w:pPr>
              <w:pStyle w:val="9"/>
            </w:pPr>
            <w:r>
              <w:t>根据实际运行数据统计测算。</w:t>
            </w:r>
          </w:p>
        </w:tc>
      </w:tr>
      <w:tr w14:paraId="4E7687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249535C"/>
        </w:tc>
        <w:tc>
          <w:tcPr>
            <w:tcW w:w="2466" w:type="dxa"/>
            <w:vAlign w:val="center"/>
          </w:tcPr>
          <w:p w14:paraId="3E8A0832">
            <w:pPr>
              <w:pStyle w:val="9"/>
            </w:pPr>
            <w:r>
              <w:t>质量指标</w:t>
            </w:r>
          </w:p>
        </w:tc>
        <w:tc>
          <w:tcPr>
            <w:tcW w:w="2466" w:type="dxa"/>
            <w:vAlign w:val="center"/>
          </w:tcPr>
          <w:p w14:paraId="06AFE98E">
            <w:pPr>
              <w:pStyle w:val="9"/>
            </w:pPr>
            <w:r>
              <w:t>政务外网服务中断率</w:t>
            </w:r>
          </w:p>
        </w:tc>
        <w:tc>
          <w:tcPr>
            <w:tcW w:w="2466" w:type="dxa"/>
            <w:vAlign w:val="center"/>
          </w:tcPr>
          <w:p w14:paraId="3C80BBC2">
            <w:pPr>
              <w:pStyle w:val="9"/>
            </w:pPr>
            <w:r>
              <w:t>累计中断时间与使用时间的比值。</w:t>
            </w:r>
          </w:p>
        </w:tc>
        <w:tc>
          <w:tcPr>
            <w:tcW w:w="2466" w:type="dxa"/>
            <w:vAlign w:val="center"/>
          </w:tcPr>
          <w:p w14:paraId="67021FAE">
            <w:pPr>
              <w:pStyle w:val="9"/>
            </w:pPr>
            <w:r>
              <w:t>≤2%</w:t>
            </w:r>
          </w:p>
        </w:tc>
        <w:tc>
          <w:tcPr>
            <w:tcW w:w="2466" w:type="dxa"/>
            <w:vAlign w:val="center"/>
          </w:tcPr>
          <w:p w14:paraId="3C669200">
            <w:pPr>
              <w:pStyle w:val="9"/>
            </w:pPr>
            <w:r>
              <w:t>根据实际运行数据统计测算。</w:t>
            </w:r>
          </w:p>
        </w:tc>
      </w:tr>
      <w:tr w14:paraId="53582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2526A7F"/>
        </w:tc>
        <w:tc>
          <w:tcPr>
            <w:tcW w:w="2466" w:type="dxa"/>
            <w:vAlign w:val="center"/>
          </w:tcPr>
          <w:p w14:paraId="7011E537">
            <w:pPr>
              <w:pStyle w:val="9"/>
            </w:pPr>
            <w:r>
              <w:t>时效指标</w:t>
            </w:r>
          </w:p>
        </w:tc>
        <w:tc>
          <w:tcPr>
            <w:tcW w:w="2466" w:type="dxa"/>
            <w:vAlign w:val="center"/>
          </w:tcPr>
          <w:p w14:paraId="56BE9581">
            <w:pPr>
              <w:pStyle w:val="9"/>
            </w:pPr>
            <w:r>
              <w:t>政务外网线路故障修复效率</w:t>
            </w:r>
          </w:p>
        </w:tc>
        <w:tc>
          <w:tcPr>
            <w:tcW w:w="2466" w:type="dxa"/>
            <w:vAlign w:val="center"/>
          </w:tcPr>
          <w:p w14:paraId="5F8D8542">
            <w:pPr>
              <w:pStyle w:val="9"/>
            </w:pPr>
            <w:r>
              <w:t>各类线路故障修复平均时间</w:t>
            </w:r>
          </w:p>
        </w:tc>
        <w:tc>
          <w:tcPr>
            <w:tcW w:w="2466" w:type="dxa"/>
            <w:vAlign w:val="center"/>
          </w:tcPr>
          <w:p w14:paraId="14D271FC">
            <w:pPr>
              <w:pStyle w:val="9"/>
            </w:pPr>
            <w:r>
              <w:t>≤4小时　</w:t>
            </w:r>
          </w:p>
        </w:tc>
        <w:tc>
          <w:tcPr>
            <w:tcW w:w="2466" w:type="dxa"/>
            <w:vAlign w:val="center"/>
          </w:tcPr>
          <w:p w14:paraId="2943F1D6">
            <w:pPr>
              <w:pStyle w:val="9"/>
            </w:pPr>
            <w:r>
              <w:t>根据线路全市实际运行数据统计测算。</w:t>
            </w:r>
          </w:p>
        </w:tc>
      </w:tr>
      <w:tr w14:paraId="48249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1B9CD8F"/>
        </w:tc>
        <w:tc>
          <w:tcPr>
            <w:tcW w:w="2466" w:type="dxa"/>
            <w:vAlign w:val="center"/>
          </w:tcPr>
          <w:p w14:paraId="6A452A0D">
            <w:pPr>
              <w:pStyle w:val="9"/>
            </w:pPr>
            <w:r>
              <w:t>成本指标</w:t>
            </w:r>
          </w:p>
        </w:tc>
        <w:tc>
          <w:tcPr>
            <w:tcW w:w="2466" w:type="dxa"/>
            <w:vAlign w:val="center"/>
          </w:tcPr>
          <w:p w14:paraId="3BAEDA8B">
            <w:pPr>
              <w:pStyle w:val="9"/>
            </w:pPr>
            <w:r>
              <w:t>公务网络机房用电单价</w:t>
            </w:r>
          </w:p>
        </w:tc>
        <w:tc>
          <w:tcPr>
            <w:tcW w:w="2466" w:type="dxa"/>
            <w:vAlign w:val="center"/>
          </w:tcPr>
          <w:p w14:paraId="59E6617D">
            <w:pPr>
              <w:pStyle w:val="9"/>
            </w:pPr>
            <w:r>
              <w:t>公务网络机房用电单价</w:t>
            </w:r>
          </w:p>
        </w:tc>
        <w:tc>
          <w:tcPr>
            <w:tcW w:w="2466" w:type="dxa"/>
            <w:vAlign w:val="center"/>
          </w:tcPr>
          <w:p w14:paraId="377906EF">
            <w:pPr>
              <w:pStyle w:val="9"/>
            </w:pPr>
            <w:r>
              <w:t>1.1元/度</w:t>
            </w:r>
          </w:p>
        </w:tc>
        <w:tc>
          <w:tcPr>
            <w:tcW w:w="2466" w:type="dxa"/>
            <w:vAlign w:val="center"/>
          </w:tcPr>
          <w:p w14:paraId="7294EBCF">
            <w:pPr>
              <w:pStyle w:val="9"/>
            </w:pPr>
            <w:r>
              <w:t>实际执行情况</w:t>
            </w:r>
          </w:p>
        </w:tc>
      </w:tr>
      <w:tr w14:paraId="1A7E3D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12E4259">
            <w:pPr>
              <w:pStyle w:val="10"/>
            </w:pPr>
            <w:r>
              <w:t>效益指标</w:t>
            </w:r>
          </w:p>
        </w:tc>
        <w:tc>
          <w:tcPr>
            <w:tcW w:w="2466" w:type="dxa"/>
            <w:vAlign w:val="center"/>
          </w:tcPr>
          <w:p w14:paraId="695D4466">
            <w:pPr>
              <w:pStyle w:val="9"/>
            </w:pPr>
            <w:r>
              <w:t>社会效益指标</w:t>
            </w:r>
          </w:p>
        </w:tc>
        <w:tc>
          <w:tcPr>
            <w:tcW w:w="2466" w:type="dxa"/>
            <w:vAlign w:val="center"/>
          </w:tcPr>
          <w:p w14:paraId="24582510">
            <w:pPr>
              <w:pStyle w:val="9"/>
            </w:pPr>
            <w:r>
              <w:t>妥善保障公务云平台上各政务系统稳定运行</w:t>
            </w:r>
          </w:p>
        </w:tc>
        <w:tc>
          <w:tcPr>
            <w:tcW w:w="2466" w:type="dxa"/>
            <w:vAlign w:val="center"/>
          </w:tcPr>
          <w:p w14:paraId="197A6B1D">
            <w:pPr>
              <w:pStyle w:val="9"/>
            </w:pPr>
            <w:r>
              <w:t>是否能够稳定运行公务云平台上的政务系统，为相关市直单位施政履职提供信息化支撑</w:t>
            </w:r>
          </w:p>
        </w:tc>
        <w:tc>
          <w:tcPr>
            <w:tcW w:w="2466" w:type="dxa"/>
            <w:vAlign w:val="center"/>
          </w:tcPr>
          <w:p w14:paraId="785DBE65">
            <w:pPr>
              <w:pStyle w:val="9"/>
            </w:pPr>
            <w:r>
              <w:t>能够稳定运行</w:t>
            </w:r>
          </w:p>
        </w:tc>
        <w:tc>
          <w:tcPr>
            <w:tcW w:w="2466" w:type="dxa"/>
            <w:vAlign w:val="center"/>
          </w:tcPr>
          <w:p w14:paraId="320F598E">
            <w:pPr>
              <w:pStyle w:val="9"/>
            </w:pPr>
            <w:r>
              <w:t>工作总结。</w:t>
            </w:r>
          </w:p>
        </w:tc>
      </w:tr>
      <w:tr w14:paraId="5915C9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5C8A833">
            <w:pPr>
              <w:pStyle w:val="10"/>
            </w:pPr>
            <w:r>
              <w:t>满意度指标</w:t>
            </w:r>
          </w:p>
        </w:tc>
        <w:tc>
          <w:tcPr>
            <w:tcW w:w="2466" w:type="dxa"/>
            <w:vAlign w:val="center"/>
          </w:tcPr>
          <w:p w14:paraId="73A03A49">
            <w:pPr>
              <w:pStyle w:val="9"/>
            </w:pPr>
            <w:r>
              <w:t>服务对象满意度指标</w:t>
            </w:r>
          </w:p>
        </w:tc>
        <w:tc>
          <w:tcPr>
            <w:tcW w:w="2466" w:type="dxa"/>
            <w:vAlign w:val="center"/>
          </w:tcPr>
          <w:p w14:paraId="2A5B84C3">
            <w:pPr>
              <w:pStyle w:val="9"/>
            </w:pPr>
            <w:r>
              <w:t>公务网络服务满意度</w:t>
            </w:r>
          </w:p>
        </w:tc>
        <w:tc>
          <w:tcPr>
            <w:tcW w:w="2466" w:type="dxa"/>
            <w:vAlign w:val="center"/>
          </w:tcPr>
          <w:p w14:paraId="77B818BA">
            <w:pPr>
              <w:pStyle w:val="9"/>
            </w:pPr>
            <w:r>
              <w:t>接入单位服务满意度</w:t>
            </w:r>
          </w:p>
        </w:tc>
        <w:tc>
          <w:tcPr>
            <w:tcW w:w="2466" w:type="dxa"/>
            <w:vAlign w:val="center"/>
          </w:tcPr>
          <w:p w14:paraId="26AF9B1E">
            <w:pPr>
              <w:pStyle w:val="9"/>
            </w:pPr>
            <w:r>
              <w:t>≥90%</w:t>
            </w:r>
          </w:p>
        </w:tc>
        <w:tc>
          <w:tcPr>
            <w:tcW w:w="2466" w:type="dxa"/>
            <w:vAlign w:val="center"/>
          </w:tcPr>
          <w:p w14:paraId="071CC54D">
            <w:pPr>
              <w:pStyle w:val="9"/>
            </w:pPr>
            <w:r>
              <w:t>调查问卷</w:t>
            </w:r>
          </w:p>
        </w:tc>
      </w:tr>
    </w:tbl>
    <w:p w14:paraId="6375E765">
      <w:pPr>
        <w:pStyle w:val="15"/>
        <w:rPr>
          <w:rFonts w:hint="eastAsia" w:eastAsia="宋体"/>
          <w:lang w:val="en-US" w:eastAsia="zh-CN"/>
        </w:rPr>
      </w:pPr>
      <w:r>
        <w:rPr>
          <w:rFonts w:hint="eastAsia" w:eastAsia="宋体"/>
          <w:lang w:val="en-US" w:eastAsia="zh-CN"/>
        </w:rPr>
        <w:t xml:space="preserve">   </w:t>
      </w:r>
    </w:p>
    <w:p w14:paraId="7E70FCA6">
      <w:pPr>
        <w:spacing w:before="0" w:after="0"/>
        <w:ind w:firstLine="560"/>
        <w:jc w:val="left"/>
        <w:outlineLvl w:val="9"/>
        <w:rPr>
          <w:rFonts w:ascii="方正仿宋_GBK" w:hAnsi="方正仿宋_GBK" w:eastAsia="方正仿宋_GBK" w:cs="方正仿宋_GBK"/>
          <w:b/>
          <w:color w:val="000000"/>
          <w:sz w:val="28"/>
        </w:rPr>
      </w:pPr>
    </w:p>
    <w:p w14:paraId="5D6E86E6">
      <w:pPr>
        <w:spacing w:before="0" w:after="0"/>
        <w:ind w:firstLine="560"/>
        <w:jc w:val="left"/>
        <w:outlineLvl w:val="9"/>
        <w:rPr>
          <w:rFonts w:ascii="方正仿宋_GBK" w:hAnsi="方正仿宋_GBK" w:eastAsia="方正仿宋_GBK" w:cs="方正仿宋_GBK"/>
          <w:b/>
          <w:color w:val="000000"/>
          <w:sz w:val="28"/>
        </w:rPr>
      </w:pPr>
    </w:p>
    <w:p w14:paraId="1610EC30">
      <w:pPr>
        <w:spacing w:before="0" w:after="0"/>
        <w:jc w:val="left"/>
        <w:outlineLvl w:val="9"/>
        <w:rPr>
          <w:rFonts w:ascii="方正仿宋_GBK" w:hAnsi="方正仿宋_GBK" w:eastAsia="方正仿宋_GBK" w:cs="方正仿宋_GBK"/>
          <w:b/>
          <w:color w:val="000000"/>
          <w:sz w:val="28"/>
        </w:rPr>
      </w:pPr>
    </w:p>
    <w:p w14:paraId="5708C157">
      <w:pPr>
        <w:spacing w:before="0" w:after="0"/>
        <w:ind w:firstLine="56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3、河北健康码与身份证绑定查验廊坊平台运行维护经费绩效目标表</w:t>
      </w:r>
    </w:p>
    <w:p w14:paraId="42A1123E">
      <w:pPr>
        <w:pStyle w:val="15"/>
        <w:rPr>
          <w:rFonts w:hint="default" w:eastAsia="宋体"/>
          <w:lang w:val="en-US" w:eastAsia="zh-CN"/>
        </w:rPr>
      </w:pP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00B872A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2A77E935">
            <w:pPr>
              <w:pStyle w:val="8"/>
            </w:pPr>
            <w:r>
              <w:t>绩效目标</w:t>
            </w:r>
          </w:p>
        </w:tc>
        <w:tc>
          <w:tcPr>
            <w:tcW w:w="7399" w:type="dxa"/>
            <w:tcBorders>
              <w:bottom w:val="single" w:color="FFFFFF" w:sz="6" w:space="0"/>
            </w:tcBorders>
            <w:vAlign w:val="center"/>
          </w:tcPr>
          <w:p w14:paraId="1D36F63B">
            <w:pPr>
              <w:pStyle w:val="9"/>
            </w:pPr>
            <w:r>
              <w:t>1.通过实施此项目，确保平台安全性和稳定性，保持我市刷身份证同步查验健康码工作稳定，实现数据的安全管理和高效利用。</w:t>
            </w:r>
          </w:p>
          <w:p w14:paraId="0E1E9B0A">
            <w:pPr>
              <w:pStyle w:val="9"/>
            </w:pPr>
            <w:r>
              <w:t>2.过实施此项目，保证全市15242台测温设备刷身份证同步查验健康码工作，保障系统满足等级保护三级要求，确保平台安全性和稳定性，实现数据的安全管理和高效利用。</w:t>
            </w:r>
          </w:p>
        </w:tc>
      </w:tr>
    </w:tbl>
    <w:p w14:paraId="04E496E1">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0A08B8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F22E9F8">
            <w:pPr>
              <w:pStyle w:val="8"/>
            </w:pPr>
            <w:r>
              <w:t>一级指标</w:t>
            </w:r>
          </w:p>
        </w:tc>
        <w:tc>
          <w:tcPr>
            <w:tcW w:w="2466" w:type="dxa"/>
            <w:vAlign w:val="center"/>
          </w:tcPr>
          <w:p w14:paraId="0408266C">
            <w:pPr>
              <w:pStyle w:val="8"/>
            </w:pPr>
            <w:r>
              <w:t>二级指标</w:t>
            </w:r>
          </w:p>
        </w:tc>
        <w:tc>
          <w:tcPr>
            <w:tcW w:w="2466" w:type="dxa"/>
            <w:vAlign w:val="center"/>
          </w:tcPr>
          <w:p w14:paraId="192174E6">
            <w:pPr>
              <w:pStyle w:val="8"/>
            </w:pPr>
            <w:r>
              <w:t>三级指标</w:t>
            </w:r>
          </w:p>
        </w:tc>
        <w:tc>
          <w:tcPr>
            <w:tcW w:w="2466" w:type="dxa"/>
            <w:vAlign w:val="center"/>
          </w:tcPr>
          <w:p w14:paraId="085AAD4B">
            <w:pPr>
              <w:pStyle w:val="8"/>
            </w:pPr>
            <w:r>
              <w:t>绩效指标描述</w:t>
            </w:r>
          </w:p>
        </w:tc>
        <w:tc>
          <w:tcPr>
            <w:tcW w:w="2466" w:type="dxa"/>
            <w:vAlign w:val="center"/>
          </w:tcPr>
          <w:p w14:paraId="03F8D4D6">
            <w:pPr>
              <w:pStyle w:val="8"/>
            </w:pPr>
            <w:r>
              <w:t>指标值</w:t>
            </w:r>
          </w:p>
        </w:tc>
        <w:tc>
          <w:tcPr>
            <w:tcW w:w="2466" w:type="dxa"/>
            <w:vAlign w:val="center"/>
          </w:tcPr>
          <w:p w14:paraId="2E1BBE27">
            <w:pPr>
              <w:pStyle w:val="8"/>
            </w:pPr>
            <w:r>
              <w:t>指标值确定依据</w:t>
            </w:r>
          </w:p>
        </w:tc>
      </w:tr>
      <w:tr w14:paraId="5DC16F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B371681">
            <w:pPr>
              <w:pStyle w:val="10"/>
            </w:pPr>
            <w:r>
              <w:t>产出指标</w:t>
            </w:r>
          </w:p>
        </w:tc>
        <w:tc>
          <w:tcPr>
            <w:tcW w:w="2466" w:type="dxa"/>
            <w:vAlign w:val="center"/>
          </w:tcPr>
          <w:p w14:paraId="298DA8F5">
            <w:pPr>
              <w:pStyle w:val="9"/>
            </w:pPr>
            <w:r>
              <w:t>数量指标</w:t>
            </w:r>
          </w:p>
        </w:tc>
        <w:tc>
          <w:tcPr>
            <w:tcW w:w="2466" w:type="dxa"/>
            <w:vAlign w:val="center"/>
          </w:tcPr>
          <w:p w14:paraId="39D44DEB">
            <w:pPr>
              <w:pStyle w:val="9"/>
            </w:pPr>
            <w:r>
              <w:t>等保测评情况</w:t>
            </w:r>
          </w:p>
        </w:tc>
        <w:tc>
          <w:tcPr>
            <w:tcW w:w="2466" w:type="dxa"/>
            <w:vAlign w:val="center"/>
          </w:tcPr>
          <w:p w14:paraId="40411609">
            <w:pPr>
              <w:pStyle w:val="9"/>
            </w:pPr>
            <w:r>
              <w:t>系统的等保测评数量</w:t>
            </w:r>
          </w:p>
        </w:tc>
        <w:tc>
          <w:tcPr>
            <w:tcW w:w="2466" w:type="dxa"/>
            <w:vAlign w:val="center"/>
          </w:tcPr>
          <w:p w14:paraId="1BDC00C2">
            <w:pPr>
              <w:pStyle w:val="9"/>
            </w:pPr>
            <w:r>
              <w:t>≥2份</w:t>
            </w:r>
          </w:p>
        </w:tc>
        <w:tc>
          <w:tcPr>
            <w:tcW w:w="2466" w:type="dxa"/>
            <w:vAlign w:val="center"/>
          </w:tcPr>
          <w:p w14:paraId="16BD3ABD">
            <w:pPr>
              <w:pStyle w:val="9"/>
            </w:pPr>
            <w:r>
              <w:t>工作实际、测评报告</w:t>
            </w:r>
          </w:p>
        </w:tc>
      </w:tr>
      <w:tr w14:paraId="45A9E8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7408D1B"/>
        </w:tc>
        <w:tc>
          <w:tcPr>
            <w:tcW w:w="2466" w:type="dxa"/>
            <w:vAlign w:val="center"/>
          </w:tcPr>
          <w:p w14:paraId="22D2D667">
            <w:pPr>
              <w:pStyle w:val="9"/>
            </w:pPr>
            <w:r>
              <w:t>质量指标</w:t>
            </w:r>
          </w:p>
        </w:tc>
        <w:tc>
          <w:tcPr>
            <w:tcW w:w="2466" w:type="dxa"/>
            <w:vAlign w:val="center"/>
          </w:tcPr>
          <w:p w14:paraId="542E5791">
            <w:pPr>
              <w:pStyle w:val="9"/>
            </w:pPr>
            <w:r>
              <w:t>全年接口故障时长</w:t>
            </w:r>
          </w:p>
        </w:tc>
        <w:tc>
          <w:tcPr>
            <w:tcW w:w="2466" w:type="dxa"/>
            <w:vAlign w:val="center"/>
          </w:tcPr>
          <w:p w14:paraId="7FBDA0C3">
            <w:pPr>
              <w:pStyle w:val="9"/>
            </w:pPr>
            <w:r>
              <w:t>全年接口出现的故障时长</w:t>
            </w:r>
          </w:p>
        </w:tc>
        <w:tc>
          <w:tcPr>
            <w:tcW w:w="2466" w:type="dxa"/>
            <w:vAlign w:val="center"/>
          </w:tcPr>
          <w:p w14:paraId="4D3A7DC9">
            <w:pPr>
              <w:pStyle w:val="9"/>
            </w:pPr>
            <w:r>
              <w:t>≤24小时</w:t>
            </w:r>
          </w:p>
        </w:tc>
        <w:tc>
          <w:tcPr>
            <w:tcW w:w="2466" w:type="dxa"/>
            <w:vAlign w:val="center"/>
          </w:tcPr>
          <w:p w14:paraId="786FCCA9">
            <w:pPr>
              <w:pStyle w:val="9"/>
            </w:pPr>
            <w:r>
              <w:t>平台报告</w:t>
            </w:r>
          </w:p>
        </w:tc>
      </w:tr>
      <w:tr w14:paraId="4C0036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63DDB94"/>
        </w:tc>
        <w:tc>
          <w:tcPr>
            <w:tcW w:w="2466" w:type="dxa"/>
            <w:vAlign w:val="center"/>
          </w:tcPr>
          <w:p w14:paraId="173A1C11">
            <w:pPr>
              <w:pStyle w:val="9"/>
            </w:pPr>
            <w:r>
              <w:t>时效指标</w:t>
            </w:r>
          </w:p>
        </w:tc>
        <w:tc>
          <w:tcPr>
            <w:tcW w:w="2466" w:type="dxa"/>
            <w:vAlign w:val="center"/>
          </w:tcPr>
          <w:p w14:paraId="61D15B8C">
            <w:pPr>
              <w:pStyle w:val="9"/>
            </w:pPr>
            <w:r>
              <w:t>等保测评完成时长</w:t>
            </w:r>
          </w:p>
        </w:tc>
        <w:tc>
          <w:tcPr>
            <w:tcW w:w="2466" w:type="dxa"/>
            <w:vAlign w:val="center"/>
          </w:tcPr>
          <w:p w14:paraId="5BDDC71D">
            <w:pPr>
              <w:pStyle w:val="9"/>
            </w:pPr>
            <w:r>
              <w:t>等保测评完成时长不超过60天</w:t>
            </w:r>
          </w:p>
        </w:tc>
        <w:tc>
          <w:tcPr>
            <w:tcW w:w="2466" w:type="dxa"/>
            <w:vAlign w:val="center"/>
          </w:tcPr>
          <w:p w14:paraId="0D12C253">
            <w:pPr>
              <w:pStyle w:val="9"/>
            </w:pPr>
            <w:r>
              <w:t>≤60天</w:t>
            </w:r>
          </w:p>
        </w:tc>
        <w:tc>
          <w:tcPr>
            <w:tcW w:w="2466" w:type="dxa"/>
            <w:vAlign w:val="center"/>
          </w:tcPr>
          <w:p w14:paraId="6B8CD61F">
            <w:pPr>
              <w:pStyle w:val="9"/>
            </w:pPr>
            <w:r>
              <w:t>工作总结</w:t>
            </w:r>
          </w:p>
        </w:tc>
      </w:tr>
      <w:tr w14:paraId="7C37F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4F1F158"/>
        </w:tc>
        <w:tc>
          <w:tcPr>
            <w:tcW w:w="2466" w:type="dxa"/>
            <w:vAlign w:val="center"/>
          </w:tcPr>
          <w:p w14:paraId="6D74C53E">
            <w:pPr>
              <w:pStyle w:val="9"/>
            </w:pPr>
            <w:r>
              <w:t>成本指标</w:t>
            </w:r>
          </w:p>
        </w:tc>
        <w:tc>
          <w:tcPr>
            <w:tcW w:w="2466" w:type="dxa"/>
            <w:vAlign w:val="center"/>
          </w:tcPr>
          <w:p w14:paraId="6BCF9B33">
            <w:pPr>
              <w:pStyle w:val="9"/>
            </w:pPr>
            <w:r>
              <w:t>项目成本控制</w:t>
            </w:r>
          </w:p>
        </w:tc>
        <w:tc>
          <w:tcPr>
            <w:tcW w:w="2466" w:type="dxa"/>
            <w:vAlign w:val="center"/>
          </w:tcPr>
          <w:p w14:paraId="220896F6">
            <w:pPr>
              <w:pStyle w:val="9"/>
            </w:pPr>
            <w:r>
              <w:t>平台运维服务</w:t>
            </w:r>
          </w:p>
        </w:tc>
        <w:tc>
          <w:tcPr>
            <w:tcW w:w="2466" w:type="dxa"/>
            <w:vAlign w:val="center"/>
          </w:tcPr>
          <w:p w14:paraId="19A4CA92">
            <w:pPr>
              <w:pStyle w:val="9"/>
            </w:pPr>
            <w:r>
              <w:t>≤30万元</w:t>
            </w:r>
          </w:p>
        </w:tc>
        <w:tc>
          <w:tcPr>
            <w:tcW w:w="2466" w:type="dxa"/>
            <w:vAlign w:val="center"/>
          </w:tcPr>
          <w:p w14:paraId="619B0A0C">
            <w:pPr>
              <w:pStyle w:val="9"/>
            </w:pPr>
            <w:r>
              <w:t>合同及支出情况</w:t>
            </w:r>
          </w:p>
        </w:tc>
      </w:tr>
      <w:tr w14:paraId="19027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3BE800F4">
            <w:pPr>
              <w:pStyle w:val="10"/>
            </w:pPr>
            <w:r>
              <w:t>效益指标</w:t>
            </w:r>
          </w:p>
        </w:tc>
        <w:tc>
          <w:tcPr>
            <w:tcW w:w="2466" w:type="dxa"/>
            <w:vAlign w:val="center"/>
          </w:tcPr>
          <w:p w14:paraId="6A04038A">
            <w:pPr>
              <w:pStyle w:val="9"/>
            </w:pPr>
            <w:r>
              <w:t>社会效益指标</w:t>
            </w:r>
          </w:p>
        </w:tc>
        <w:tc>
          <w:tcPr>
            <w:tcW w:w="2466" w:type="dxa"/>
            <w:vAlign w:val="center"/>
          </w:tcPr>
          <w:p w14:paraId="4567A677">
            <w:pPr>
              <w:pStyle w:val="9"/>
            </w:pPr>
            <w:r>
              <w:t>保障平台数据精准</w:t>
            </w:r>
          </w:p>
        </w:tc>
        <w:tc>
          <w:tcPr>
            <w:tcW w:w="2466" w:type="dxa"/>
            <w:vAlign w:val="center"/>
          </w:tcPr>
          <w:p w14:paraId="5D6B2EFE">
            <w:pPr>
              <w:pStyle w:val="9"/>
            </w:pPr>
            <w:r>
              <w:t>保障平台数据精准</w:t>
            </w:r>
          </w:p>
        </w:tc>
        <w:tc>
          <w:tcPr>
            <w:tcW w:w="2466" w:type="dxa"/>
            <w:vAlign w:val="center"/>
          </w:tcPr>
          <w:p w14:paraId="321B8162">
            <w:pPr>
              <w:pStyle w:val="9"/>
            </w:pPr>
            <w:r>
              <w:t>可以保障</w:t>
            </w:r>
          </w:p>
        </w:tc>
        <w:tc>
          <w:tcPr>
            <w:tcW w:w="2466" w:type="dxa"/>
            <w:vAlign w:val="center"/>
          </w:tcPr>
          <w:p w14:paraId="59B51062">
            <w:pPr>
              <w:pStyle w:val="9"/>
            </w:pPr>
            <w:r>
              <w:t>工作总结</w:t>
            </w:r>
          </w:p>
        </w:tc>
      </w:tr>
      <w:tr w14:paraId="58F6EC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0E89DED4">
            <w:pPr>
              <w:pStyle w:val="10"/>
            </w:pPr>
            <w:r>
              <w:t>满意度指标</w:t>
            </w:r>
          </w:p>
        </w:tc>
        <w:tc>
          <w:tcPr>
            <w:tcW w:w="2466" w:type="dxa"/>
            <w:vAlign w:val="center"/>
          </w:tcPr>
          <w:p w14:paraId="4178C7B2">
            <w:pPr>
              <w:pStyle w:val="9"/>
            </w:pPr>
            <w:r>
              <w:t>服务对象满意度指标</w:t>
            </w:r>
          </w:p>
        </w:tc>
        <w:tc>
          <w:tcPr>
            <w:tcW w:w="2466" w:type="dxa"/>
            <w:vAlign w:val="center"/>
          </w:tcPr>
          <w:p w14:paraId="51E92A78">
            <w:pPr>
              <w:pStyle w:val="9"/>
            </w:pPr>
            <w:r>
              <w:t>相关行业主管部门满意度</w:t>
            </w:r>
          </w:p>
        </w:tc>
        <w:tc>
          <w:tcPr>
            <w:tcW w:w="2466" w:type="dxa"/>
            <w:vAlign w:val="center"/>
          </w:tcPr>
          <w:p w14:paraId="24A0258C">
            <w:pPr>
              <w:pStyle w:val="9"/>
            </w:pPr>
            <w:r>
              <w:t>相关行业主管部门满意度</w:t>
            </w:r>
          </w:p>
        </w:tc>
        <w:tc>
          <w:tcPr>
            <w:tcW w:w="2466" w:type="dxa"/>
            <w:vAlign w:val="center"/>
          </w:tcPr>
          <w:p w14:paraId="20DD5C21">
            <w:pPr>
              <w:pStyle w:val="9"/>
            </w:pPr>
            <w:r>
              <w:t>≥90%</w:t>
            </w:r>
          </w:p>
        </w:tc>
        <w:tc>
          <w:tcPr>
            <w:tcW w:w="2466" w:type="dxa"/>
            <w:vAlign w:val="center"/>
          </w:tcPr>
          <w:p w14:paraId="63080294">
            <w:pPr>
              <w:pStyle w:val="9"/>
            </w:pPr>
            <w:r>
              <w:t>出具行业主管部门意见</w:t>
            </w:r>
          </w:p>
        </w:tc>
      </w:tr>
    </w:tbl>
    <w:p w14:paraId="138CAE1D">
      <w:pPr>
        <w:pStyle w:val="15"/>
      </w:pPr>
    </w:p>
    <w:p w14:paraId="27491461">
      <w:pPr>
        <w:spacing w:before="0" w:after="0"/>
        <w:ind w:firstLine="560"/>
        <w:jc w:val="left"/>
        <w:outlineLvl w:val="9"/>
        <w:rPr>
          <w:rFonts w:ascii="方正仿宋_GBK" w:hAnsi="方正仿宋_GBK" w:eastAsia="方正仿宋_GBK" w:cs="方正仿宋_GBK"/>
          <w:b/>
          <w:color w:val="000000"/>
          <w:sz w:val="28"/>
        </w:rPr>
      </w:pPr>
    </w:p>
    <w:p w14:paraId="256DE2C2">
      <w:pPr>
        <w:spacing w:before="0" w:after="0"/>
        <w:ind w:firstLine="560"/>
        <w:jc w:val="left"/>
        <w:outlineLvl w:val="9"/>
        <w:rPr>
          <w:rFonts w:ascii="方正仿宋_GBK" w:hAnsi="方正仿宋_GBK" w:eastAsia="方正仿宋_GBK" w:cs="方正仿宋_GBK"/>
          <w:b/>
          <w:color w:val="000000"/>
          <w:sz w:val="28"/>
        </w:rPr>
      </w:pPr>
    </w:p>
    <w:p w14:paraId="6DD6ACCF">
      <w:pPr>
        <w:spacing w:before="0" w:after="0"/>
        <w:ind w:firstLine="560"/>
        <w:jc w:val="left"/>
        <w:outlineLvl w:val="9"/>
        <w:rPr>
          <w:rFonts w:ascii="方正仿宋_GBK" w:hAnsi="方正仿宋_GBK" w:eastAsia="方正仿宋_GBK" w:cs="方正仿宋_GBK"/>
          <w:b/>
          <w:color w:val="000000"/>
          <w:sz w:val="28"/>
        </w:rPr>
      </w:pPr>
    </w:p>
    <w:p w14:paraId="7BBBE6B4">
      <w:pPr>
        <w:spacing w:before="0" w:after="0"/>
        <w:ind w:firstLine="560"/>
        <w:jc w:val="left"/>
        <w:outlineLvl w:val="9"/>
        <w:rPr>
          <w:rFonts w:ascii="方正仿宋_GBK" w:hAnsi="方正仿宋_GBK" w:eastAsia="方正仿宋_GBK" w:cs="方正仿宋_GBK"/>
          <w:b/>
          <w:color w:val="000000"/>
          <w:sz w:val="28"/>
        </w:rPr>
      </w:pPr>
    </w:p>
    <w:p w14:paraId="65A030E6">
      <w:pPr>
        <w:spacing w:before="0" w:after="0"/>
        <w:ind w:firstLine="560"/>
        <w:jc w:val="left"/>
        <w:outlineLvl w:val="9"/>
        <w:rPr>
          <w:rFonts w:ascii="方正仿宋_GBK" w:hAnsi="方正仿宋_GBK" w:eastAsia="方正仿宋_GBK" w:cs="方正仿宋_GBK"/>
          <w:b/>
          <w:color w:val="000000"/>
          <w:sz w:val="28"/>
        </w:rPr>
      </w:pPr>
    </w:p>
    <w:p w14:paraId="131660FA">
      <w:pPr>
        <w:spacing w:before="0" w:after="0"/>
        <w:ind w:firstLine="560"/>
        <w:jc w:val="left"/>
        <w:outlineLvl w:val="9"/>
        <w:rPr>
          <w:rFonts w:ascii="方正仿宋_GBK" w:hAnsi="方正仿宋_GBK" w:eastAsia="方正仿宋_GBK" w:cs="方正仿宋_GBK"/>
          <w:b/>
          <w:color w:val="000000"/>
          <w:sz w:val="28"/>
        </w:rPr>
      </w:pPr>
    </w:p>
    <w:p w14:paraId="3BD8E070">
      <w:pPr>
        <w:spacing w:before="0" w:after="0"/>
        <w:jc w:val="left"/>
        <w:outlineLvl w:val="9"/>
        <w:rPr>
          <w:rFonts w:ascii="方正仿宋_GBK" w:hAnsi="方正仿宋_GBK" w:eastAsia="方正仿宋_GBK" w:cs="方正仿宋_GBK"/>
          <w:b/>
          <w:color w:val="000000"/>
          <w:sz w:val="28"/>
        </w:rPr>
      </w:pPr>
    </w:p>
    <w:p w14:paraId="77E24500">
      <w:pPr>
        <w:spacing w:before="0" w:after="0"/>
        <w:ind w:firstLine="56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4、河北健康码与身份证绑定查验廊坊平台政务云资源服务经费绩效目标表</w:t>
      </w:r>
    </w:p>
    <w:p w14:paraId="199800E9">
      <w:pPr>
        <w:pStyle w:val="2"/>
        <w:rPr>
          <w:lang w:val="en-US" w:eastAsia="uk-UA"/>
        </w:rPr>
      </w:pP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6656E18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752D9FF2">
            <w:pPr>
              <w:pStyle w:val="8"/>
            </w:pPr>
            <w:r>
              <w:t>绩效目标</w:t>
            </w:r>
          </w:p>
        </w:tc>
        <w:tc>
          <w:tcPr>
            <w:tcW w:w="7399" w:type="dxa"/>
            <w:tcBorders>
              <w:bottom w:val="single" w:color="FFFFFF" w:sz="6" w:space="0"/>
            </w:tcBorders>
            <w:vAlign w:val="center"/>
          </w:tcPr>
          <w:p w14:paraId="6FF457AF">
            <w:pPr>
              <w:pStyle w:val="9"/>
            </w:pPr>
            <w:r>
              <w:t>1.通过实施此项目为河北健康码与身份证绑定查验廊坊平台提供满足系统数据要求的云资源和云安全租用服务，确保健康码查验平台工作稳定运行。</w:t>
            </w:r>
          </w:p>
          <w:p w14:paraId="5FC22F13">
            <w:pPr>
              <w:pStyle w:val="9"/>
            </w:pPr>
            <w:r>
              <w:t>2.通过实施此项目，提供系统数据的政务云资源环境，保证服务器数量不低于20台，全年接口故障出现时长不大于24小时，提供的日志审计存储时间不少于6个月以备查验，且保证健康码查验平台工作稳定运行。</w:t>
            </w:r>
          </w:p>
        </w:tc>
      </w:tr>
    </w:tbl>
    <w:p w14:paraId="43689933">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1CB030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04F29BA">
            <w:pPr>
              <w:pStyle w:val="8"/>
            </w:pPr>
            <w:r>
              <w:t>一级指标</w:t>
            </w:r>
          </w:p>
        </w:tc>
        <w:tc>
          <w:tcPr>
            <w:tcW w:w="2466" w:type="dxa"/>
            <w:vAlign w:val="center"/>
          </w:tcPr>
          <w:p w14:paraId="23A5317F">
            <w:pPr>
              <w:pStyle w:val="8"/>
            </w:pPr>
            <w:r>
              <w:t>二级指标</w:t>
            </w:r>
          </w:p>
        </w:tc>
        <w:tc>
          <w:tcPr>
            <w:tcW w:w="2466" w:type="dxa"/>
            <w:vAlign w:val="center"/>
          </w:tcPr>
          <w:p w14:paraId="48AC700C">
            <w:pPr>
              <w:pStyle w:val="8"/>
            </w:pPr>
            <w:r>
              <w:t>三级指标</w:t>
            </w:r>
          </w:p>
        </w:tc>
        <w:tc>
          <w:tcPr>
            <w:tcW w:w="2466" w:type="dxa"/>
            <w:vAlign w:val="center"/>
          </w:tcPr>
          <w:p w14:paraId="613C0FC2">
            <w:pPr>
              <w:pStyle w:val="8"/>
            </w:pPr>
            <w:r>
              <w:t>绩效指标描述</w:t>
            </w:r>
          </w:p>
        </w:tc>
        <w:tc>
          <w:tcPr>
            <w:tcW w:w="2466" w:type="dxa"/>
            <w:vAlign w:val="center"/>
          </w:tcPr>
          <w:p w14:paraId="0190A32B">
            <w:pPr>
              <w:pStyle w:val="8"/>
            </w:pPr>
            <w:r>
              <w:t>指标值</w:t>
            </w:r>
          </w:p>
        </w:tc>
        <w:tc>
          <w:tcPr>
            <w:tcW w:w="2466" w:type="dxa"/>
            <w:vAlign w:val="center"/>
          </w:tcPr>
          <w:p w14:paraId="61E52BFC">
            <w:pPr>
              <w:pStyle w:val="8"/>
            </w:pPr>
            <w:r>
              <w:t>指标值确定依据</w:t>
            </w:r>
          </w:p>
        </w:tc>
      </w:tr>
      <w:tr w14:paraId="6C5A36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40170D29">
            <w:pPr>
              <w:pStyle w:val="10"/>
            </w:pPr>
            <w:r>
              <w:t>产出指标</w:t>
            </w:r>
          </w:p>
        </w:tc>
        <w:tc>
          <w:tcPr>
            <w:tcW w:w="2466" w:type="dxa"/>
            <w:vAlign w:val="center"/>
          </w:tcPr>
          <w:p w14:paraId="09FC2FF7">
            <w:pPr>
              <w:pStyle w:val="9"/>
            </w:pPr>
            <w:r>
              <w:t>数量指标</w:t>
            </w:r>
          </w:p>
        </w:tc>
        <w:tc>
          <w:tcPr>
            <w:tcW w:w="2466" w:type="dxa"/>
            <w:vAlign w:val="center"/>
          </w:tcPr>
          <w:p w14:paraId="1EE1A029">
            <w:pPr>
              <w:pStyle w:val="9"/>
            </w:pPr>
            <w:r>
              <w:t>租用云服务器数量　</w:t>
            </w:r>
          </w:p>
        </w:tc>
        <w:tc>
          <w:tcPr>
            <w:tcW w:w="2466" w:type="dxa"/>
            <w:vAlign w:val="center"/>
          </w:tcPr>
          <w:p w14:paraId="577A9F9D">
            <w:pPr>
              <w:pStyle w:val="9"/>
            </w:pPr>
            <w:r>
              <w:t>服务期间租用服务器数量</w:t>
            </w:r>
          </w:p>
        </w:tc>
        <w:tc>
          <w:tcPr>
            <w:tcW w:w="2466" w:type="dxa"/>
            <w:vAlign w:val="center"/>
          </w:tcPr>
          <w:p w14:paraId="323B5F3A">
            <w:pPr>
              <w:pStyle w:val="9"/>
            </w:pPr>
            <w:r>
              <w:t>20台</w:t>
            </w:r>
          </w:p>
        </w:tc>
        <w:tc>
          <w:tcPr>
            <w:tcW w:w="2466" w:type="dxa"/>
            <w:vAlign w:val="center"/>
          </w:tcPr>
          <w:p w14:paraId="64F0CF0D">
            <w:pPr>
              <w:pStyle w:val="9"/>
            </w:pPr>
            <w:r>
              <w:t>合同签订内容</w:t>
            </w:r>
          </w:p>
        </w:tc>
      </w:tr>
      <w:tr w14:paraId="0B079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0684097"/>
        </w:tc>
        <w:tc>
          <w:tcPr>
            <w:tcW w:w="2466" w:type="dxa"/>
            <w:vAlign w:val="center"/>
          </w:tcPr>
          <w:p w14:paraId="1EF9627C">
            <w:pPr>
              <w:pStyle w:val="9"/>
            </w:pPr>
            <w:r>
              <w:t>质量指标</w:t>
            </w:r>
          </w:p>
        </w:tc>
        <w:tc>
          <w:tcPr>
            <w:tcW w:w="2466" w:type="dxa"/>
            <w:vAlign w:val="center"/>
          </w:tcPr>
          <w:p w14:paraId="1D545159">
            <w:pPr>
              <w:pStyle w:val="9"/>
            </w:pPr>
            <w:r>
              <w:t>接口故障时长</w:t>
            </w:r>
          </w:p>
        </w:tc>
        <w:tc>
          <w:tcPr>
            <w:tcW w:w="2466" w:type="dxa"/>
            <w:vAlign w:val="center"/>
          </w:tcPr>
          <w:p w14:paraId="3D44BC42">
            <w:pPr>
              <w:pStyle w:val="9"/>
            </w:pPr>
            <w:r>
              <w:t>全年接口出现的故障时长</w:t>
            </w:r>
          </w:p>
        </w:tc>
        <w:tc>
          <w:tcPr>
            <w:tcW w:w="2466" w:type="dxa"/>
            <w:vAlign w:val="center"/>
          </w:tcPr>
          <w:p w14:paraId="2087523A">
            <w:pPr>
              <w:pStyle w:val="9"/>
            </w:pPr>
            <w:r>
              <w:t>≤24小时</w:t>
            </w:r>
          </w:p>
        </w:tc>
        <w:tc>
          <w:tcPr>
            <w:tcW w:w="2466" w:type="dxa"/>
            <w:vAlign w:val="center"/>
          </w:tcPr>
          <w:p w14:paraId="5C1A9743">
            <w:pPr>
              <w:pStyle w:val="9"/>
            </w:pPr>
            <w:r>
              <w:t>工作总结</w:t>
            </w:r>
          </w:p>
        </w:tc>
      </w:tr>
      <w:tr w14:paraId="0729C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F4E5D6E"/>
        </w:tc>
        <w:tc>
          <w:tcPr>
            <w:tcW w:w="2466" w:type="dxa"/>
            <w:vAlign w:val="center"/>
          </w:tcPr>
          <w:p w14:paraId="596B3FF9">
            <w:pPr>
              <w:pStyle w:val="9"/>
            </w:pPr>
            <w:r>
              <w:t>时效指标</w:t>
            </w:r>
          </w:p>
        </w:tc>
        <w:tc>
          <w:tcPr>
            <w:tcW w:w="2466" w:type="dxa"/>
            <w:vAlign w:val="center"/>
          </w:tcPr>
          <w:p w14:paraId="69D02E79">
            <w:pPr>
              <w:pStyle w:val="9"/>
            </w:pPr>
            <w:r>
              <w:t>日志审计留存时间　</w:t>
            </w:r>
          </w:p>
        </w:tc>
        <w:tc>
          <w:tcPr>
            <w:tcW w:w="2466" w:type="dxa"/>
            <w:vAlign w:val="center"/>
          </w:tcPr>
          <w:p w14:paraId="235E2D71">
            <w:pPr>
              <w:pStyle w:val="9"/>
            </w:pPr>
            <w:r>
              <w:t>日志审计留存时间不低于6个月</w:t>
            </w:r>
          </w:p>
        </w:tc>
        <w:tc>
          <w:tcPr>
            <w:tcW w:w="2466" w:type="dxa"/>
            <w:vAlign w:val="center"/>
          </w:tcPr>
          <w:p w14:paraId="1F195161">
            <w:pPr>
              <w:pStyle w:val="9"/>
            </w:pPr>
            <w:r>
              <w:t>≥6个月</w:t>
            </w:r>
          </w:p>
        </w:tc>
        <w:tc>
          <w:tcPr>
            <w:tcW w:w="2466" w:type="dxa"/>
            <w:vAlign w:val="center"/>
          </w:tcPr>
          <w:p w14:paraId="42F8EB34">
            <w:pPr>
              <w:pStyle w:val="9"/>
            </w:pPr>
            <w:r>
              <w:t>工作总结</w:t>
            </w:r>
          </w:p>
        </w:tc>
      </w:tr>
      <w:tr w14:paraId="30EA1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EA1515A"/>
        </w:tc>
        <w:tc>
          <w:tcPr>
            <w:tcW w:w="2466" w:type="dxa"/>
            <w:vAlign w:val="center"/>
          </w:tcPr>
          <w:p w14:paraId="1C54F611">
            <w:pPr>
              <w:pStyle w:val="9"/>
            </w:pPr>
            <w:r>
              <w:t>成本指标</w:t>
            </w:r>
          </w:p>
        </w:tc>
        <w:tc>
          <w:tcPr>
            <w:tcW w:w="2466" w:type="dxa"/>
            <w:vAlign w:val="center"/>
          </w:tcPr>
          <w:p w14:paraId="57003DDE">
            <w:pPr>
              <w:pStyle w:val="9"/>
            </w:pPr>
            <w:r>
              <w:t>项目成本控制</w:t>
            </w:r>
          </w:p>
        </w:tc>
        <w:tc>
          <w:tcPr>
            <w:tcW w:w="2466" w:type="dxa"/>
            <w:vAlign w:val="center"/>
          </w:tcPr>
          <w:p w14:paraId="644277EF">
            <w:pPr>
              <w:pStyle w:val="9"/>
            </w:pPr>
            <w:r>
              <w:t>租用省级政务云资源</w:t>
            </w:r>
          </w:p>
        </w:tc>
        <w:tc>
          <w:tcPr>
            <w:tcW w:w="2466" w:type="dxa"/>
            <w:vAlign w:val="center"/>
          </w:tcPr>
          <w:p w14:paraId="0FF9422C">
            <w:pPr>
              <w:pStyle w:val="9"/>
            </w:pPr>
            <w:r>
              <w:t>≤30万元</w:t>
            </w:r>
          </w:p>
        </w:tc>
        <w:tc>
          <w:tcPr>
            <w:tcW w:w="2466" w:type="dxa"/>
            <w:vAlign w:val="center"/>
          </w:tcPr>
          <w:p w14:paraId="2578D072">
            <w:pPr>
              <w:pStyle w:val="9"/>
            </w:pPr>
            <w:r>
              <w:t>合同及支出情况</w:t>
            </w:r>
          </w:p>
        </w:tc>
      </w:tr>
      <w:tr w14:paraId="49543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F879ED9">
            <w:pPr>
              <w:pStyle w:val="10"/>
            </w:pPr>
            <w:r>
              <w:t>效益指标</w:t>
            </w:r>
          </w:p>
        </w:tc>
        <w:tc>
          <w:tcPr>
            <w:tcW w:w="2466" w:type="dxa"/>
            <w:vAlign w:val="center"/>
          </w:tcPr>
          <w:p w14:paraId="10BCDBF8">
            <w:pPr>
              <w:pStyle w:val="9"/>
            </w:pPr>
            <w:r>
              <w:t>社会效益指标</w:t>
            </w:r>
          </w:p>
        </w:tc>
        <w:tc>
          <w:tcPr>
            <w:tcW w:w="2466" w:type="dxa"/>
            <w:vAlign w:val="center"/>
          </w:tcPr>
          <w:p w14:paraId="28B43E2A">
            <w:pPr>
              <w:pStyle w:val="9"/>
            </w:pPr>
            <w:r>
              <w:t>保障健康码查验平台稳定运行</w:t>
            </w:r>
          </w:p>
        </w:tc>
        <w:tc>
          <w:tcPr>
            <w:tcW w:w="2466" w:type="dxa"/>
            <w:vAlign w:val="center"/>
          </w:tcPr>
          <w:p w14:paraId="1318215B">
            <w:pPr>
              <w:pStyle w:val="9"/>
            </w:pPr>
            <w:r>
              <w:t>保障健康码查验工作的精准性和通行效率</w:t>
            </w:r>
          </w:p>
        </w:tc>
        <w:tc>
          <w:tcPr>
            <w:tcW w:w="2466" w:type="dxa"/>
            <w:vAlign w:val="center"/>
          </w:tcPr>
          <w:p w14:paraId="594E64E5">
            <w:pPr>
              <w:pStyle w:val="9"/>
            </w:pPr>
            <w:r>
              <w:t>可以保障</w:t>
            </w:r>
          </w:p>
        </w:tc>
        <w:tc>
          <w:tcPr>
            <w:tcW w:w="2466" w:type="dxa"/>
            <w:vAlign w:val="center"/>
          </w:tcPr>
          <w:p w14:paraId="68A4AF5E">
            <w:pPr>
              <w:pStyle w:val="9"/>
            </w:pPr>
            <w:r>
              <w:t>工作总结</w:t>
            </w:r>
          </w:p>
        </w:tc>
      </w:tr>
      <w:tr w14:paraId="2DE51E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81B2B56">
            <w:pPr>
              <w:pStyle w:val="10"/>
            </w:pPr>
            <w:r>
              <w:t>满意度指标</w:t>
            </w:r>
          </w:p>
        </w:tc>
        <w:tc>
          <w:tcPr>
            <w:tcW w:w="2466" w:type="dxa"/>
            <w:vAlign w:val="center"/>
          </w:tcPr>
          <w:p w14:paraId="736DCFF3">
            <w:pPr>
              <w:pStyle w:val="9"/>
            </w:pPr>
            <w:r>
              <w:t>服务对象满意度指标</w:t>
            </w:r>
          </w:p>
        </w:tc>
        <w:tc>
          <w:tcPr>
            <w:tcW w:w="2466" w:type="dxa"/>
            <w:vAlign w:val="center"/>
          </w:tcPr>
          <w:p w14:paraId="0E272D04">
            <w:pPr>
              <w:pStyle w:val="9"/>
            </w:pPr>
            <w:r>
              <w:t>相关使用部门满意度</w:t>
            </w:r>
          </w:p>
        </w:tc>
        <w:tc>
          <w:tcPr>
            <w:tcW w:w="2466" w:type="dxa"/>
            <w:vAlign w:val="center"/>
          </w:tcPr>
          <w:p w14:paraId="3ECEB1EF">
            <w:pPr>
              <w:pStyle w:val="9"/>
            </w:pPr>
            <w:r>
              <w:t>相关使用部门满意度</w:t>
            </w:r>
          </w:p>
        </w:tc>
        <w:tc>
          <w:tcPr>
            <w:tcW w:w="2466" w:type="dxa"/>
            <w:vAlign w:val="center"/>
          </w:tcPr>
          <w:p w14:paraId="007C1644">
            <w:pPr>
              <w:pStyle w:val="9"/>
            </w:pPr>
            <w:r>
              <w:t>≥90%</w:t>
            </w:r>
          </w:p>
        </w:tc>
        <w:tc>
          <w:tcPr>
            <w:tcW w:w="2466" w:type="dxa"/>
            <w:vAlign w:val="center"/>
          </w:tcPr>
          <w:p w14:paraId="7E38E0E2">
            <w:pPr>
              <w:pStyle w:val="9"/>
            </w:pPr>
            <w:r>
              <w:t>出具相关使用部门意见</w:t>
            </w:r>
          </w:p>
        </w:tc>
      </w:tr>
    </w:tbl>
    <w:p w14:paraId="3C340E4B">
      <w:pPr>
        <w:sectPr>
          <w:pgSz w:w="16840" w:h="11900" w:orient="landscape"/>
          <w:pgMar w:top="1361" w:right="1020" w:bottom="1134" w:left="1020" w:header="720" w:footer="720" w:gutter="0"/>
          <w:cols w:space="720" w:num="1"/>
        </w:sectPr>
      </w:pPr>
    </w:p>
    <w:p w14:paraId="2C4C42DD">
      <w:pPr>
        <w:spacing w:before="0" w:after="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5、接诉即办留言板建设资金绩效目标表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15C48C8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6F83ADBA">
            <w:pPr>
              <w:pStyle w:val="8"/>
            </w:pPr>
            <w:r>
              <w:t>绩效目标</w:t>
            </w:r>
          </w:p>
        </w:tc>
        <w:tc>
          <w:tcPr>
            <w:tcW w:w="7399" w:type="dxa"/>
            <w:tcBorders>
              <w:bottom w:val="single" w:color="FFFFFF" w:sz="6" w:space="0"/>
            </w:tcBorders>
            <w:vAlign w:val="center"/>
          </w:tcPr>
          <w:p w14:paraId="3EA2A309">
            <w:pPr>
              <w:pStyle w:val="9"/>
            </w:pPr>
            <w:r>
              <w:t>1.在廊坊市官方政务新媒体“廊坊发布”微信公众号投放“接诉即办”问题收集专栏（暨原“疫情防控‘九不准’”公众留言板），进一步畅通我市群众投诉举报渠道，及时收集、核实、办理我市群众投诉举报的相关问题线索，第一时间将群众提出的问题转办到各级各部门，督促整改，及时高效解决存在的问题，最大限度为市民提供优质服务，营造平稳的舆论环境。</w:t>
            </w:r>
          </w:p>
          <w:p w14:paraId="58E62E9D">
            <w:pPr>
              <w:pStyle w:val="9"/>
            </w:pPr>
            <w:r>
              <w:t>2.搭建平台系统，实现用户注册、手机验证、身份证实名验证、用户填报、后台管理等功能建设，以及日常平稳运行维护等内容。建成后将面向全市公众开放，收集、核实、办理、答复网民相关投诉举报，切实解决群众实际问题，营造平稳的舆论环境</w:t>
            </w:r>
          </w:p>
        </w:tc>
      </w:tr>
    </w:tbl>
    <w:p w14:paraId="697B2ED9">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3A0718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5FE7308E">
            <w:pPr>
              <w:pStyle w:val="8"/>
            </w:pPr>
            <w:r>
              <w:t>一级指标</w:t>
            </w:r>
          </w:p>
        </w:tc>
        <w:tc>
          <w:tcPr>
            <w:tcW w:w="2466" w:type="dxa"/>
            <w:vAlign w:val="center"/>
          </w:tcPr>
          <w:p w14:paraId="647198B1">
            <w:pPr>
              <w:pStyle w:val="8"/>
            </w:pPr>
            <w:r>
              <w:t>二级指标</w:t>
            </w:r>
          </w:p>
        </w:tc>
        <w:tc>
          <w:tcPr>
            <w:tcW w:w="2466" w:type="dxa"/>
            <w:vAlign w:val="center"/>
          </w:tcPr>
          <w:p w14:paraId="5AD841DE">
            <w:pPr>
              <w:pStyle w:val="8"/>
            </w:pPr>
            <w:r>
              <w:t>三级指标</w:t>
            </w:r>
          </w:p>
        </w:tc>
        <w:tc>
          <w:tcPr>
            <w:tcW w:w="2466" w:type="dxa"/>
            <w:vAlign w:val="center"/>
          </w:tcPr>
          <w:p w14:paraId="3F072F1D">
            <w:pPr>
              <w:pStyle w:val="8"/>
            </w:pPr>
            <w:r>
              <w:t>绩效指标描述</w:t>
            </w:r>
          </w:p>
        </w:tc>
        <w:tc>
          <w:tcPr>
            <w:tcW w:w="2466" w:type="dxa"/>
            <w:vAlign w:val="center"/>
          </w:tcPr>
          <w:p w14:paraId="3DE44C68">
            <w:pPr>
              <w:pStyle w:val="8"/>
            </w:pPr>
            <w:r>
              <w:t>指标值</w:t>
            </w:r>
          </w:p>
        </w:tc>
        <w:tc>
          <w:tcPr>
            <w:tcW w:w="2466" w:type="dxa"/>
            <w:vAlign w:val="center"/>
          </w:tcPr>
          <w:p w14:paraId="16B4D9D2">
            <w:pPr>
              <w:pStyle w:val="8"/>
            </w:pPr>
            <w:r>
              <w:t>指标值确定依据</w:t>
            </w:r>
          </w:p>
        </w:tc>
      </w:tr>
      <w:tr w14:paraId="7617F7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8795909">
            <w:pPr>
              <w:pStyle w:val="10"/>
            </w:pPr>
            <w:r>
              <w:t>产出指标</w:t>
            </w:r>
          </w:p>
        </w:tc>
        <w:tc>
          <w:tcPr>
            <w:tcW w:w="2466" w:type="dxa"/>
            <w:vAlign w:val="center"/>
          </w:tcPr>
          <w:p w14:paraId="3C3FA05C">
            <w:pPr>
              <w:pStyle w:val="9"/>
            </w:pPr>
            <w:r>
              <w:t>数量指标</w:t>
            </w:r>
          </w:p>
        </w:tc>
        <w:tc>
          <w:tcPr>
            <w:tcW w:w="2466" w:type="dxa"/>
            <w:vAlign w:val="center"/>
          </w:tcPr>
          <w:p w14:paraId="36607A95">
            <w:pPr>
              <w:pStyle w:val="9"/>
            </w:pPr>
            <w:r>
              <w:t>接收群众留言数量</w:t>
            </w:r>
          </w:p>
        </w:tc>
        <w:tc>
          <w:tcPr>
            <w:tcW w:w="2466" w:type="dxa"/>
            <w:vAlign w:val="center"/>
          </w:tcPr>
          <w:p w14:paraId="2D3EA9EB">
            <w:pPr>
              <w:pStyle w:val="9"/>
            </w:pPr>
            <w:r>
              <w:t>在后台接收群众留言数量</w:t>
            </w:r>
          </w:p>
        </w:tc>
        <w:tc>
          <w:tcPr>
            <w:tcW w:w="2466" w:type="dxa"/>
            <w:vAlign w:val="center"/>
          </w:tcPr>
          <w:p w14:paraId="44DF4054">
            <w:pPr>
              <w:pStyle w:val="9"/>
            </w:pPr>
            <w:r>
              <w:t>≥500条</w:t>
            </w:r>
          </w:p>
        </w:tc>
        <w:tc>
          <w:tcPr>
            <w:tcW w:w="2466" w:type="dxa"/>
            <w:vAlign w:val="center"/>
          </w:tcPr>
          <w:p w14:paraId="141A08F6">
            <w:pPr>
              <w:pStyle w:val="9"/>
            </w:pPr>
            <w:r>
              <w:t>后台数据</w:t>
            </w:r>
          </w:p>
        </w:tc>
      </w:tr>
      <w:tr w14:paraId="5FD30A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F9808A5"/>
        </w:tc>
        <w:tc>
          <w:tcPr>
            <w:tcW w:w="2466" w:type="dxa"/>
            <w:vAlign w:val="center"/>
          </w:tcPr>
          <w:p w14:paraId="47B353F7">
            <w:pPr>
              <w:pStyle w:val="9"/>
            </w:pPr>
            <w:r>
              <w:t>质量指标</w:t>
            </w:r>
          </w:p>
        </w:tc>
        <w:tc>
          <w:tcPr>
            <w:tcW w:w="2466" w:type="dxa"/>
            <w:vAlign w:val="center"/>
          </w:tcPr>
          <w:p w14:paraId="0B3A2A9A">
            <w:pPr>
              <w:pStyle w:val="9"/>
            </w:pPr>
            <w:r>
              <w:t>群众留言受理率</w:t>
            </w:r>
          </w:p>
        </w:tc>
        <w:tc>
          <w:tcPr>
            <w:tcW w:w="2466" w:type="dxa"/>
            <w:vAlign w:val="center"/>
          </w:tcPr>
          <w:p w14:paraId="5F12BD61">
            <w:pPr>
              <w:pStyle w:val="9"/>
            </w:pPr>
            <w:r>
              <w:t>群众留言受理百分比</w:t>
            </w:r>
          </w:p>
        </w:tc>
        <w:tc>
          <w:tcPr>
            <w:tcW w:w="2466" w:type="dxa"/>
            <w:vAlign w:val="center"/>
          </w:tcPr>
          <w:p w14:paraId="21C66101">
            <w:pPr>
              <w:pStyle w:val="9"/>
            </w:pPr>
            <w:r>
              <w:t>≥95%</w:t>
            </w:r>
          </w:p>
        </w:tc>
        <w:tc>
          <w:tcPr>
            <w:tcW w:w="2466" w:type="dxa"/>
            <w:vAlign w:val="center"/>
          </w:tcPr>
          <w:p w14:paraId="68DC3A3C">
            <w:pPr>
              <w:pStyle w:val="9"/>
            </w:pPr>
            <w:r>
              <w:t>实际开展情况</w:t>
            </w:r>
          </w:p>
        </w:tc>
      </w:tr>
      <w:tr w14:paraId="412D9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4E775DC"/>
        </w:tc>
        <w:tc>
          <w:tcPr>
            <w:tcW w:w="2466" w:type="dxa"/>
            <w:vAlign w:val="center"/>
          </w:tcPr>
          <w:p w14:paraId="1AC6C555">
            <w:pPr>
              <w:pStyle w:val="9"/>
            </w:pPr>
            <w:r>
              <w:t>时效指标</w:t>
            </w:r>
          </w:p>
        </w:tc>
        <w:tc>
          <w:tcPr>
            <w:tcW w:w="2466" w:type="dxa"/>
            <w:vAlign w:val="center"/>
          </w:tcPr>
          <w:p w14:paraId="23519625">
            <w:pPr>
              <w:pStyle w:val="9"/>
            </w:pPr>
            <w:r>
              <w:t>及时性</w:t>
            </w:r>
          </w:p>
        </w:tc>
        <w:tc>
          <w:tcPr>
            <w:tcW w:w="2466" w:type="dxa"/>
            <w:vAlign w:val="center"/>
          </w:tcPr>
          <w:p w14:paraId="62120253">
            <w:pPr>
              <w:pStyle w:val="9"/>
            </w:pPr>
            <w:r>
              <w:t>反映办理群众留言的及时情况</w:t>
            </w:r>
          </w:p>
        </w:tc>
        <w:tc>
          <w:tcPr>
            <w:tcW w:w="2466" w:type="dxa"/>
            <w:vAlign w:val="center"/>
          </w:tcPr>
          <w:p w14:paraId="2E02048C">
            <w:pPr>
              <w:pStyle w:val="9"/>
            </w:pPr>
            <w:r>
              <w:t>及时</w:t>
            </w:r>
          </w:p>
        </w:tc>
        <w:tc>
          <w:tcPr>
            <w:tcW w:w="2466" w:type="dxa"/>
            <w:vAlign w:val="center"/>
          </w:tcPr>
          <w:p w14:paraId="62FA9565">
            <w:pPr>
              <w:pStyle w:val="9"/>
            </w:pPr>
            <w:r>
              <w:t>计划标准</w:t>
            </w:r>
          </w:p>
        </w:tc>
      </w:tr>
      <w:tr w14:paraId="743C2E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F4A388E"/>
        </w:tc>
        <w:tc>
          <w:tcPr>
            <w:tcW w:w="2466" w:type="dxa"/>
            <w:vAlign w:val="center"/>
          </w:tcPr>
          <w:p w14:paraId="2A30E01E">
            <w:pPr>
              <w:pStyle w:val="9"/>
            </w:pPr>
            <w:r>
              <w:t>成本指标</w:t>
            </w:r>
          </w:p>
        </w:tc>
        <w:tc>
          <w:tcPr>
            <w:tcW w:w="2466" w:type="dxa"/>
            <w:vAlign w:val="center"/>
          </w:tcPr>
          <w:p w14:paraId="45B051C3">
            <w:pPr>
              <w:pStyle w:val="9"/>
            </w:pPr>
            <w:r>
              <w:t>系统建设运行成本</w:t>
            </w:r>
          </w:p>
        </w:tc>
        <w:tc>
          <w:tcPr>
            <w:tcW w:w="2466" w:type="dxa"/>
            <w:vAlign w:val="center"/>
          </w:tcPr>
          <w:p w14:paraId="7248C63E">
            <w:pPr>
              <w:pStyle w:val="9"/>
            </w:pPr>
            <w:r>
              <w:t>一套系统建设运行成本</w:t>
            </w:r>
          </w:p>
        </w:tc>
        <w:tc>
          <w:tcPr>
            <w:tcW w:w="2466" w:type="dxa"/>
            <w:vAlign w:val="center"/>
          </w:tcPr>
          <w:p w14:paraId="66B0F6DC">
            <w:pPr>
              <w:pStyle w:val="9"/>
            </w:pPr>
            <w:r>
              <w:t>≤30万元</w:t>
            </w:r>
          </w:p>
        </w:tc>
        <w:tc>
          <w:tcPr>
            <w:tcW w:w="2466" w:type="dxa"/>
            <w:vAlign w:val="center"/>
          </w:tcPr>
          <w:p w14:paraId="2FBA05FF">
            <w:pPr>
              <w:pStyle w:val="9"/>
            </w:pPr>
            <w:r>
              <w:t>项目合同</w:t>
            </w:r>
          </w:p>
        </w:tc>
      </w:tr>
      <w:tr w14:paraId="732EAD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70C9DA1">
            <w:pPr>
              <w:pStyle w:val="10"/>
            </w:pPr>
            <w:r>
              <w:t>效益指标</w:t>
            </w:r>
          </w:p>
        </w:tc>
        <w:tc>
          <w:tcPr>
            <w:tcW w:w="2466" w:type="dxa"/>
            <w:vAlign w:val="center"/>
          </w:tcPr>
          <w:p w14:paraId="78F27C63">
            <w:pPr>
              <w:pStyle w:val="9"/>
            </w:pPr>
            <w:r>
              <w:t>社会效益指标</w:t>
            </w:r>
          </w:p>
        </w:tc>
        <w:tc>
          <w:tcPr>
            <w:tcW w:w="2466" w:type="dxa"/>
            <w:vAlign w:val="center"/>
          </w:tcPr>
          <w:p w14:paraId="5B993D82">
            <w:pPr>
              <w:pStyle w:val="9"/>
            </w:pPr>
            <w:r>
              <w:t>切实解决群众实际问题</w:t>
            </w:r>
          </w:p>
        </w:tc>
        <w:tc>
          <w:tcPr>
            <w:tcW w:w="2466" w:type="dxa"/>
            <w:vAlign w:val="center"/>
          </w:tcPr>
          <w:p w14:paraId="519C9EF3">
            <w:pPr>
              <w:pStyle w:val="9"/>
            </w:pPr>
            <w:r>
              <w:t>收集、核实、办理、答复网民相关投诉举报，切实解决群众实际问题情况</w:t>
            </w:r>
          </w:p>
        </w:tc>
        <w:tc>
          <w:tcPr>
            <w:tcW w:w="2466" w:type="dxa"/>
            <w:vAlign w:val="center"/>
          </w:tcPr>
          <w:p w14:paraId="036CAFCB">
            <w:pPr>
              <w:pStyle w:val="9"/>
            </w:pPr>
            <w:r>
              <w:t>效果显著</w:t>
            </w:r>
          </w:p>
        </w:tc>
        <w:tc>
          <w:tcPr>
            <w:tcW w:w="2466" w:type="dxa"/>
            <w:vAlign w:val="center"/>
          </w:tcPr>
          <w:p w14:paraId="5A0F9F09">
            <w:pPr>
              <w:pStyle w:val="9"/>
            </w:pPr>
            <w:r>
              <w:t>工作总结/报告</w:t>
            </w:r>
          </w:p>
        </w:tc>
      </w:tr>
      <w:tr w14:paraId="3B1AA7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00F65BF">
            <w:pPr>
              <w:pStyle w:val="10"/>
            </w:pPr>
            <w:r>
              <w:t>满意度指标</w:t>
            </w:r>
          </w:p>
        </w:tc>
        <w:tc>
          <w:tcPr>
            <w:tcW w:w="2466" w:type="dxa"/>
            <w:vAlign w:val="center"/>
          </w:tcPr>
          <w:p w14:paraId="7B3730E4">
            <w:pPr>
              <w:pStyle w:val="9"/>
            </w:pPr>
            <w:r>
              <w:t>服务对象满意度指标</w:t>
            </w:r>
          </w:p>
        </w:tc>
        <w:tc>
          <w:tcPr>
            <w:tcW w:w="2466" w:type="dxa"/>
            <w:vAlign w:val="center"/>
          </w:tcPr>
          <w:p w14:paraId="16975D2A">
            <w:pPr>
              <w:pStyle w:val="9"/>
            </w:pPr>
            <w:r>
              <w:t>群众满意度情况</w:t>
            </w:r>
          </w:p>
        </w:tc>
        <w:tc>
          <w:tcPr>
            <w:tcW w:w="2466" w:type="dxa"/>
            <w:vAlign w:val="center"/>
          </w:tcPr>
          <w:p w14:paraId="3AE68265">
            <w:pPr>
              <w:pStyle w:val="9"/>
            </w:pPr>
            <w:r>
              <w:t>反映群众对“接诉即办”问题收集专栏（暨原“疫情防控‘九不准’”公众留言板）满意度</w:t>
            </w:r>
          </w:p>
        </w:tc>
        <w:tc>
          <w:tcPr>
            <w:tcW w:w="2466" w:type="dxa"/>
            <w:vAlign w:val="center"/>
          </w:tcPr>
          <w:p w14:paraId="29C8F463">
            <w:pPr>
              <w:pStyle w:val="9"/>
            </w:pPr>
            <w:r>
              <w:t>≥85%</w:t>
            </w:r>
          </w:p>
        </w:tc>
        <w:tc>
          <w:tcPr>
            <w:tcW w:w="2466" w:type="dxa"/>
            <w:vAlign w:val="center"/>
          </w:tcPr>
          <w:p w14:paraId="0592D3CB">
            <w:pPr>
              <w:pStyle w:val="9"/>
            </w:pPr>
            <w:r>
              <w:t>问卷调查</w:t>
            </w:r>
          </w:p>
        </w:tc>
      </w:tr>
    </w:tbl>
    <w:p w14:paraId="3079B65A">
      <w:pPr>
        <w:pStyle w:val="15"/>
      </w:pPr>
    </w:p>
    <w:p w14:paraId="56A9E7FD">
      <w:pPr>
        <w:spacing w:before="0" w:after="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6、廊坊市数字经济工作经费绩效目标表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4A7CF87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72535624">
            <w:pPr>
              <w:pStyle w:val="8"/>
            </w:pPr>
            <w:r>
              <w:t>绩效目标</w:t>
            </w:r>
          </w:p>
        </w:tc>
        <w:tc>
          <w:tcPr>
            <w:tcW w:w="7399" w:type="dxa"/>
            <w:tcBorders>
              <w:bottom w:val="single" w:color="FFFFFF" w:sz="6" w:space="0"/>
            </w:tcBorders>
            <w:vAlign w:val="center"/>
          </w:tcPr>
          <w:p w14:paraId="31DC4A6B">
            <w:pPr>
              <w:pStyle w:val="9"/>
            </w:pPr>
            <w:r>
              <w:t>1.全面反映会员企业诉求，维护会员权益，促进数字经济行业自律，协助和支撑政府开展行业管理工作，开展区域行业交流与合作，维护行业利益。</w:t>
            </w:r>
          </w:p>
          <w:p w14:paraId="0373FB55">
            <w:pPr>
              <w:pStyle w:val="9"/>
            </w:pPr>
            <w:r>
              <w:t>2.根据市场和行业发展需要承办或参与市内外数字经济领域相关会展、论坛、招商引资、文化交流等各类活动。2023年计划承办数字经济领域相关活动不少于1次。</w:t>
            </w:r>
          </w:p>
        </w:tc>
      </w:tr>
    </w:tbl>
    <w:p w14:paraId="5E00AD27">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7F83A0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28685EB8">
            <w:pPr>
              <w:pStyle w:val="8"/>
            </w:pPr>
            <w:r>
              <w:t>一级指标</w:t>
            </w:r>
          </w:p>
        </w:tc>
        <w:tc>
          <w:tcPr>
            <w:tcW w:w="2466" w:type="dxa"/>
            <w:vAlign w:val="center"/>
          </w:tcPr>
          <w:p w14:paraId="1062935A">
            <w:pPr>
              <w:pStyle w:val="8"/>
            </w:pPr>
            <w:r>
              <w:t>二级指标</w:t>
            </w:r>
          </w:p>
        </w:tc>
        <w:tc>
          <w:tcPr>
            <w:tcW w:w="2466" w:type="dxa"/>
            <w:vAlign w:val="center"/>
          </w:tcPr>
          <w:p w14:paraId="08EA118C">
            <w:pPr>
              <w:pStyle w:val="8"/>
            </w:pPr>
            <w:r>
              <w:t>三级指标</w:t>
            </w:r>
          </w:p>
        </w:tc>
        <w:tc>
          <w:tcPr>
            <w:tcW w:w="2466" w:type="dxa"/>
            <w:vAlign w:val="center"/>
          </w:tcPr>
          <w:p w14:paraId="333738D9">
            <w:pPr>
              <w:pStyle w:val="8"/>
            </w:pPr>
            <w:r>
              <w:t>绩效指标描述</w:t>
            </w:r>
          </w:p>
        </w:tc>
        <w:tc>
          <w:tcPr>
            <w:tcW w:w="2466" w:type="dxa"/>
            <w:vAlign w:val="center"/>
          </w:tcPr>
          <w:p w14:paraId="04BED152">
            <w:pPr>
              <w:pStyle w:val="8"/>
            </w:pPr>
            <w:r>
              <w:t>指标值</w:t>
            </w:r>
          </w:p>
        </w:tc>
        <w:tc>
          <w:tcPr>
            <w:tcW w:w="2466" w:type="dxa"/>
            <w:vAlign w:val="center"/>
          </w:tcPr>
          <w:p w14:paraId="37D03AC3">
            <w:pPr>
              <w:pStyle w:val="8"/>
            </w:pPr>
            <w:r>
              <w:t>指标值确定依据</w:t>
            </w:r>
          </w:p>
        </w:tc>
      </w:tr>
      <w:tr w14:paraId="5F7F44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6F3748A">
            <w:pPr>
              <w:pStyle w:val="10"/>
            </w:pPr>
            <w:r>
              <w:t>产出指标</w:t>
            </w:r>
          </w:p>
        </w:tc>
        <w:tc>
          <w:tcPr>
            <w:tcW w:w="2466" w:type="dxa"/>
            <w:vAlign w:val="center"/>
          </w:tcPr>
          <w:p w14:paraId="2974C31C">
            <w:pPr>
              <w:pStyle w:val="9"/>
            </w:pPr>
            <w:r>
              <w:t>数量指标</w:t>
            </w:r>
          </w:p>
        </w:tc>
        <w:tc>
          <w:tcPr>
            <w:tcW w:w="2466" w:type="dxa"/>
            <w:vAlign w:val="center"/>
          </w:tcPr>
          <w:p w14:paraId="565E0CA2">
            <w:pPr>
              <w:pStyle w:val="9"/>
            </w:pPr>
            <w:r>
              <w:t>承办或参与数字经济领域相关活动</w:t>
            </w:r>
          </w:p>
        </w:tc>
        <w:tc>
          <w:tcPr>
            <w:tcW w:w="2466" w:type="dxa"/>
            <w:vAlign w:val="center"/>
          </w:tcPr>
          <w:p w14:paraId="22887A2B">
            <w:pPr>
              <w:pStyle w:val="9"/>
            </w:pPr>
            <w:r>
              <w:t>承办或参与市内外数字经济领域相关活动</w:t>
            </w:r>
          </w:p>
        </w:tc>
        <w:tc>
          <w:tcPr>
            <w:tcW w:w="2466" w:type="dxa"/>
            <w:vAlign w:val="center"/>
          </w:tcPr>
          <w:p w14:paraId="66FB5548">
            <w:pPr>
              <w:pStyle w:val="9"/>
            </w:pPr>
            <w:r>
              <w:t>≥1次</w:t>
            </w:r>
          </w:p>
        </w:tc>
        <w:tc>
          <w:tcPr>
            <w:tcW w:w="2466" w:type="dxa"/>
            <w:vAlign w:val="center"/>
          </w:tcPr>
          <w:p w14:paraId="30E77661">
            <w:pPr>
              <w:pStyle w:val="9"/>
            </w:pPr>
            <w:r>
              <w:t>实际开展情况</w:t>
            </w:r>
          </w:p>
        </w:tc>
      </w:tr>
      <w:tr w14:paraId="222E45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416E551"/>
        </w:tc>
        <w:tc>
          <w:tcPr>
            <w:tcW w:w="2466" w:type="dxa"/>
            <w:vAlign w:val="center"/>
          </w:tcPr>
          <w:p w14:paraId="519DE143">
            <w:pPr>
              <w:pStyle w:val="9"/>
            </w:pPr>
            <w:r>
              <w:t>质量指标</w:t>
            </w:r>
          </w:p>
        </w:tc>
        <w:tc>
          <w:tcPr>
            <w:tcW w:w="2466" w:type="dxa"/>
            <w:vAlign w:val="center"/>
          </w:tcPr>
          <w:p w14:paraId="3BEF6EDB">
            <w:pPr>
              <w:pStyle w:val="9"/>
            </w:pPr>
            <w:r>
              <w:t>承办活动验收情况</w:t>
            </w:r>
          </w:p>
        </w:tc>
        <w:tc>
          <w:tcPr>
            <w:tcW w:w="2466" w:type="dxa"/>
            <w:vAlign w:val="center"/>
          </w:tcPr>
          <w:p w14:paraId="0830AACA">
            <w:pPr>
              <w:pStyle w:val="9"/>
            </w:pPr>
            <w:r>
              <w:t>活动成果验收达标率</w:t>
            </w:r>
          </w:p>
        </w:tc>
        <w:tc>
          <w:tcPr>
            <w:tcW w:w="2466" w:type="dxa"/>
            <w:vAlign w:val="center"/>
          </w:tcPr>
          <w:p w14:paraId="1EFD5AFF">
            <w:pPr>
              <w:pStyle w:val="9"/>
            </w:pPr>
            <w:r>
              <w:t>100%</w:t>
            </w:r>
          </w:p>
        </w:tc>
        <w:tc>
          <w:tcPr>
            <w:tcW w:w="2466" w:type="dxa"/>
            <w:vAlign w:val="center"/>
          </w:tcPr>
          <w:p w14:paraId="5C67D2DA">
            <w:pPr>
              <w:pStyle w:val="9"/>
            </w:pPr>
            <w:r>
              <w:t>验收报告</w:t>
            </w:r>
          </w:p>
        </w:tc>
      </w:tr>
      <w:tr w14:paraId="5A5AAF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2D8D37C"/>
        </w:tc>
        <w:tc>
          <w:tcPr>
            <w:tcW w:w="2466" w:type="dxa"/>
            <w:vAlign w:val="center"/>
          </w:tcPr>
          <w:p w14:paraId="0ABBE50A">
            <w:pPr>
              <w:pStyle w:val="9"/>
            </w:pPr>
            <w:r>
              <w:t>时效指标</w:t>
            </w:r>
          </w:p>
        </w:tc>
        <w:tc>
          <w:tcPr>
            <w:tcW w:w="2466" w:type="dxa"/>
            <w:vAlign w:val="center"/>
          </w:tcPr>
          <w:p w14:paraId="20FC64EA">
            <w:pPr>
              <w:pStyle w:val="9"/>
            </w:pPr>
            <w:r>
              <w:t>活动开展及时性</w:t>
            </w:r>
          </w:p>
        </w:tc>
        <w:tc>
          <w:tcPr>
            <w:tcW w:w="2466" w:type="dxa"/>
            <w:vAlign w:val="center"/>
          </w:tcPr>
          <w:p w14:paraId="01AC5B38">
            <w:pPr>
              <w:pStyle w:val="9"/>
            </w:pPr>
            <w:r>
              <w:t>活动开展是否及时</w:t>
            </w:r>
          </w:p>
        </w:tc>
        <w:tc>
          <w:tcPr>
            <w:tcW w:w="2466" w:type="dxa"/>
            <w:vAlign w:val="center"/>
          </w:tcPr>
          <w:p w14:paraId="0E56C0FC">
            <w:pPr>
              <w:pStyle w:val="9"/>
            </w:pPr>
            <w:r>
              <w:t>及时开展</w:t>
            </w:r>
          </w:p>
        </w:tc>
        <w:tc>
          <w:tcPr>
            <w:tcW w:w="2466" w:type="dxa"/>
            <w:vAlign w:val="center"/>
          </w:tcPr>
          <w:p w14:paraId="6E26704A">
            <w:pPr>
              <w:pStyle w:val="9"/>
            </w:pPr>
            <w:r>
              <w:t>工作计划与工作总结</w:t>
            </w:r>
          </w:p>
        </w:tc>
      </w:tr>
      <w:tr w14:paraId="6ADED5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E06CFBA"/>
        </w:tc>
        <w:tc>
          <w:tcPr>
            <w:tcW w:w="2466" w:type="dxa"/>
            <w:vAlign w:val="center"/>
          </w:tcPr>
          <w:p w14:paraId="75E3ACBF">
            <w:pPr>
              <w:pStyle w:val="9"/>
            </w:pPr>
            <w:r>
              <w:t>成本指标</w:t>
            </w:r>
          </w:p>
        </w:tc>
        <w:tc>
          <w:tcPr>
            <w:tcW w:w="2466" w:type="dxa"/>
            <w:vAlign w:val="center"/>
          </w:tcPr>
          <w:p w14:paraId="11FEA549">
            <w:pPr>
              <w:pStyle w:val="9"/>
            </w:pPr>
            <w:r>
              <w:t>整体支出成本控制</w:t>
            </w:r>
          </w:p>
        </w:tc>
        <w:tc>
          <w:tcPr>
            <w:tcW w:w="2466" w:type="dxa"/>
            <w:vAlign w:val="center"/>
          </w:tcPr>
          <w:p w14:paraId="56CE23F9">
            <w:pPr>
              <w:pStyle w:val="9"/>
            </w:pPr>
            <w:r>
              <w:t>整体支出是否超预算额度</w:t>
            </w:r>
          </w:p>
        </w:tc>
        <w:tc>
          <w:tcPr>
            <w:tcW w:w="2466" w:type="dxa"/>
            <w:vAlign w:val="center"/>
          </w:tcPr>
          <w:p w14:paraId="04EEA238">
            <w:pPr>
              <w:pStyle w:val="9"/>
            </w:pPr>
            <w:r>
              <w:t>不超预算额度</w:t>
            </w:r>
          </w:p>
        </w:tc>
        <w:tc>
          <w:tcPr>
            <w:tcW w:w="2466" w:type="dxa"/>
            <w:vAlign w:val="center"/>
          </w:tcPr>
          <w:p w14:paraId="712D8335">
            <w:pPr>
              <w:pStyle w:val="9"/>
            </w:pPr>
            <w:r>
              <w:t>实际支出情况</w:t>
            </w:r>
          </w:p>
        </w:tc>
      </w:tr>
      <w:tr w14:paraId="179290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74B52C0B">
            <w:pPr>
              <w:pStyle w:val="10"/>
            </w:pPr>
            <w:r>
              <w:t>效益指标</w:t>
            </w:r>
          </w:p>
        </w:tc>
        <w:tc>
          <w:tcPr>
            <w:tcW w:w="2466" w:type="dxa"/>
            <w:vAlign w:val="center"/>
          </w:tcPr>
          <w:p w14:paraId="1405D4C9">
            <w:pPr>
              <w:pStyle w:val="9"/>
            </w:pPr>
            <w:r>
              <w:t>社会效益指标</w:t>
            </w:r>
          </w:p>
        </w:tc>
        <w:tc>
          <w:tcPr>
            <w:tcW w:w="2466" w:type="dxa"/>
            <w:vAlign w:val="center"/>
          </w:tcPr>
          <w:p w14:paraId="3CA5E843">
            <w:pPr>
              <w:pStyle w:val="9"/>
            </w:pPr>
            <w:r>
              <w:t>促进廊坊市数字经济发展和产业创新发展</w:t>
            </w:r>
          </w:p>
        </w:tc>
        <w:tc>
          <w:tcPr>
            <w:tcW w:w="2466" w:type="dxa"/>
            <w:vAlign w:val="center"/>
          </w:tcPr>
          <w:p w14:paraId="04EDFA18">
            <w:pPr>
              <w:pStyle w:val="9"/>
            </w:pPr>
            <w:r>
              <w:t>是否达到进一步促进、整合全市数字经济领域相关行业协会、科研单位、高等院校以及数字产业化、产业数字化领域重点企业资源</w:t>
            </w:r>
          </w:p>
        </w:tc>
        <w:tc>
          <w:tcPr>
            <w:tcW w:w="2466" w:type="dxa"/>
            <w:vAlign w:val="center"/>
          </w:tcPr>
          <w:p w14:paraId="4F201F96">
            <w:pPr>
              <w:pStyle w:val="9"/>
            </w:pPr>
            <w:r>
              <w:t>达到效果</w:t>
            </w:r>
          </w:p>
        </w:tc>
        <w:tc>
          <w:tcPr>
            <w:tcW w:w="2466" w:type="dxa"/>
            <w:vAlign w:val="center"/>
          </w:tcPr>
          <w:p w14:paraId="1EACE813">
            <w:pPr>
              <w:pStyle w:val="9"/>
            </w:pPr>
            <w:r>
              <w:t>工作总结</w:t>
            </w:r>
          </w:p>
        </w:tc>
      </w:tr>
      <w:tr w14:paraId="159D6B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568FEA7"/>
        </w:tc>
        <w:tc>
          <w:tcPr>
            <w:tcW w:w="2466" w:type="dxa"/>
            <w:vAlign w:val="center"/>
          </w:tcPr>
          <w:p w14:paraId="1C3D1A3D">
            <w:pPr>
              <w:pStyle w:val="9"/>
            </w:pPr>
            <w:r>
              <w:t>经济效益指标</w:t>
            </w:r>
          </w:p>
        </w:tc>
        <w:tc>
          <w:tcPr>
            <w:tcW w:w="2466" w:type="dxa"/>
            <w:vAlign w:val="center"/>
          </w:tcPr>
          <w:p w14:paraId="37D057EB">
            <w:pPr>
              <w:pStyle w:val="9"/>
            </w:pPr>
            <w:r>
              <w:t>促进全市数字经济发展</w:t>
            </w:r>
          </w:p>
        </w:tc>
        <w:tc>
          <w:tcPr>
            <w:tcW w:w="2466" w:type="dxa"/>
            <w:vAlign w:val="center"/>
          </w:tcPr>
          <w:p w14:paraId="28A5EF0F">
            <w:pPr>
              <w:pStyle w:val="9"/>
            </w:pPr>
            <w:r>
              <w:t>是否达到进一步促进全市数字经济发展效果</w:t>
            </w:r>
          </w:p>
        </w:tc>
        <w:tc>
          <w:tcPr>
            <w:tcW w:w="2466" w:type="dxa"/>
            <w:vAlign w:val="center"/>
          </w:tcPr>
          <w:p w14:paraId="3D1AD259">
            <w:pPr>
              <w:pStyle w:val="9"/>
            </w:pPr>
            <w:r>
              <w:t>达到效果</w:t>
            </w:r>
          </w:p>
        </w:tc>
        <w:tc>
          <w:tcPr>
            <w:tcW w:w="2466" w:type="dxa"/>
            <w:vAlign w:val="center"/>
          </w:tcPr>
          <w:p w14:paraId="753E628D">
            <w:pPr>
              <w:pStyle w:val="9"/>
            </w:pPr>
            <w:r>
              <w:t>工作总结</w:t>
            </w:r>
          </w:p>
        </w:tc>
      </w:tr>
      <w:tr w14:paraId="650FF8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0782735"/>
        </w:tc>
        <w:tc>
          <w:tcPr>
            <w:tcW w:w="2466" w:type="dxa"/>
            <w:vAlign w:val="center"/>
          </w:tcPr>
          <w:p w14:paraId="008B7C28">
            <w:pPr>
              <w:pStyle w:val="9"/>
            </w:pPr>
            <w:r>
              <w:t>可持续影响指标</w:t>
            </w:r>
          </w:p>
        </w:tc>
        <w:tc>
          <w:tcPr>
            <w:tcW w:w="2466" w:type="dxa"/>
            <w:vAlign w:val="center"/>
          </w:tcPr>
          <w:p w14:paraId="3BE0A553">
            <w:pPr>
              <w:pStyle w:val="9"/>
            </w:pPr>
            <w:r>
              <w:t>为全市数字经济持续发展提供良好辅助作用</w:t>
            </w:r>
          </w:p>
        </w:tc>
        <w:tc>
          <w:tcPr>
            <w:tcW w:w="2466" w:type="dxa"/>
            <w:vAlign w:val="center"/>
          </w:tcPr>
          <w:p w14:paraId="28812511">
            <w:pPr>
              <w:pStyle w:val="9"/>
            </w:pPr>
            <w:r>
              <w:t>是否达到为全市数字经济持续发展提供良好辅助作用成效</w:t>
            </w:r>
          </w:p>
        </w:tc>
        <w:tc>
          <w:tcPr>
            <w:tcW w:w="2466" w:type="dxa"/>
            <w:vAlign w:val="center"/>
          </w:tcPr>
          <w:p w14:paraId="38630407">
            <w:pPr>
              <w:pStyle w:val="9"/>
            </w:pPr>
            <w:r>
              <w:t>达到效果</w:t>
            </w:r>
          </w:p>
        </w:tc>
        <w:tc>
          <w:tcPr>
            <w:tcW w:w="2466" w:type="dxa"/>
            <w:vAlign w:val="center"/>
          </w:tcPr>
          <w:p w14:paraId="6EF50746">
            <w:pPr>
              <w:pStyle w:val="9"/>
            </w:pPr>
            <w:r>
              <w:t>工作总结</w:t>
            </w:r>
          </w:p>
        </w:tc>
      </w:tr>
      <w:tr w14:paraId="1E7069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0DAD8204">
            <w:pPr>
              <w:pStyle w:val="10"/>
            </w:pPr>
            <w:r>
              <w:t>满意度指标</w:t>
            </w:r>
          </w:p>
        </w:tc>
        <w:tc>
          <w:tcPr>
            <w:tcW w:w="2466" w:type="dxa"/>
            <w:vAlign w:val="center"/>
          </w:tcPr>
          <w:p w14:paraId="5F71FDCF">
            <w:pPr>
              <w:pStyle w:val="9"/>
            </w:pPr>
            <w:r>
              <w:t>服务对象满意度指标</w:t>
            </w:r>
          </w:p>
        </w:tc>
        <w:tc>
          <w:tcPr>
            <w:tcW w:w="2466" w:type="dxa"/>
            <w:vAlign w:val="center"/>
          </w:tcPr>
          <w:p w14:paraId="4404536E">
            <w:pPr>
              <w:pStyle w:val="9"/>
            </w:pPr>
            <w:r>
              <w:t>参加活动人员满意度</w:t>
            </w:r>
          </w:p>
        </w:tc>
        <w:tc>
          <w:tcPr>
            <w:tcW w:w="2466" w:type="dxa"/>
            <w:vAlign w:val="center"/>
          </w:tcPr>
          <w:p w14:paraId="536B8A25">
            <w:pPr>
              <w:pStyle w:val="9"/>
            </w:pPr>
            <w:r>
              <w:t>参加活动人员对活动举办情况满意率</w:t>
            </w:r>
          </w:p>
        </w:tc>
        <w:tc>
          <w:tcPr>
            <w:tcW w:w="2466" w:type="dxa"/>
            <w:vAlign w:val="center"/>
          </w:tcPr>
          <w:p w14:paraId="5E34CE94">
            <w:pPr>
              <w:pStyle w:val="9"/>
            </w:pPr>
            <w:r>
              <w:t>≥90%</w:t>
            </w:r>
          </w:p>
        </w:tc>
        <w:tc>
          <w:tcPr>
            <w:tcW w:w="2466" w:type="dxa"/>
            <w:vAlign w:val="center"/>
          </w:tcPr>
          <w:p w14:paraId="21BCA7D7">
            <w:pPr>
              <w:pStyle w:val="9"/>
            </w:pPr>
            <w:r>
              <w:t>调查问卷</w:t>
            </w:r>
          </w:p>
        </w:tc>
      </w:tr>
    </w:tbl>
    <w:p w14:paraId="56916CAA">
      <w:pPr>
        <w:spacing w:before="0" w:after="0"/>
        <w:jc w:val="left"/>
        <w:outlineLvl w:val="9"/>
        <w:rPr>
          <w:rFonts w:ascii="黑体" w:hAnsi="黑体" w:eastAsia="黑体" w:cs="黑体"/>
          <w:color w:val="000000"/>
          <w:sz w:val="32"/>
          <w:szCs w:val="32"/>
          <w:lang w:val="en-US" w:eastAsia="uk-UA" w:bidi="ar-SA"/>
        </w:rPr>
      </w:pPr>
      <w:r>
        <w:rPr>
          <w:rFonts w:hint="eastAsia" w:ascii="黑体" w:hAnsi="黑体" w:eastAsia="黑体" w:cs="黑体"/>
          <w:color w:val="000000"/>
          <w:sz w:val="32"/>
          <w:szCs w:val="32"/>
          <w:lang w:val="en-US" w:eastAsia="zh-CN" w:bidi="ar-SA"/>
        </w:rPr>
        <w:t>7</w:t>
      </w:r>
      <w:r>
        <w:rPr>
          <w:rFonts w:ascii="黑体" w:hAnsi="黑体" w:eastAsia="黑体" w:cs="黑体"/>
          <w:color w:val="000000"/>
          <w:sz w:val="32"/>
          <w:szCs w:val="32"/>
          <w:lang w:val="en-US" w:eastAsia="uk-UA" w:bidi="ar-SA"/>
        </w:rPr>
        <w:t>、网络媒体宣传引导工作经费绩效目标表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1531509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540F675B">
            <w:pPr>
              <w:pStyle w:val="8"/>
            </w:pPr>
            <w:r>
              <w:t>绩效目标</w:t>
            </w:r>
          </w:p>
        </w:tc>
        <w:tc>
          <w:tcPr>
            <w:tcW w:w="7399" w:type="dxa"/>
            <w:tcBorders>
              <w:bottom w:val="single" w:color="FFFFFF" w:sz="6" w:space="0"/>
            </w:tcBorders>
            <w:vAlign w:val="center"/>
          </w:tcPr>
          <w:p w14:paraId="0F724C90">
            <w:pPr>
              <w:pStyle w:val="9"/>
            </w:pPr>
            <w:r>
              <w:t>1.通过项目开展实现重大活动、重大事件、重大主题、重要政策的网上宣传和评论引导。创新制作H5、海报、微视频等网络传播产品。及时发布权威信息，持续巩固壮大主流舆论强势，拓展政府与群众沟通交流渠道等战略，保障把“廊坊发布”官方微博微信等切实做成全市及时发布信息、引导舆论、服务民生的权威官方公众号的实现。加强网络新闻宣传，有效引导网络舆论。实现</w:t>
            </w:r>
            <w:r>
              <w:rPr>
                <w:rFonts w:hint="eastAsia"/>
                <w:lang w:eastAsia="zh-CN"/>
              </w:rPr>
              <w:t>传播</w:t>
            </w:r>
            <w:r>
              <w:t>队伍的指挥调度、量化考核及后台数据的有效管理，提升我市</w:t>
            </w:r>
            <w:r>
              <w:rPr>
                <w:rFonts w:hint="eastAsia"/>
                <w:lang w:eastAsia="zh-CN"/>
              </w:rPr>
              <w:t>传播</w:t>
            </w:r>
            <w:r>
              <w:t>队伍管理和</w:t>
            </w:r>
            <w:r>
              <w:rPr>
                <w:rFonts w:hint="eastAsia"/>
                <w:lang w:eastAsia="zh-CN"/>
              </w:rPr>
              <w:t>传播</w:t>
            </w:r>
            <w:r>
              <w:t>引导工作实效，及时、高效、稳妥完成中央和省、市各级</w:t>
            </w:r>
            <w:r>
              <w:rPr>
                <w:rFonts w:hint="eastAsia"/>
                <w:lang w:eastAsia="zh-CN"/>
              </w:rPr>
              <w:t>传播</w:t>
            </w:r>
            <w:r>
              <w:t>引导任务。确保我市网上舆论平稳有序，营造浓厚的网络舆论氛围，使网络空间风清气正，促进经济社会高质量发展的实现。</w:t>
            </w:r>
          </w:p>
          <w:p w14:paraId="42AE536B">
            <w:pPr>
              <w:pStyle w:val="9"/>
            </w:pPr>
            <w:r>
              <w:t>2.通过项目的开展完与各网站合作中宣传我市经济社会发展亮点，有效提升我市</w:t>
            </w:r>
            <w:r>
              <w:rPr>
                <w:rFonts w:hint="eastAsia"/>
                <w:lang w:eastAsia="zh-CN"/>
              </w:rPr>
              <w:t>传播</w:t>
            </w:r>
            <w:r>
              <w:t>队伍管理和</w:t>
            </w:r>
            <w:r>
              <w:rPr>
                <w:rFonts w:hint="eastAsia"/>
                <w:lang w:eastAsia="zh-CN"/>
              </w:rPr>
              <w:t>传播</w:t>
            </w:r>
            <w:r>
              <w:t>引导工作实效，及时、高效、稳妥完成中央和省、市各级</w:t>
            </w:r>
            <w:r>
              <w:rPr>
                <w:rFonts w:hint="eastAsia"/>
                <w:lang w:eastAsia="zh-CN"/>
              </w:rPr>
              <w:t>传播</w:t>
            </w:r>
            <w:r>
              <w:t>引导任务。维护“廊坊发布”微博、微信公众号。有效传播廊坊好声音，推进全市网络舆论氛围持续向好，为奋力推动廊坊在京津冀协同发展上走在全省前列凝聚人心、汇聚力量。</w:t>
            </w:r>
          </w:p>
        </w:tc>
      </w:tr>
    </w:tbl>
    <w:p w14:paraId="6F20DA00">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3EEE5A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240E155C">
            <w:pPr>
              <w:pStyle w:val="8"/>
            </w:pPr>
            <w:r>
              <w:t>一级指标</w:t>
            </w:r>
          </w:p>
        </w:tc>
        <w:tc>
          <w:tcPr>
            <w:tcW w:w="2466" w:type="dxa"/>
            <w:vAlign w:val="center"/>
          </w:tcPr>
          <w:p w14:paraId="5F6221CD">
            <w:pPr>
              <w:pStyle w:val="8"/>
            </w:pPr>
            <w:r>
              <w:t>二级指标</w:t>
            </w:r>
          </w:p>
        </w:tc>
        <w:tc>
          <w:tcPr>
            <w:tcW w:w="2466" w:type="dxa"/>
            <w:vAlign w:val="center"/>
          </w:tcPr>
          <w:p w14:paraId="14E8D770">
            <w:pPr>
              <w:pStyle w:val="8"/>
            </w:pPr>
            <w:r>
              <w:t>三级指标</w:t>
            </w:r>
          </w:p>
        </w:tc>
        <w:tc>
          <w:tcPr>
            <w:tcW w:w="2466" w:type="dxa"/>
            <w:vAlign w:val="center"/>
          </w:tcPr>
          <w:p w14:paraId="31581FF0">
            <w:pPr>
              <w:pStyle w:val="8"/>
            </w:pPr>
            <w:r>
              <w:t>绩效指标描述</w:t>
            </w:r>
          </w:p>
        </w:tc>
        <w:tc>
          <w:tcPr>
            <w:tcW w:w="2466" w:type="dxa"/>
            <w:vAlign w:val="center"/>
          </w:tcPr>
          <w:p w14:paraId="540C7D24">
            <w:pPr>
              <w:pStyle w:val="8"/>
            </w:pPr>
            <w:r>
              <w:t>指标值</w:t>
            </w:r>
          </w:p>
        </w:tc>
        <w:tc>
          <w:tcPr>
            <w:tcW w:w="2466" w:type="dxa"/>
            <w:vAlign w:val="center"/>
          </w:tcPr>
          <w:p w14:paraId="3A3021A2">
            <w:pPr>
              <w:pStyle w:val="8"/>
            </w:pPr>
            <w:r>
              <w:t>指标值确定依据</w:t>
            </w:r>
          </w:p>
        </w:tc>
      </w:tr>
      <w:tr w14:paraId="48DEC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4E0E16A5">
            <w:pPr>
              <w:pStyle w:val="10"/>
            </w:pPr>
            <w:r>
              <w:t>产出指标</w:t>
            </w:r>
          </w:p>
        </w:tc>
        <w:tc>
          <w:tcPr>
            <w:tcW w:w="2466" w:type="dxa"/>
            <w:vAlign w:val="center"/>
          </w:tcPr>
          <w:p w14:paraId="752541B0">
            <w:pPr>
              <w:pStyle w:val="9"/>
            </w:pPr>
            <w:r>
              <w:t>数量指标</w:t>
            </w:r>
          </w:p>
        </w:tc>
        <w:tc>
          <w:tcPr>
            <w:tcW w:w="2466" w:type="dxa"/>
            <w:vAlign w:val="center"/>
          </w:tcPr>
          <w:p w14:paraId="1C82723D">
            <w:pPr>
              <w:pStyle w:val="9"/>
            </w:pPr>
            <w:r>
              <w:t>发稿量</w:t>
            </w:r>
          </w:p>
        </w:tc>
        <w:tc>
          <w:tcPr>
            <w:tcW w:w="2466" w:type="dxa"/>
            <w:vAlign w:val="center"/>
          </w:tcPr>
          <w:p w14:paraId="12014AFF">
            <w:pPr>
              <w:pStyle w:val="9"/>
            </w:pPr>
            <w:r>
              <w:t>在各网站推送发稿篇数</w:t>
            </w:r>
          </w:p>
        </w:tc>
        <w:tc>
          <w:tcPr>
            <w:tcW w:w="2466" w:type="dxa"/>
            <w:vAlign w:val="center"/>
          </w:tcPr>
          <w:p w14:paraId="27DAD5D0">
            <w:pPr>
              <w:pStyle w:val="9"/>
            </w:pPr>
            <w:r>
              <w:t>≥500篇</w:t>
            </w:r>
          </w:p>
        </w:tc>
        <w:tc>
          <w:tcPr>
            <w:tcW w:w="2466" w:type="dxa"/>
            <w:vAlign w:val="center"/>
          </w:tcPr>
          <w:p w14:paraId="4B28D814">
            <w:pPr>
              <w:pStyle w:val="9"/>
            </w:pPr>
            <w:r>
              <w:t>后台数据</w:t>
            </w:r>
          </w:p>
        </w:tc>
      </w:tr>
      <w:tr w14:paraId="6203D0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09CE394"/>
        </w:tc>
        <w:tc>
          <w:tcPr>
            <w:tcW w:w="2466" w:type="dxa"/>
            <w:vAlign w:val="center"/>
          </w:tcPr>
          <w:p w14:paraId="5EE8F212">
            <w:pPr>
              <w:pStyle w:val="9"/>
            </w:pPr>
            <w:r>
              <w:t>数量指标</w:t>
            </w:r>
          </w:p>
        </w:tc>
        <w:tc>
          <w:tcPr>
            <w:tcW w:w="2466" w:type="dxa"/>
            <w:vAlign w:val="center"/>
          </w:tcPr>
          <w:p w14:paraId="7133ABB3">
            <w:pPr>
              <w:pStyle w:val="9"/>
            </w:pPr>
            <w:r>
              <w:t>制作网络传播产品数量</w:t>
            </w:r>
          </w:p>
        </w:tc>
        <w:tc>
          <w:tcPr>
            <w:tcW w:w="2466" w:type="dxa"/>
            <w:vAlign w:val="center"/>
          </w:tcPr>
          <w:p w14:paraId="1E7CB192">
            <w:pPr>
              <w:pStyle w:val="9"/>
            </w:pPr>
            <w:r>
              <w:t>再各个平台制作推出网络传播产品数量</w:t>
            </w:r>
          </w:p>
        </w:tc>
        <w:tc>
          <w:tcPr>
            <w:tcW w:w="2466" w:type="dxa"/>
            <w:vAlign w:val="center"/>
          </w:tcPr>
          <w:p w14:paraId="1E9F3A84">
            <w:pPr>
              <w:pStyle w:val="9"/>
            </w:pPr>
            <w:r>
              <w:t>≥85个</w:t>
            </w:r>
          </w:p>
        </w:tc>
        <w:tc>
          <w:tcPr>
            <w:tcW w:w="2466" w:type="dxa"/>
            <w:vAlign w:val="center"/>
          </w:tcPr>
          <w:p w14:paraId="2F67B4D3">
            <w:pPr>
              <w:pStyle w:val="9"/>
            </w:pPr>
            <w:r>
              <w:t>后台数据</w:t>
            </w:r>
          </w:p>
        </w:tc>
      </w:tr>
      <w:tr w14:paraId="7A1768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49" w:hRule="atLeast"/>
          <w:jc w:val="center"/>
        </w:trPr>
        <w:tc>
          <w:tcPr>
            <w:tcW w:w="2466" w:type="dxa"/>
            <w:vMerge w:val="continue"/>
            <w:vAlign w:val="center"/>
          </w:tcPr>
          <w:p w14:paraId="123E40C1"/>
        </w:tc>
        <w:tc>
          <w:tcPr>
            <w:tcW w:w="2466" w:type="dxa"/>
            <w:vAlign w:val="center"/>
          </w:tcPr>
          <w:p w14:paraId="516528DA">
            <w:pPr>
              <w:pStyle w:val="9"/>
            </w:pPr>
            <w:r>
              <w:t>质量指标</w:t>
            </w:r>
          </w:p>
        </w:tc>
        <w:tc>
          <w:tcPr>
            <w:tcW w:w="2466" w:type="dxa"/>
            <w:vAlign w:val="center"/>
          </w:tcPr>
          <w:p w14:paraId="39A71B4B">
            <w:pPr>
              <w:pStyle w:val="9"/>
            </w:pPr>
            <w:r>
              <w:t>阅读量</w:t>
            </w:r>
          </w:p>
        </w:tc>
        <w:tc>
          <w:tcPr>
            <w:tcW w:w="2466" w:type="dxa"/>
            <w:vAlign w:val="center"/>
          </w:tcPr>
          <w:p w14:paraId="633C0C9F">
            <w:pPr>
              <w:pStyle w:val="9"/>
            </w:pPr>
            <w:r>
              <w:t>受众阅读量</w:t>
            </w:r>
          </w:p>
        </w:tc>
        <w:tc>
          <w:tcPr>
            <w:tcW w:w="2466" w:type="dxa"/>
            <w:vAlign w:val="center"/>
          </w:tcPr>
          <w:p w14:paraId="496A816F">
            <w:pPr>
              <w:pStyle w:val="9"/>
            </w:pPr>
            <w:r>
              <w:t>≥500万人次</w:t>
            </w:r>
          </w:p>
        </w:tc>
        <w:tc>
          <w:tcPr>
            <w:tcW w:w="2466" w:type="dxa"/>
            <w:vAlign w:val="center"/>
          </w:tcPr>
          <w:p w14:paraId="1E2239F1">
            <w:pPr>
              <w:pStyle w:val="9"/>
            </w:pPr>
            <w:r>
              <w:t>后台数据</w:t>
            </w:r>
          </w:p>
        </w:tc>
      </w:tr>
      <w:tr w14:paraId="010D10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7" w:hRule="atLeast"/>
          <w:jc w:val="center"/>
        </w:trPr>
        <w:tc>
          <w:tcPr>
            <w:tcW w:w="2466" w:type="dxa"/>
            <w:vMerge w:val="continue"/>
            <w:vAlign w:val="center"/>
          </w:tcPr>
          <w:p w14:paraId="5F8D313D"/>
        </w:tc>
        <w:tc>
          <w:tcPr>
            <w:tcW w:w="2466" w:type="dxa"/>
            <w:vAlign w:val="center"/>
          </w:tcPr>
          <w:p w14:paraId="6E5E6BE2">
            <w:pPr>
              <w:pStyle w:val="9"/>
            </w:pPr>
            <w:r>
              <w:t>时效指标</w:t>
            </w:r>
          </w:p>
        </w:tc>
        <w:tc>
          <w:tcPr>
            <w:tcW w:w="2466" w:type="dxa"/>
            <w:vAlign w:val="center"/>
          </w:tcPr>
          <w:p w14:paraId="5ACC9716">
            <w:pPr>
              <w:pStyle w:val="9"/>
            </w:pPr>
            <w:r>
              <w:t>及时性</w:t>
            </w:r>
          </w:p>
        </w:tc>
        <w:tc>
          <w:tcPr>
            <w:tcW w:w="2466" w:type="dxa"/>
            <w:vAlign w:val="center"/>
          </w:tcPr>
          <w:p w14:paraId="466BCE03">
            <w:pPr>
              <w:pStyle w:val="9"/>
            </w:pPr>
            <w:r>
              <w:t>“廊坊发布”公众号反映政务信息发布的及时情况</w:t>
            </w:r>
          </w:p>
        </w:tc>
        <w:tc>
          <w:tcPr>
            <w:tcW w:w="2466" w:type="dxa"/>
            <w:vAlign w:val="center"/>
          </w:tcPr>
          <w:p w14:paraId="2FE43773">
            <w:pPr>
              <w:pStyle w:val="9"/>
            </w:pPr>
            <w:r>
              <w:t>及时</w:t>
            </w:r>
          </w:p>
        </w:tc>
        <w:tc>
          <w:tcPr>
            <w:tcW w:w="2466" w:type="dxa"/>
            <w:vAlign w:val="center"/>
          </w:tcPr>
          <w:p w14:paraId="305C1625">
            <w:pPr>
              <w:pStyle w:val="9"/>
            </w:pPr>
            <w:r>
              <w:t>计划标准</w:t>
            </w:r>
          </w:p>
        </w:tc>
      </w:tr>
      <w:tr w14:paraId="1C3F53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jc w:val="center"/>
        </w:trPr>
        <w:tc>
          <w:tcPr>
            <w:tcW w:w="2466" w:type="dxa"/>
            <w:vMerge w:val="continue"/>
            <w:vAlign w:val="center"/>
          </w:tcPr>
          <w:p w14:paraId="33DAEE0C"/>
        </w:tc>
        <w:tc>
          <w:tcPr>
            <w:tcW w:w="2466" w:type="dxa"/>
            <w:vAlign w:val="center"/>
          </w:tcPr>
          <w:p w14:paraId="19459A62">
            <w:pPr>
              <w:pStyle w:val="9"/>
            </w:pPr>
            <w:r>
              <w:t>成本指标</w:t>
            </w:r>
          </w:p>
        </w:tc>
        <w:tc>
          <w:tcPr>
            <w:tcW w:w="2466" w:type="dxa"/>
            <w:vAlign w:val="center"/>
          </w:tcPr>
          <w:p w14:paraId="00359049">
            <w:pPr>
              <w:pStyle w:val="9"/>
            </w:pPr>
            <w:r>
              <w:t>图说图解成本</w:t>
            </w:r>
          </w:p>
        </w:tc>
        <w:tc>
          <w:tcPr>
            <w:tcW w:w="2466" w:type="dxa"/>
            <w:vAlign w:val="center"/>
          </w:tcPr>
          <w:p w14:paraId="7AB4659C">
            <w:pPr>
              <w:pStyle w:val="9"/>
            </w:pPr>
            <w:r>
              <w:t>每个图说图解成本</w:t>
            </w:r>
          </w:p>
        </w:tc>
        <w:tc>
          <w:tcPr>
            <w:tcW w:w="2466" w:type="dxa"/>
            <w:vAlign w:val="center"/>
          </w:tcPr>
          <w:p w14:paraId="606EEBF7">
            <w:pPr>
              <w:pStyle w:val="9"/>
            </w:pPr>
            <w:r>
              <w:t>≤2000元</w:t>
            </w:r>
          </w:p>
        </w:tc>
        <w:tc>
          <w:tcPr>
            <w:tcW w:w="2466" w:type="dxa"/>
            <w:vAlign w:val="center"/>
          </w:tcPr>
          <w:p w14:paraId="6EB7747B">
            <w:pPr>
              <w:pStyle w:val="9"/>
            </w:pPr>
            <w:r>
              <w:t>实际执行情况</w:t>
            </w:r>
          </w:p>
        </w:tc>
      </w:tr>
      <w:tr w14:paraId="04968D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32" w:hRule="atLeast"/>
          <w:jc w:val="center"/>
        </w:trPr>
        <w:tc>
          <w:tcPr>
            <w:tcW w:w="2466" w:type="dxa"/>
            <w:vMerge w:val="continue"/>
            <w:vAlign w:val="center"/>
          </w:tcPr>
          <w:p w14:paraId="17656310"/>
        </w:tc>
        <w:tc>
          <w:tcPr>
            <w:tcW w:w="2466" w:type="dxa"/>
            <w:vAlign w:val="center"/>
          </w:tcPr>
          <w:p w14:paraId="259551CA">
            <w:pPr>
              <w:pStyle w:val="9"/>
            </w:pPr>
            <w:r>
              <w:t>成本指标</w:t>
            </w:r>
          </w:p>
        </w:tc>
        <w:tc>
          <w:tcPr>
            <w:tcW w:w="2466" w:type="dxa"/>
            <w:vAlign w:val="center"/>
          </w:tcPr>
          <w:p w14:paraId="0FB62CE3">
            <w:pPr>
              <w:pStyle w:val="9"/>
            </w:pPr>
            <w:r>
              <w:t>微视频、微动漫</w:t>
            </w:r>
          </w:p>
        </w:tc>
        <w:tc>
          <w:tcPr>
            <w:tcW w:w="2466" w:type="dxa"/>
            <w:vAlign w:val="center"/>
          </w:tcPr>
          <w:p w14:paraId="7BAF3D36">
            <w:pPr>
              <w:pStyle w:val="9"/>
            </w:pPr>
            <w:r>
              <w:t>每个微视频、微动漫成本</w:t>
            </w:r>
          </w:p>
        </w:tc>
        <w:tc>
          <w:tcPr>
            <w:tcW w:w="2466" w:type="dxa"/>
            <w:vAlign w:val="center"/>
          </w:tcPr>
          <w:p w14:paraId="59F43B59">
            <w:pPr>
              <w:pStyle w:val="9"/>
            </w:pPr>
            <w:r>
              <w:t>≤20000元</w:t>
            </w:r>
          </w:p>
        </w:tc>
        <w:tc>
          <w:tcPr>
            <w:tcW w:w="2466" w:type="dxa"/>
            <w:vAlign w:val="center"/>
          </w:tcPr>
          <w:p w14:paraId="12FB5CD8">
            <w:pPr>
              <w:pStyle w:val="9"/>
            </w:pPr>
            <w:r>
              <w:t>实际支出情况</w:t>
            </w:r>
          </w:p>
        </w:tc>
      </w:tr>
      <w:tr w14:paraId="57202C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77" w:hRule="atLeast"/>
          <w:jc w:val="center"/>
        </w:trPr>
        <w:tc>
          <w:tcPr>
            <w:tcW w:w="2466" w:type="dxa"/>
            <w:vMerge w:val="restart"/>
            <w:vAlign w:val="center"/>
          </w:tcPr>
          <w:p w14:paraId="3D178189">
            <w:pPr>
              <w:pStyle w:val="10"/>
            </w:pPr>
            <w:r>
              <w:t>效益指标</w:t>
            </w:r>
          </w:p>
        </w:tc>
        <w:tc>
          <w:tcPr>
            <w:tcW w:w="2466" w:type="dxa"/>
            <w:vAlign w:val="center"/>
          </w:tcPr>
          <w:p w14:paraId="383D7E06">
            <w:pPr>
              <w:pStyle w:val="9"/>
            </w:pPr>
            <w:r>
              <w:t>社会效益指标</w:t>
            </w:r>
          </w:p>
        </w:tc>
        <w:tc>
          <w:tcPr>
            <w:tcW w:w="2466" w:type="dxa"/>
            <w:vAlign w:val="center"/>
          </w:tcPr>
          <w:p w14:paraId="1ABFCF6B">
            <w:pPr>
              <w:pStyle w:val="9"/>
            </w:pPr>
            <w:r>
              <w:t>提升廊坊市良好形象程度</w:t>
            </w:r>
          </w:p>
        </w:tc>
        <w:tc>
          <w:tcPr>
            <w:tcW w:w="2466" w:type="dxa"/>
            <w:vAlign w:val="center"/>
          </w:tcPr>
          <w:p w14:paraId="23F8D3C7">
            <w:pPr>
              <w:pStyle w:val="9"/>
            </w:pPr>
            <w:r>
              <w:t>反映项目实施对廊坊知名度、美誉度的提升影响情况</w:t>
            </w:r>
          </w:p>
        </w:tc>
        <w:tc>
          <w:tcPr>
            <w:tcW w:w="2466" w:type="dxa"/>
            <w:vAlign w:val="center"/>
          </w:tcPr>
          <w:p w14:paraId="171B3071">
            <w:pPr>
              <w:pStyle w:val="9"/>
            </w:pPr>
            <w:r>
              <w:t>显著提升</w:t>
            </w:r>
          </w:p>
        </w:tc>
        <w:tc>
          <w:tcPr>
            <w:tcW w:w="2466" w:type="dxa"/>
            <w:vAlign w:val="center"/>
          </w:tcPr>
          <w:p w14:paraId="5C4E8915">
            <w:pPr>
              <w:pStyle w:val="9"/>
            </w:pPr>
            <w:r>
              <w:t>工作总结</w:t>
            </w:r>
          </w:p>
        </w:tc>
      </w:tr>
      <w:tr w14:paraId="2ACFA7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9" w:hRule="atLeast"/>
          <w:jc w:val="center"/>
        </w:trPr>
        <w:tc>
          <w:tcPr>
            <w:tcW w:w="2466" w:type="dxa"/>
            <w:vAlign w:val="center"/>
          </w:tcPr>
          <w:p w14:paraId="586D4B38">
            <w:pPr>
              <w:pStyle w:val="10"/>
            </w:pPr>
            <w:r>
              <w:t>满意度指标</w:t>
            </w:r>
          </w:p>
        </w:tc>
        <w:tc>
          <w:tcPr>
            <w:tcW w:w="2466" w:type="dxa"/>
            <w:vAlign w:val="center"/>
          </w:tcPr>
          <w:p w14:paraId="2C271336">
            <w:pPr>
              <w:pStyle w:val="9"/>
            </w:pPr>
            <w:r>
              <w:t>服务对象满意度指标</w:t>
            </w:r>
          </w:p>
        </w:tc>
        <w:tc>
          <w:tcPr>
            <w:tcW w:w="2466" w:type="dxa"/>
            <w:vAlign w:val="center"/>
          </w:tcPr>
          <w:p w14:paraId="012750CC">
            <w:pPr>
              <w:pStyle w:val="9"/>
            </w:pPr>
            <w:r>
              <w:t>群众满意度情况　</w:t>
            </w:r>
          </w:p>
        </w:tc>
        <w:tc>
          <w:tcPr>
            <w:tcW w:w="2466" w:type="dxa"/>
            <w:vAlign w:val="center"/>
          </w:tcPr>
          <w:p w14:paraId="5534DD22">
            <w:pPr>
              <w:pStyle w:val="9"/>
            </w:pPr>
            <w:r>
              <w:t>反映群众对公众号运维满意度　</w:t>
            </w:r>
          </w:p>
        </w:tc>
        <w:tc>
          <w:tcPr>
            <w:tcW w:w="2466" w:type="dxa"/>
            <w:vAlign w:val="center"/>
          </w:tcPr>
          <w:p w14:paraId="711CE94B">
            <w:pPr>
              <w:pStyle w:val="9"/>
            </w:pPr>
            <w:r>
              <w:t>≥80%</w:t>
            </w:r>
          </w:p>
        </w:tc>
        <w:tc>
          <w:tcPr>
            <w:tcW w:w="2466" w:type="dxa"/>
            <w:vAlign w:val="center"/>
          </w:tcPr>
          <w:p w14:paraId="66D94D08">
            <w:pPr>
              <w:pStyle w:val="9"/>
            </w:pPr>
            <w:r>
              <w:t>问卷调查</w:t>
            </w:r>
          </w:p>
        </w:tc>
      </w:tr>
    </w:tbl>
    <w:p w14:paraId="2F479DB9">
      <w:pPr>
        <w:spacing w:before="0" w:after="0"/>
        <w:jc w:val="left"/>
        <w:outlineLvl w:val="9"/>
        <w:rPr>
          <w:rFonts w:hint="eastAsia" w:ascii="黑体" w:hAnsi="黑体" w:eastAsia="黑体" w:cs="黑体"/>
          <w:color w:val="000000"/>
          <w:sz w:val="32"/>
          <w:szCs w:val="32"/>
          <w:lang w:val="en-US" w:eastAsia="zh-CN" w:bidi="ar-SA"/>
        </w:rPr>
      </w:pPr>
    </w:p>
    <w:p w14:paraId="1006F352">
      <w:pPr>
        <w:spacing w:before="0" w:after="0"/>
        <w:jc w:val="left"/>
        <w:outlineLvl w:val="9"/>
        <w:rPr>
          <w:rFonts w:hint="eastAsia" w:ascii="黑体" w:hAnsi="黑体" w:eastAsia="黑体" w:cs="黑体"/>
          <w:color w:val="000000"/>
          <w:sz w:val="32"/>
          <w:szCs w:val="32"/>
          <w:lang w:val="en-US" w:eastAsia="zh-CN" w:bidi="ar-SA"/>
        </w:rPr>
      </w:pPr>
    </w:p>
    <w:p w14:paraId="6046C23A">
      <w:pPr>
        <w:spacing w:before="0" w:after="0"/>
        <w:jc w:val="left"/>
        <w:outlineLvl w:val="9"/>
        <w:rPr>
          <w:rFonts w:hint="eastAsia" w:ascii="黑体" w:hAnsi="黑体" w:eastAsia="黑体" w:cs="黑体"/>
          <w:color w:val="000000"/>
          <w:sz w:val="32"/>
          <w:szCs w:val="32"/>
          <w:lang w:val="en-US" w:eastAsia="zh-CN" w:bidi="ar-SA"/>
        </w:rPr>
      </w:pPr>
    </w:p>
    <w:p w14:paraId="55309B85">
      <w:pPr>
        <w:spacing w:before="0" w:after="0"/>
        <w:jc w:val="left"/>
        <w:outlineLvl w:val="9"/>
        <w:rPr>
          <w:rFonts w:ascii="黑体" w:hAnsi="黑体" w:eastAsia="黑体" w:cs="黑体"/>
          <w:color w:val="000000"/>
          <w:sz w:val="32"/>
          <w:szCs w:val="32"/>
          <w:lang w:val="en-US" w:eastAsia="uk-UA" w:bidi="ar-SA"/>
        </w:rPr>
      </w:pPr>
      <w:r>
        <w:rPr>
          <w:rFonts w:hint="eastAsia" w:ascii="黑体" w:hAnsi="黑体" w:eastAsia="黑体" w:cs="黑体"/>
          <w:color w:val="000000"/>
          <w:sz w:val="32"/>
          <w:szCs w:val="32"/>
          <w:lang w:val="en-US" w:eastAsia="zh-CN" w:bidi="ar-SA"/>
        </w:rPr>
        <w:t>8</w:t>
      </w:r>
      <w:r>
        <w:rPr>
          <w:rFonts w:ascii="黑体" w:hAnsi="黑体" w:eastAsia="黑体" w:cs="黑体"/>
          <w:color w:val="000000"/>
          <w:sz w:val="32"/>
          <w:szCs w:val="32"/>
          <w:lang w:val="en-US" w:eastAsia="uk-UA" w:bidi="ar-SA"/>
        </w:rPr>
        <w:t>、智能AI外呼服务平台建设资金绩效目标表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4F4F07E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555579A">
            <w:pPr>
              <w:pStyle w:val="8"/>
            </w:pPr>
            <w:r>
              <w:t>绩效目标</w:t>
            </w:r>
          </w:p>
        </w:tc>
        <w:tc>
          <w:tcPr>
            <w:tcW w:w="7399" w:type="dxa"/>
            <w:tcBorders>
              <w:bottom w:val="single" w:color="FFFFFF" w:sz="6" w:space="0"/>
            </w:tcBorders>
            <w:vAlign w:val="center"/>
          </w:tcPr>
          <w:p w14:paraId="2764DAF2">
            <w:pPr>
              <w:pStyle w:val="9"/>
            </w:pPr>
            <w:r>
              <w:t>1.平台通过“一系统、一中心”，实现短时间内高并发呼叫提醒老年人群免疫接种，对公众进行新冠肺炎疫情防控宣传教育，为疫情防控提供信息化辅助支撑作用，助力疫情防控。</w:t>
            </w:r>
          </w:p>
          <w:p w14:paraId="1D857537">
            <w:pPr>
              <w:pStyle w:val="9"/>
            </w:pPr>
            <w:r>
              <w:t>2.平台建设方案基于人工智能、大数据分析以及现代通讯技术，搭建大数据分析系统，可共享对接卫健、公安、网信等部门的数据资源，通过设计动态数据分析逻辑，进行智能数据处理，生成外呼宣传教育所需的特定人群信息，经分析研判后，由智能云呼叫中心进行语音外呼。外呼的内容可以根据实际需求进行自定义，智能云呼叫中心可对外呼情况进行记录和反馈。</w:t>
            </w:r>
          </w:p>
        </w:tc>
      </w:tr>
    </w:tbl>
    <w:p w14:paraId="19D38B80">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6C52CA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2135F5D4">
            <w:pPr>
              <w:pStyle w:val="8"/>
            </w:pPr>
            <w:r>
              <w:t>一级指标</w:t>
            </w:r>
          </w:p>
        </w:tc>
        <w:tc>
          <w:tcPr>
            <w:tcW w:w="2466" w:type="dxa"/>
            <w:vAlign w:val="center"/>
          </w:tcPr>
          <w:p w14:paraId="040510B1">
            <w:pPr>
              <w:pStyle w:val="8"/>
            </w:pPr>
            <w:r>
              <w:t>二级指标</w:t>
            </w:r>
          </w:p>
        </w:tc>
        <w:tc>
          <w:tcPr>
            <w:tcW w:w="2466" w:type="dxa"/>
            <w:vAlign w:val="center"/>
          </w:tcPr>
          <w:p w14:paraId="7CB160CA">
            <w:pPr>
              <w:pStyle w:val="8"/>
            </w:pPr>
            <w:r>
              <w:t>三级指标</w:t>
            </w:r>
          </w:p>
        </w:tc>
        <w:tc>
          <w:tcPr>
            <w:tcW w:w="2466" w:type="dxa"/>
            <w:vAlign w:val="center"/>
          </w:tcPr>
          <w:p w14:paraId="4EBA07F8">
            <w:pPr>
              <w:pStyle w:val="8"/>
            </w:pPr>
            <w:r>
              <w:t>绩效指标描述</w:t>
            </w:r>
          </w:p>
        </w:tc>
        <w:tc>
          <w:tcPr>
            <w:tcW w:w="2466" w:type="dxa"/>
            <w:vAlign w:val="center"/>
          </w:tcPr>
          <w:p w14:paraId="7F31B4B1">
            <w:pPr>
              <w:pStyle w:val="8"/>
            </w:pPr>
            <w:r>
              <w:t>指标值</w:t>
            </w:r>
          </w:p>
        </w:tc>
        <w:tc>
          <w:tcPr>
            <w:tcW w:w="2466" w:type="dxa"/>
            <w:vAlign w:val="center"/>
          </w:tcPr>
          <w:p w14:paraId="0F56E019">
            <w:pPr>
              <w:pStyle w:val="8"/>
            </w:pPr>
            <w:r>
              <w:t>指标值确定依据</w:t>
            </w:r>
          </w:p>
        </w:tc>
      </w:tr>
      <w:tr w14:paraId="4A5ED9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3C214274">
            <w:pPr>
              <w:pStyle w:val="10"/>
            </w:pPr>
            <w:r>
              <w:t>产出指标</w:t>
            </w:r>
          </w:p>
        </w:tc>
        <w:tc>
          <w:tcPr>
            <w:tcW w:w="2466" w:type="dxa"/>
            <w:vAlign w:val="center"/>
          </w:tcPr>
          <w:p w14:paraId="0E60F46C">
            <w:pPr>
              <w:pStyle w:val="9"/>
            </w:pPr>
            <w:r>
              <w:t>数量指标</w:t>
            </w:r>
          </w:p>
        </w:tc>
        <w:tc>
          <w:tcPr>
            <w:tcW w:w="2466" w:type="dxa"/>
            <w:vAlign w:val="center"/>
          </w:tcPr>
          <w:p w14:paraId="0C95B9F9">
            <w:pPr>
              <w:pStyle w:val="9"/>
            </w:pPr>
            <w:r>
              <w:t>人工智能坐席外呼日呼叫量最大峰值</w:t>
            </w:r>
          </w:p>
        </w:tc>
        <w:tc>
          <w:tcPr>
            <w:tcW w:w="2466" w:type="dxa"/>
            <w:vAlign w:val="center"/>
          </w:tcPr>
          <w:p w14:paraId="0B4B56D3">
            <w:pPr>
              <w:pStyle w:val="9"/>
            </w:pPr>
            <w:r>
              <w:t>人工智能坐席外呼日呼叫量最大峰值不低于20万次</w:t>
            </w:r>
          </w:p>
        </w:tc>
        <w:tc>
          <w:tcPr>
            <w:tcW w:w="2466" w:type="dxa"/>
            <w:vAlign w:val="center"/>
          </w:tcPr>
          <w:p w14:paraId="766B66F5">
            <w:pPr>
              <w:pStyle w:val="9"/>
            </w:pPr>
            <w:r>
              <w:t>≥20万次</w:t>
            </w:r>
          </w:p>
        </w:tc>
        <w:tc>
          <w:tcPr>
            <w:tcW w:w="2466" w:type="dxa"/>
            <w:vAlign w:val="center"/>
          </w:tcPr>
          <w:p w14:paraId="6F4A1B6A">
            <w:pPr>
              <w:pStyle w:val="9"/>
            </w:pPr>
            <w:r>
              <w:t>运行报告</w:t>
            </w:r>
          </w:p>
        </w:tc>
      </w:tr>
      <w:tr w14:paraId="379177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A668BCB"/>
        </w:tc>
        <w:tc>
          <w:tcPr>
            <w:tcW w:w="2466" w:type="dxa"/>
            <w:vAlign w:val="center"/>
          </w:tcPr>
          <w:p w14:paraId="176AA011">
            <w:pPr>
              <w:pStyle w:val="9"/>
            </w:pPr>
            <w:r>
              <w:t>质量指标</w:t>
            </w:r>
          </w:p>
        </w:tc>
        <w:tc>
          <w:tcPr>
            <w:tcW w:w="2466" w:type="dxa"/>
            <w:vAlign w:val="center"/>
          </w:tcPr>
          <w:p w14:paraId="6EA54147">
            <w:pPr>
              <w:pStyle w:val="9"/>
            </w:pPr>
            <w:r>
              <w:t>平台故障时长</w:t>
            </w:r>
          </w:p>
        </w:tc>
        <w:tc>
          <w:tcPr>
            <w:tcW w:w="2466" w:type="dxa"/>
            <w:vAlign w:val="center"/>
          </w:tcPr>
          <w:p w14:paraId="490DF9EA">
            <w:pPr>
              <w:pStyle w:val="9"/>
            </w:pPr>
            <w:r>
              <w:t>平台设备出现的故障时长</w:t>
            </w:r>
          </w:p>
        </w:tc>
        <w:tc>
          <w:tcPr>
            <w:tcW w:w="2466" w:type="dxa"/>
            <w:vAlign w:val="center"/>
          </w:tcPr>
          <w:p w14:paraId="47F04744">
            <w:pPr>
              <w:pStyle w:val="9"/>
            </w:pPr>
            <w:r>
              <w:t>≤24小时</w:t>
            </w:r>
          </w:p>
        </w:tc>
        <w:tc>
          <w:tcPr>
            <w:tcW w:w="2466" w:type="dxa"/>
            <w:vAlign w:val="center"/>
          </w:tcPr>
          <w:p w14:paraId="030C8786">
            <w:pPr>
              <w:pStyle w:val="9"/>
            </w:pPr>
            <w:r>
              <w:t>运行报告</w:t>
            </w:r>
          </w:p>
        </w:tc>
      </w:tr>
      <w:tr w14:paraId="0DED3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4D86F5D"/>
        </w:tc>
        <w:tc>
          <w:tcPr>
            <w:tcW w:w="2466" w:type="dxa"/>
            <w:vAlign w:val="center"/>
          </w:tcPr>
          <w:p w14:paraId="53EB272D">
            <w:pPr>
              <w:pStyle w:val="9"/>
            </w:pPr>
            <w:r>
              <w:t>时效指标</w:t>
            </w:r>
          </w:p>
        </w:tc>
        <w:tc>
          <w:tcPr>
            <w:tcW w:w="2466" w:type="dxa"/>
            <w:vAlign w:val="center"/>
          </w:tcPr>
          <w:p w14:paraId="010A3890">
            <w:pPr>
              <w:pStyle w:val="9"/>
            </w:pPr>
            <w:r>
              <w:t>是否按时完成项目建设</w:t>
            </w:r>
          </w:p>
        </w:tc>
        <w:tc>
          <w:tcPr>
            <w:tcW w:w="2466" w:type="dxa"/>
            <w:vAlign w:val="center"/>
          </w:tcPr>
          <w:p w14:paraId="457D9E7D">
            <w:pPr>
              <w:pStyle w:val="9"/>
            </w:pPr>
            <w:r>
              <w:t>开工令下达后20天内完成平台建设</w:t>
            </w:r>
          </w:p>
        </w:tc>
        <w:tc>
          <w:tcPr>
            <w:tcW w:w="2466" w:type="dxa"/>
            <w:vAlign w:val="center"/>
          </w:tcPr>
          <w:p w14:paraId="5A2BCBD8">
            <w:pPr>
              <w:pStyle w:val="9"/>
            </w:pPr>
            <w:r>
              <w:t>是</w:t>
            </w:r>
          </w:p>
        </w:tc>
        <w:tc>
          <w:tcPr>
            <w:tcW w:w="2466" w:type="dxa"/>
            <w:vAlign w:val="center"/>
          </w:tcPr>
          <w:p w14:paraId="5379FB49">
            <w:pPr>
              <w:pStyle w:val="9"/>
            </w:pPr>
            <w:r>
              <w:t>运行报告</w:t>
            </w:r>
          </w:p>
        </w:tc>
      </w:tr>
      <w:tr w14:paraId="469EBE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52A739F9"/>
        </w:tc>
        <w:tc>
          <w:tcPr>
            <w:tcW w:w="2466" w:type="dxa"/>
            <w:vAlign w:val="center"/>
          </w:tcPr>
          <w:p w14:paraId="3B48214A">
            <w:pPr>
              <w:pStyle w:val="9"/>
            </w:pPr>
            <w:r>
              <w:t>成本指标</w:t>
            </w:r>
          </w:p>
        </w:tc>
        <w:tc>
          <w:tcPr>
            <w:tcW w:w="2466" w:type="dxa"/>
            <w:vAlign w:val="center"/>
          </w:tcPr>
          <w:p w14:paraId="7DBAD8FE">
            <w:pPr>
              <w:pStyle w:val="9"/>
            </w:pPr>
            <w:r>
              <w:t>成本控制</w:t>
            </w:r>
          </w:p>
        </w:tc>
        <w:tc>
          <w:tcPr>
            <w:tcW w:w="2466" w:type="dxa"/>
            <w:vAlign w:val="center"/>
          </w:tcPr>
          <w:p w14:paraId="75AE514B">
            <w:pPr>
              <w:pStyle w:val="9"/>
            </w:pPr>
            <w:r>
              <w:t>实际支出是否不超过预算费用</w:t>
            </w:r>
          </w:p>
        </w:tc>
        <w:tc>
          <w:tcPr>
            <w:tcW w:w="2466" w:type="dxa"/>
            <w:vAlign w:val="center"/>
          </w:tcPr>
          <w:p w14:paraId="186B2CD4">
            <w:pPr>
              <w:pStyle w:val="9"/>
            </w:pPr>
            <w:r>
              <w:t>不超预算费用</w:t>
            </w:r>
          </w:p>
        </w:tc>
        <w:tc>
          <w:tcPr>
            <w:tcW w:w="2466" w:type="dxa"/>
            <w:vAlign w:val="center"/>
          </w:tcPr>
          <w:p w14:paraId="63615DD5">
            <w:pPr>
              <w:pStyle w:val="9"/>
            </w:pPr>
            <w:r>
              <w:t>合同及支出情况</w:t>
            </w:r>
          </w:p>
        </w:tc>
      </w:tr>
      <w:tr w14:paraId="0BA9A6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0AB320C">
            <w:pPr>
              <w:pStyle w:val="10"/>
            </w:pPr>
            <w:r>
              <w:t>效益指标</w:t>
            </w:r>
          </w:p>
        </w:tc>
        <w:tc>
          <w:tcPr>
            <w:tcW w:w="2466" w:type="dxa"/>
            <w:vAlign w:val="center"/>
          </w:tcPr>
          <w:p w14:paraId="28AEF29A">
            <w:pPr>
              <w:pStyle w:val="9"/>
            </w:pPr>
            <w:r>
              <w:t>社会效益指标</w:t>
            </w:r>
          </w:p>
        </w:tc>
        <w:tc>
          <w:tcPr>
            <w:tcW w:w="2466" w:type="dxa"/>
            <w:vAlign w:val="center"/>
          </w:tcPr>
          <w:p w14:paraId="753EE0F9">
            <w:pPr>
              <w:pStyle w:val="9"/>
            </w:pPr>
            <w:r>
              <w:t>《关于使用智能外呼进行疫苗接种等新冠肺炎疫情防控宣传教育的工作方案（试行）》规定内容完成情况</w:t>
            </w:r>
          </w:p>
        </w:tc>
        <w:tc>
          <w:tcPr>
            <w:tcW w:w="2466" w:type="dxa"/>
            <w:vAlign w:val="center"/>
          </w:tcPr>
          <w:p w14:paraId="23841FB4">
            <w:pPr>
              <w:pStyle w:val="9"/>
            </w:pPr>
            <w:r>
              <w:t>是否能够完成工作方案要求的内容</w:t>
            </w:r>
          </w:p>
        </w:tc>
        <w:tc>
          <w:tcPr>
            <w:tcW w:w="2466" w:type="dxa"/>
            <w:vAlign w:val="center"/>
          </w:tcPr>
          <w:p w14:paraId="524C9312">
            <w:pPr>
              <w:pStyle w:val="9"/>
            </w:pPr>
            <w:r>
              <w:t>能够完成</w:t>
            </w:r>
          </w:p>
        </w:tc>
        <w:tc>
          <w:tcPr>
            <w:tcW w:w="2466" w:type="dxa"/>
            <w:vAlign w:val="center"/>
          </w:tcPr>
          <w:p w14:paraId="208789FC">
            <w:pPr>
              <w:pStyle w:val="9"/>
            </w:pPr>
            <w:r>
              <w:t>工作总结</w:t>
            </w:r>
          </w:p>
        </w:tc>
      </w:tr>
      <w:tr w14:paraId="1E1F18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245FB5B1">
            <w:pPr>
              <w:pStyle w:val="10"/>
            </w:pPr>
            <w:r>
              <w:t>满意度指标</w:t>
            </w:r>
          </w:p>
        </w:tc>
        <w:tc>
          <w:tcPr>
            <w:tcW w:w="2466" w:type="dxa"/>
            <w:vAlign w:val="center"/>
          </w:tcPr>
          <w:p w14:paraId="640D9E3D">
            <w:pPr>
              <w:pStyle w:val="9"/>
            </w:pPr>
            <w:r>
              <w:t>服务对象满意度指标</w:t>
            </w:r>
          </w:p>
        </w:tc>
        <w:tc>
          <w:tcPr>
            <w:tcW w:w="2466" w:type="dxa"/>
            <w:vAlign w:val="center"/>
          </w:tcPr>
          <w:p w14:paraId="2093EBF8">
            <w:pPr>
              <w:pStyle w:val="9"/>
            </w:pPr>
            <w:r>
              <w:t>相关部门的满意程度</w:t>
            </w:r>
          </w:p>
        </w:tc>
        <w:tc>
          <w:tcPr>
            <w:tcW w:w="2466" w:type="dxa"/>
            <w:vAlign w:val="center"/>
          </w:tcPr>
          <w:p w14:paraId="7FCBFAD2">
            <w:pPr>
              <w:pStyle w:val="9"/>
            </w:pPr>
            <w:r>
              <w:t>相关部门的满意度</w:t>
            </w:r>
          </w:p>
        </w:tc>
        <w:tc>
          <w:tcPr>
            <w:tcW w:w="2466" w:type="dxa"/>
            <w:vAlign w:val="center"/>
          </w:tcPr>
          <w:p w14:paraId="3060A59E">
            <w:pPr>
              <w:pStyle w:val="9"/>
            </w:pPr>
            <w:r>
              <w:t>≥90%</w:t>
            </w:r>
          </w:p>
        </w:tc>
        <w:tc>
          <w:tcPr>
            <w:tcW w:w="2466" w:type="dxa"/>
            <w:vAlign w:val="center"/>
          </w:tcPr>
          <w:p w14:paraId="5C07B906">
            <w:pPr>
              <w:pStyle w:val="9"/>
            </w:pPr>
            <w:r>
              <w:t>调查问卷</w:t>
            </w:r>
          </w:p>
        </w:tc>
      </w:tr>
    </w:tbl>
    <w:p w14:paraId="21128C3E">
      <w:pPr>
        <w:pStyle w:val="15"/>
      </w:pPr>
    </w:p>
    <w:p w14:paraId="7CBBEEF6">
      <w:pPr>
        <w:pStyle w:val="15"/>
      </w:pPr>
    </w:p>
    <w:p w14:paraId="1165F206">
      <w:pPr>
        <w:spacing w:before="10" w:after="10"/>
        <w:ind w:firstLine="640"/>
        <w:outlineLvl w:val="2"/>
        <w:rPr>
          <w:sz w:val="32"/>
          <w:szCs w:val="32"/>
        </w:rPr>
      </w:pPr>
      <w:bookmarkStart w:id="5" w:name="_Toc_3_3_0000000015"/>
      <w:r>
        <w:rPr>
          <w:rFonts w:ascii="黑体" w:hAnsi="黑体" w:eastAsia="黑体" w:cs="黑体"/>
          <w:color w:val="000000"/>
          <w:sz w:val="32"/>
          <w:szCs w:val="32"/>
        </w:rPr>
        <w:t>六、政府采购预算情况</w:t>
      </w:r>
      <w:bookmarkEnd w:id="5"/>
    </w:p>
    <w:p w14:paraId="19A0E22E">
      <w:pPr>
        <w:spacing w:line="500" w:lineRule="exact"/>
        <w:ind w:firstLine="560"/>
      </w:pPr>
      <w:r>
        <w:rPr>
          <w:rFonts w:eastAsia="方正仿宋_GBK"/>
          <w:color w:val="000000"/>
          <w:sz w:val="28"/>
        </w:rPr>
        <w:t>202</w:t>
      </w:r>
      <w:r>
        <w:rPr>
          <w:rFonts w:hint="eastAsia" w:eastAsia="方正仿宋_GBK"/>
          <w:color w:val="000000"/>
          <w:sz w:val="28"/>
          <w:lang w:val="en-US" w:eastAsia="zh-CN"/>
        </w:rPr>
        <w:t>3</w:t>
      </w:r>
      <w:r>
        <w:rPr>
          <w:rFonts w:eastAsia="方正仿宋_GBK"/>
          <w:color w:val="000000"/>
          <w:sz w:val="28"/>
        </w:rPr>
        <w:t>年，中共廊坊市委网络安全和信息化委员会办公室</w:t>
      </w:r>
      <w:r>
        <w:rPr>
          <w:rFonts w:hint="eastAsia" w:eastAsia="方正仿宋_GBK"/>
          <w:color w:val="000000"/>
          <w:sz w:val="28"/>
          <w:lang w:eastAsia="zh-CN"/>
        </w:rPr>
        <w:t>本级</w:t>
      </w:r>
      <w:r>
        <w:rPr>
          <w:rFonts w:eastAsia="方正仿宋_GBK"/>
          <w:color w:val="000000"/>
          <w:sz w:val="28"/>
        </w:rPr>
        <w:t>安排政府采购预算</w:t>
      </w:r>
      <w:r>
        <w:rPr>
          <w:rFonts w:hint="eastAsia" w:eastAsia="方正仿宋_GBK"/>
          <w:color w:val="000000"/>
          <w:sz w:val="28"/>
          <w:lang w:val="en-US" w:eastAsia="zh-CN"/>
        </w:rPr>
        <w:t>510</w:t>
      </w:r>
      <w:r>
        <w:rPr>
          <w:rFonts w:eastAsia="方正仿宋_GBK"/>
          <w:color w:val="000000"/>
          <w:sz w:val="28"/>
        </w:rPr>
        <w:t>万元。具体内容见下表。</w:t>
      </w:r>
    </w:p>
    <w:p w14:paraId="1813EF90">
      <w:pPr>
        <w:jc w:val="center"/>
      </w:pPr>
      <w:r>
        <w:rPr>
          <w:rFonts w:hint="eastAsia" w:ascii="方正小标宋_GBK" w:hAnsi="方正小标宋_GBK" w:eastAsia="方正小标宋_GBK" w:cs="方正小标宋_GBK"/>
          <w:color w:val="000000"/>
          <w:sz w:val="36"/>
          <w:lang w:eastAsia="zh-CN"/>
        </w:rPr>
        <w:t>单位</w:t>
      </w:r>
      <w:r>
        <w:rPr>
          <w:rFonts w:ascii="方正小标宋_GBK" w:hAnsi="方正小标宋_GBK" w:eastAsia="方正小标宋_GBK" w:cs="方正小标宋_GBK"/>
          <w:color w:val="000000"/>
          <w:sz w:val="36"/>
        </w:rPr>
        <w:t>政府采购预算</w:t>
      </w:r>
    </w:p>
    <w:tbl>
      <w:tblPr>
        <w:tblStyle w:val="5"/>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gridCol w:w="964"/>
      </w:tblGrid>
      <w:tr w14:paraId="6FA41B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noWrap w:val="0"/>
            <w:vAlign w:val="center"/>
          </w:tcPr>
          <w:p w14:paraId="12107851">
            <w:pPr>
              <w:pStyle w:val="19"/>
              <w:rPr>
                <w:rFonts w:hint="eastAsia" w:eastAsia="方正小标宋_GBK"/>
                <w:lang w:eastAsia="zh-CN"/>
              </w:rPr>
            </w:pPr>
            <w:r>
              <w:t>410</w:t>
            </w:r>
            <w:r>
              <w:rPr>
                <w:rFonts w:hint="eastAsia"/>
                <w:lang w:val="en-US" w:eastAsia="zh-CN"/>
              </w:rPr>
              <w:t>001</w:t>
            </w:r>
            <w:r>
              <w:t>中共廊坊市委网络安全和信息化委员会办公室</w:t>
            </w:r>
            <w:r>
              <w:rPr>
                <w:rFonts w:hint="eastAsia"/>
                <w:lang w:eastAsia="zh-CN"/>
              </w:rPr>
              <w:t>本级</w:t>
            </w:r>
          </w:p>
        </w:tc>
        <w:tc>
          <w:tcPr>
            <w:tcW w:w="8676" w:type="dxa"/>
            <w:gridSpan w:val="9"/>
            <w:tcBorders>
              <w:top w:val="single" w:color="FFFFFF" w:sz="6" w:space="0"/>
              <w:left w:val="single" w:color="FFFFFF" w:sz="6" w:space="0"/>
              <w:right w:val="single" w:color="FFFFFF" w:sz="6" w:space="0"/>
            </w:tcBorders>
            <w:noWrap w:val="0"/>
            <w:vAlign w:val="center"/>
          </w:tcPr>
          <w:p w14:paraId="13010479">
            <w:pPr>
              <w:pStyle w:val="20"/>
            </w:pPr>
            <w:r>
              <w:t>单位：万元</w:t>
            </w:r>
          </w:p>
        </w:tc>
      </w:tr>
      <w:tr w14:paraId="5A04D3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noWrap w:val="0"/>
            <w:vAlign w:val="center"/>
          </w:tcPr>
          <w:p w14:paraId="28C2B533">
            <w:pPr>
              <w:pStyle w:val="8"/>
            </w:pPr>
            <w:r>
              <w:t>政府采购项目来源</w:t>
            </w:r>
          </w:p>
        </w:tc>
        <w:tc>
          <w:tcPr>
            <w:tcW w:w="1134" w:type="dxa"/>
            <w:vMerge w:val="restart"/>
            <w:noWrap w:val="0"/>
            <w:vAlign w:val="center"/>
          </w:tcPr>
          <w:p w14:paraId="6CDF0975">
            <w:pPr>
              <w:pStyle w:val="8"/>
            </w:pPr>
            <w:r>
              <w:t>采购物品名称</w:t>
            </w:r>
          </w:p>
        </w:tc>
        <w:tc>
          <w:tcPr>
            <w:tcW w:w="1134" w:type="dxa"/>
            <w:vMerge w:val="restart"/>
            <w:noWrap w:val="0"/>
            <w:vAlign w:val="center"/>
          </w:tcPr>
          <w:p w14:paraId="128D688D">
            <w:pPr>
              <w:pStyle w:val="8"/>
            </w:pPr>
            <w:r>
              <w:t>政府采购目录序号</w:t>
            </w:r>
          </w:p>
        </w:tc>
        <w:tc>
          <w:tcPr>
            <w:tcW w:w="709" w:type="dxa"/>
            <w:vMerge w:val="restart"/>
            <w:noWrap w:val="0"/>
            <w:vAlign w:val="center"/>
          </w:tcPr>
          <w:p w14:paraId="6F64748D">
            <w:pPr>
              <w:pStyle w:val="8"/>
            </w:pPr>
            <w:r>
              <w:t>计量  单位</w:t>
            </w:r>
          </w:p>
        </w:tc>
        <w:tc>
          <w:tcPr>
            <w:tcW w:w="850" w:type="dxa"/>
            <w:vMerge w:val="restart"/>
            <w:noWrap w:val="0"/>
            <w:vAlign w:val="center"/>
          </w:tcPr>
          <w:p w14:paraId="619505AF">
            <w:pPr>
              <w:pStyle w:val="8"/>
            </w:pPr>
            <w:r>
              <w:t>数量</w:t>
            </w:r>
          </w:p>
        </w:tc>
        <w:tc>
          <w:tcPr>
            <w:tcW w:w="850" w:type="dxa"/>
            <w:vMerge w:val="restart"/>
            <w:noWrap w:val="0"/>
            <w:vAlign w:val="center"/>
          </w:tcPr>
          <w:p w14:paraId="50C14208">
            <w:pPr>
              <w:pStyle w:val="8"/>
            </w:pPr>
            <w:r>
              <w:t>单价</w:t>
            </w:r>
          </w:p>
        </w:tc>
        <w:tc>
          <w:tcPr>
            <w:tcW w:w="7712" w:type="dxa"/>
            <w:gridSpan w:val="8"/>
            <w:noWrap w:val="0"/>
            <w:vAlign w:val="center"/>
          </w:tcPr>
          <w:p w14:paraId="5099AFF4">
            <w:pPr>
              <w:pStyle w:val="8"/>
            </w:pPr>
            <w:r>
              <w:t>政府采购金额（当年</w:t>
            </w:r>
            <w:r>
              <w:rPr>
                <w:rFonts w:hint="eastAsia"/>
                <w:lang w:eastAsia="zh-CN"/>
              </w:rPr>
              <w:t>单位</w:t>
            </w:r>
            <w:r>
              <w:t>预算安排资金）</w:t>
            </w:r>
          </w:p>
        </w:tc>
        <w:tc>
          <w:tcPr>
            <w:tcW w:w="964" w:type="dxa"/>
            <w:vMerge w:val="restart"/>
            <w:noWrap w:val="0"/>
            <w:vAlign w:val="center"/>
          </w:tcPr>
          <w:p w14:paraId="2DB25518">
            <w:pPr>
              <w:pStyle w:val="8"/>
            </w:pPr>
            <w:r>
              <w:t>202</w:t>
            </w:r>
            <w:r>
              <w:rPr>
                <w:rFonts w:hint="eastAsia"/>
                <w:lang w:val="en-US" w:eastAsia="zh-CN"/>
              </w:rPr>
              <w:t>3</w:t>
            </w:r>
            <w:r>
              <w:t>年  预留中  小微企  业份额</w:t>
            </w:r>
          </w:p>
        </w:tc>
      </w:tr>
      <w:tr w14:paraId="44B6E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noWrap w:val="0"/>
            <w:vAlign w:val="center"/>
          </w:tcPr>
          <w:p w14:paraId="625444A7">
            <w:pPr>
              <w:pStyle w:val="8"/>
            </w:pPr>
            <w:r>
              <w:t>项目名称</w:t>
            </w:r>
          </w:p>
        </w:tc>
        <w:tc>
          <w:tcPr>
            <w:tcW w:w="964" w:type="dxa"/>
            <w:noWrap w:val="0"/>
            <w:vAlign w:val="center"/>
          </w:tcPr>
          <w:p w14:paraId="0C39C31F">
            <w:pPr>
              <w:pStyle w:val="8"/>
            </w:pPr>
            <w:r>
              <w:t>预算    资金</w:t>
            </w:r>
          </w:p>
        </w:tc>
        <w:tc>
          <w:tcPr>
            <w:tcW w:w="1134" w:type="dxa"/>
            <w:vMerge w:val="continue"/>
            <w:noWrap w:val="0"/>
            <w:vAlign w:val="top"/>
          </w:tcPr>
          <w:p w14:paraId="67A2FA2C"/>
        </w:tc>
        <w:tc>
          <w:tcPr>
            <w:tcW w:w="1134" w:type="dxa"/>
            <w:vMerge w:val="continue"/>
            <w:noWrap w:val="0"/>
            <w:vAlign w:val="top"/>
          </w:tcPr>
          <w:p w14:paraId="285C13A6"/>
        </w:tc>
        <w:tc>
          <w:tcPr>
            <w:tcW w:w="709" w:type="dxa"/>
            <w:vMerge w:val="continue"/>
            <w:noWrap w:val="0"/>
            <w:vAlign w:val="top"/>
          </w:tcPr>
          <w:p w14:paraId="1A02DE43"/>
        </w:tc>
        <w:tc>
          <w:tcPr>
            <w:tcW w:w="850" w:type="dxa"/>
            <w:vMerge w:val="continue"/>
            <w:noWrap w:val="0"/>
            <w:vAlign w:val="top"/>
          </w:tcPr>
          <w:p w14:paraId="113DC498"/>
        </w:tc>
        <w:tc>
          <w:tcPr>
            <w:tcW w:w="850" w:type="dxa"/>
            <w:vMerge w:val="continue"/>
            <w:noWrap w:val="0"/>
            <w:vAlign w:val="top"/>
          </w:tcPr>
          <w:p w14:paraId="7615B7EC"/>
        </w:tc>
        <w:tc>
          <w:tcPr>
            <w:tcW w:w="964" w:type="dxa"/>
            <w:noWrap w:val="0"/>
            <w:vAlign w:val="center"/>
          </w:tcPr>
          <w:p w14:paraId="5B65286A">
            <w:pPr>
              <w:pStyle w:val="8"/>
            </w:pPr>
            <w:r>
              <w:t>合计</w:t>
            </w:r>
          </w:p>
        </w:tc>
        <w:tc>
          <w:tcPr>
            <w:tcW w:w="964" w:type="dxa"/>
            <w:noWrap w:val="0"/>
            <w:vAlign w:val="center"/>
          </w:tcPr>
          <w:p w14:paraId="4F12139B">
            <w:pPr>
              <w:pStyle w:val="8"/>
            </w:pPr>
            <w:r>
              <w:t>一般公共预算拨款</w:t>
            </w:r>
          </w:p>
        </w:tc>
        <w:tc>
          <w:tcPr>
            <w:tcW w:w="964" w:type="dxa"/>
            <w:noWrap w:val="0"/>
            <w:vAlign w:val="center"/>
          </w:tcPr>
          <w:p w14:paraId="7567A2FB">
            <w:pPr>
              <w:pStyle w:val="8"/>
            </w:pPr>
            <w:r>
              <w:t>基金预算拨款</w:t>
            </w:r>
          </w:p>
        </w:tc>
        <w:tc>
          <w:tcPr>
            <w:tcW w:w="964" w:type="dxa"/>
            <w:noWrap w:val="0"/>
            <w:vAlign w:val="center"/>
          </w:tcPr>
          <w:p w14:paraId="02237F61">
            <w:pPr>
              <w:pStyle w:val="8"/>
            </w:pPr>
            <w:r>
              <w:t>国有资本经营预算拨款</w:t>
            </w:r>
          </w:p>
        </w:tc>
        <w:tc>
          <w:tcPr>
            <w:tcW w:w="964" w:type="dxa"/>
            <w:noWrap w:val="0"/>
            <w:vAlign w:val="center"/>
          </w:tcPr>
          <w:p w14:paraId="683C6D5D">
            <w:pPr>
              <w:pStyle w:val="8"/>
            </w:pPr>
            <w:r>
              <w:t>财政专户核拨</w:t>
            </w:r>
          </w:p>
        </w:tc>
        <w:tc>
          <w:tcPr>
            <w:tcW w:w="964" w:type="dxa"/>
            <w:noWrap w:val="0"/>
            <w:vAlign w:val="center"/>
          </w:tcPr>
          <w:p w14:paraId="2EA183DC">
            <w:pPr>
              <w:pStyle w:val="8"/>
            </w:pPr>
            <w:r>
              <w:t>单位    资金</w:t>
            </w:r>
          </w:p>
        </w:tc>
        <w:tc>
          <w:tcPr>
            <w:tcW w:w="964" w:type="dxa"/>
            <w:noWrap w:val="0"/>
            <w:vAlign w:val="center"/>
          </w:tcPr>
          <w:p w14:paraId="560418B8">
            <w:pPr>
              <w:pStyle w:val="8"/>
            </w:pPr>
            <w:r>
              <w:t>财政拨    款结转</w:t>
            </w:r>
          </w:p>
        </w:tc>
        <w:tc>
          <w:tcPr>
            <w:tcW w:w="964" w:type="dxa"/>
            <w:noWrap w:val="0"/>
            <w:vAlign w:val="center"/>
          </w:tcPr>
          <w:p w14:paraId="09A25E54">
            <w:pPr>
              <w:pStyle w:val="8"/>
            </w:pPr>
            <w:r>
              <w:t>非财政    拨款结    转结余</w:t>
            </w:r>
          </w:p>
        </w:tc>
        <w:tc>
          <w:tcPr>
            <w:tcW w:w="964" w:type="dxa"/>
            <w:vMerge w:val="continue"/>
            <w:noWrap w:val="0"/>
            <w:vAlign w:val="top"/>
          </w:tcPr>
          <w:p w14:paraId="63B382F3"/>
        </w:tc>
      </w:tr>
      <w:tr w14:paraId="709F7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232F2575">
            <w:pPr>
              <w:pStyle w:val="21"/>
            </w:pPr>
            <w:r>
              <w:t>合  计</w:t>
            </w:r>
          </w:p>
        </w:tc>
        <w:tc>
          <w:tcPr>
            <w:tcW w:w="964" w:type="dxa"/>
            <w:noWrap w:val="0"/>
            <w:vAlign w:val="center"/>
          </w:tcPr>
          <w:p w14:paraId="64872320">
            <w:pPr>
              <w:pStyle w:val="22"/>
            </w:pPr>
          </w:p>
        </w:tc>
        <w:tc>
          <w:tcPr>
            <w:tcW w:w="1134" w:type="dxa"/>
            <w:noWrap w:val="0"/>
            <w:vAlign w:val="center"/>
          </w:tcPr>
          <w:p w14:paraId="59785159">
            <w:pPr>
              <w:pStyle w:val="23"/>
            </w:pPr>
          </w:p>
        </w:tc>
        <w:tc>
          <w:tcPr>
            <w:tcW w:w="1134" w:type="dxa"/>
            <w:noWrap w:val="0"/>
            <w:vAlign w:val="center"/>
          </w:tcPr>
          <w:p w14:paraId="69572DBF">
            <w:pPr>
              <w:pStyle w:val="23"/>
            </w:pPr>
          </w:p>
        </w:tc>
        <w:tc>
          <w:tcPr>
            <w:tcW w:w="709" w:type="dxa"/>
            <w:noWrap w:val="0"/>
            <w:vAlign w:val="center"/>
          </w:tcPr>
          <w:p w14:paraId="78422523">
            <w:pPr>
              <w:pStyle w:val="21"/>
            </w:pPr>
          </w:p>
        </w:tc>
        <w:tc>
          <w:tcPr>
            <w:tcW w:w="850" w:type="dxa"/>
            <w:noWrap w:val="0"/>
            <w:vAlign w:val="center"/>
          </w:tcPr>
          <w:p w14:paraId="2FE616F5">
            <w:pPr>
              <w:pStyle w:val="22"/>
            </w:pPr>
          </w:p>
        </w:tc>
        <w:tc>
          <w:tcPr>
            <w:tcW w:w="850" w:type="dxa"/>
            <w:noWrap w:val="0"/>
            <w:vAlign w:val="center"/>
          </w:tcPr>
          <w:p w14:paraId="0E863CFF">
            <w:pPr>
              <w:pStyle w:val="22"/>
            </w:pPr>
          </w:p>
        </w:tc>
        <w:tc>
          <w:tcPr>
            <w:tcW w:w="964" w:type="dxa"/>
            <w:noWrap w:val="0"/>
            <w:vAlign w:val="center"/>
          </w:tcPr>
          <w:p w14:paraId="73929C0F">
            <w:pPr>
              <w:pStyle w:val="22"/>
              <w:rPr>
                <w:rFonts w:hint="default"/>
                <w:lang w:val="en-US"/>
              </w:rPr>
            </w:pPr>
            <w:r>
              <w:rPr>
                <w:rFonts w:hint="eastAsia"/>
                <w:lang w:val="en-US" w:eastAsia="zh-CN"/>
              </w:rPr>
              <w:t>510.00</w:t>
            </w:r>
          </w:p>
        </w:tc>
        <w:tc>
          <w:tcPr>
            <w:tcW w:w="964" w:type="dxa"/>
            <w:noWrap w:val="0"/>
            <w:vAlign w:val="center"/>
          </w:tcPr>
          <w:p w14:paraId="642092C5">
            <w:pPr>
              <w:pStyle w:val="22"/>
              <w:rPr>
                <w:rFonts w:hint="default"/>
                <w:lang w:val="en-US"/>
              </w:rPr>
            </w:pPr>
            <w:r>
              <w:rPr>
                <w:rFonts w:hint="eastAsia"/>
                <w:lang w:val="en-US" w:eastAsia="zh-CN"/>
              </w:rPr>
              <w:t>510.00</w:t>
            </w:r>
          </w:p>
        </w:tc>
        <w:tc>
          <w:tcPr>
            <w:tcW w:w="964" w:type="dxa"/>
            <w:noWrap w:val="0"/>
            <w:vAlign w:val="center"/>
          </w:tcPr>
          <w:p w14:paraId="29244017">
            <w:pPr>
              <w:pStyle w:val="22"/>
            </w:pPr>
          </w:p>
        </w:tc>
        <w:tc>
          <w:tcPr>
            <w:tcW w:w="964" w:type="dxa"/>
            <w:noWrap w:val="0"/>
            <w:vAlign w:val="center"/>
          </w:tcPr>
          <w:p w14:paraId="0268ED14">
            <w:pPr>
              <w:pStyle w:val="22"/>
            </w:pPr>
          </w:p>
        </w:tc>
        <w:tc>
          <w:tcPr>
            <w:tcW w:w="964" w:type="dxa"/>
            <w:noWrap w:val="0"/>
            <w:vAlign w:val="center"/>
          </w:tcPr>
          <w:p w14:paraId="5A94C64B">
            <w:pPr>
              <w:pStyle w:val="22"/>
            </w:pPr>
          </w:p>
        </w:tc>
        <w:tc>
          <w:tcPr>
            <w:tcW w:w="964" w:type="dxa"/>
            <w:noWrap w:val="0"/>
            <w:vAlign w:val="center"/>
          </w:tcPr>
          <w:p w14:paraId="54CE9B90">
            <w:pPr>
              <w:pStyle w:val="22"/>
            </w:pPr>
          </w:p>
        </w:tc>
        <w:tc>
          <w:tcPr>
            <w:tcW w:w="964" w:type="dxa"/>
            <w:noWrap w:val="0"/>
            <w:vAlign w:val="center"/>
          </w:tcPr>
          <w:p w14:paraId="6D41E535">
            <w:pPr>
              <w:pStyle w:val="22"/>
            </w:pPr>
          </w:p>
        </w:tc>
        <w:tc>
          <w:tcPr>
            <w:tcW w:w="964" w:type="dxa"/>
            <w:noWrap w:val="0"/>
            <w:vAlign w:val="center"/>
          </w:tcPr>
          <w:p w14:paraId="02C0B7A9">
            <w:pPr>
              <w:pStyle w:val="22"/>
            </w:pPr>
          </w:p>
        </w:tc>
        <w:tc>
          <w:tcPr>
            <w:tcW w:w="964" w:type="dxa"/>
            <w:noWrap w:val="0"/>
            <w:vAlign w:val="center"/>
          </w:tcPr>
          <w:p w14:paraId="6F4FD00E">
            <w:pPr>
              <w:pStyle w:val="22"/>
            </w:pPr>
          </w:p>
        </w:tc>
      </w:tr>
      <w:tr w14:paraId="76C346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44E25C6A">
            <w:pPr>
              <w:pStyle w:val="21"/>
            </w:pPr>
            <w:r>
              <w:t>中共廊坊市委网络安全和信息化委员会办公室本级小计</w:t>
            </w:r>
          </w:p>
        </w:tc>
        <w:tc>
          <w:tcPr>
            <w:tcW w:w="964" w:type="dxa"/>
            <w:noWrap w:val="0"/>
            <w:vAlign w:val="center"/>
          </w:tcPr>
          <w:p w14:paraId="05FF6548">
            <w:pPr>
              <w:pStyle w:val="22"/>
            </w:pPr>
          </w:p>
        </w:tc>
        <w:tc>
          <w:tcPr>
            <w:tcW w:w="1134" w:type="dxa"/>
            <w:noWrap w:val="0"/>
            <w:vAlign w:val="center"/>
          </w:tcPr>
          <w:p w14:paraId="2A68BFF7">
            <w:pPr>
              <w:pStyle w:val="23"/>
            </w:pPr>
          </w:p>
        </w:tc>
        <w:tc>
          <w:tcPr>
            <w:tcW w:w="1134" w:type="dxa"/>
            <w:noWrap w:val="0"/>
            <w:vAlign w:val="center"/>
          </w:tcPr>
          <w:p w14:paraId="4A729146">
            <w:pPr>
              <w:pStyle w:val="23"/>
            </w:pPr>
          </w:p>
        </w:tc>
        <w:tc>
          <w:tcPr>
            <w:tcW w:w="709" w:type="dxa"/>
            <w:noWrap w:val="0"/>
            <w:vAlign w:val="center"/>
          </w:tcPr>
          <w:p w14:paraId="6858363B">
            <w:pPr>
              <w:pStyle w:val="21"/>
            </w:pPr>
          </w:p>
        </w:tc>
        <w:tc>
          <w:tcPr>
            <w:tcW w:w="850" w:type="dxa"/>
            <w:noWrap w:val="0"/>
            <w:vAlign w:val="center"/>
          </w:tcPr>
          <w:p w14:paraId="6A29F131">
            <w:pPr>
              <w:pStyle w:val="22"/>
            </w:pPr>
          </w:p>
        </w:tc>
        <w:tc>
          <w:tcPr>
            <w:tcW w:w="850" w:type="dxa"/>
            <w:noWrap w:val="0"/>
            <w:vAlign w:val="center"/>
          </w:tcPr>
          <w:p w14:paraId="3B15F4FE">
            <w:pPr>
              <w:pStyle w:val="22"/>
            </w:pPr>
          </w:p>
        </w:tc>
        <w:tc>
          <w:tcPr>
            <w:tcW w:w="964" w:type="dxa"/>
            <w:noWrap w:val="0"/>
            <w:vAlign w:val="center"/>
          </w:tcPr>
          <w:p w14:paraId="75E58583">
            <w:pPr>
              <w:pStyle w:val="22"/>
              <w:rPr>
                <w:rFonts w:hint="default" w:eastAsia="方正书宋_GBK"/>
                <w:lang w:val="en-US" w:eastAsia="zh-CN"/>
              </w:rPr>
            </w:pPr>
            <w:r>
              <w:rPr>
                <w:rFonts w:hint="eastAsia"/>
                <w:lang w:val="en-US" w:eastAsia="zh-CN"/>
              </w:rPr>
              <w:t>510.00</w:t>
            </w:r>
          </w:p>
        </w:tc>
        <w:tc>
          <w:tcPr>
            <w:tcW w:w="964" w:type="dxa"/>
            <w:noWrap w:val="0"/>
            <w:vAlign w:val="center"/>
          </w:tcPr>
          <w:p w14:paraId="29C3FC12">
            <w:pPr>
              <w:pStyle w:val="22"/>
              <w:rPr>
                <w:rFonts w:hint="default"/>
                <w:lang w:val="en-US"/>
              </w:rPr>
            </w:pPr>
            <w:r>
              <w:rPr>
                <w:rFonts w:hint="eastAsia"/>
                <w:lang w:val="en-US" w:eastAsia="zh-CN"/>
              </w:rPr>
              <w:t>510.00</w:t>
            </w:r>
          </w:p>
        </w:tc>
        <w:tc>
          <w:tcPr>
            <w:tcW w:w="964" w:type="dxa"/>
            <w:noWrap w:val="0"/>
            <w:vAlign w:val="center"/>
          </w:tcPr>
          <w:p w14:paraId="6C1DF2C8">
            <w:pPr>
              <w:pStyle w:val="22"/>
            </w:pPr>
          </w:p>
        </w:tc>
        <w:tc>
          <w:tcPr>
            <w:tcW w:w="964" w:type="dxa"/>
            <w:noWrap w:val="0"/>
            <w:vAlign w:val="center"/>
          </w:tcPr>
          <w:p w14:paraId="62A651F7">
            <w:pPr>
              <w:pStyle w:val="22"/>
            </w:pPr>
          </w:p>
        </w:tc>
        <w:tc>
          <w:tcPr>
            <w:tcW w:w="964" w:type="dxa"/>
            <w:noWrap w:val="0"/>
            <w:vAlign w:val="center"/>
          </w:tcPr>
          <w:p w14:paraId="02CB6544">
            <w:pPr>
              <w:pStyle w:val="22"/>
            </w:pPr>
          </w:p>
        </w:tc>
        <w:tc>
          <w:tcPr>
            <w:tcW w:w="964" w:type="dxa"/>
            <w:noWrap w:val="0"/>
            <w:vAlign w:val="center"/>
          </w:tcPr>
          <w:p w14:paraId="2F8AD052">
            <w:pPr>
              <w:pStyle w:val="22"/>
            </w:pPr>
          </w:p>
        </w:tc>
        <w:tc>
          <w:tcPr>
            <w:tcW w:w="964" w:type="dxa"/>
            <w:noWrap w:val="0"/>
            <w:vAlign w:val="center"/>
          </w:tcPr>
          <w:p w14:paraId="7732C6A6">
            <w:pPr>
              <w:pStyle w:val="22"/>
            </w:pPr>
          </w:p>
        </w:tc>
        <w:tc>
          <w:tcPr>
            <w:tcW w:w="964" w:type="dxa"/>
            <w:noWrap w:val="0"/>
            <w:vAlign w:val="center"/>
          </w:tcPr>
          <w:p w14:paraId="5C2EEA35">
            <w:pPr>
              <w:pStyle w:val="22"/>
            </w:pPr>
          </w:p>
        </w:tc>
        <w:tc>
          <w:tcPr>
            <w:tcW w:w="964" w:type="dxa"/>
            <w:noWrap w:val="0"/>
            <w:vAlign w:val="center"/>
          </w:tcPr>
          <w:p w14:paraId="4EBE8BB4">
            <w:pPr>
              <w:pStyle w:val="22"/>
            </w:pPr>
          </w:p>
        </w:tc>
      </w:tr>
      <w:tr w14:paraId="7DD687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1371EB45">
            <w:pPr>
              <w:pStyle w:val="9"/>
            </w:pPr>
            <w:r>
              <w:t>公务网络机房维护经费</w:t>
            </w:r>
          </w:p>
        </w:tc>
        <w:tc>
          <w:tcPr>
            <w:tcW w:w="964" w:type="dxa"/>
            <w:noWrap w:val="0"/>
            <w:vAlign w:val="center"/>
          </w:tcPr>
          <w:p w14:paraId="6E7DB0F1">
            <w:pPr>
              <w:pStyle w:val="24"/>
              <w:rPr>
                <w:rFonts w:hint="default" w:eastAsia="方正书宋_GBK"/>
                <w:lang w:val="en-US" w:eastAsia="zh-CN"/>
              </w:rPr>
            </w:pPr>
            <w:r>
              <w:rPr>
                <w:rFonts w:hint="eastAsia"/>
                <w:lang w:val="en-US" w:eastAsia="zh-CN"/>
              </w:rPr>
              <w:t>540.80</w:t>
            </w:r>
          </w:p>
        </w:tc>
        <w:tc>
          <w:tcPr>
            <w:tcW w:w="1134" w:type="dxa"/>
            <w:noWrap w:val="0"/>
            <w:vAlign w:val="center"/>
          </w:tcPr>
          <w:p w14:paraId="09F04DFA">
            <w:pPr>
              <w:pStyle w:val="9"/>
            </w:pPr>
            <w:r>
              <w:rPr>
                <w:rFonts w:hint="eastAsia"/>
                <w:lang w:eastAsia="zh-CN"/>
              </w:rPr>
              <w:t>网络接入</w:t>
            </w:r>
            <w:r>
              <w:t>服务</w:t>
            </w:r>
          </w:p>
        </w:tc>
        <w:tc>
          <w:tcPr>
            <w:tcW w:w="1134" w:type="dxa"/>
            <w:noWrap w:val="0"/>
            <w:vAlign w:val="center"/>
          </w:tcPr>
          <w:p w14:paraId="58DCC418">
            <w:pPr>
              <w:pStyle w:val="9"/>
            </w:pPr>
            <w:r>
              <w:t>C17010200</w:t>
            </w:r>
          </w:p>
        </w:tc>
        <w:tc>
          <w:tcPr>
            <w:tcW w:w="709" w:type="dxa"/>
            <w:noWrap w:val="0"/>
            <w:vAlign w:val="center"/>
          </w:tcPr>
          <w:p w14:paraId="66518B98">
            <w:pPr>
              <w:pStyle w:val="10"/>
            </w:pPr>
            <w:r>
              <w:t>套</w:t>
            </w:r>
          </w:p>
        </w:tc>
        <w:tc>
          <w:tcPr>
            <w:tcW w:w="850" w:type="dxa"/>
            <w:noWrap w:val="0"/>
            <w:vAlign w:val="center"/>
          </w:tcPr>
          <w:p w14:paraId="5D88B1DF">
            <w:pPr>
              <w:pStyle w:val="24"/>
            </w:pPr>
            <w:r>
              <w:t>1</w:t>
            </w:r>
          </w:p>
        </w:tc>
        <w:tc>
          <w:tcPr>
            <w:tcW w:w="850" w:type="dxa"/>
            <w:noWrap w:val="0"/>
            <w:vAlign w:val="center"/>
          </w:tcPr>
          <w:p w14:paraId="6B9D2674">
            <w:pPr>
              <w:pStyle w:val="24"/>
              <w:rPr>
                <w:rFonts w:hint="default" w:eastAsia="方正书宋_GBK"/>
                <w:lang w:val="en-US" w:eastAsia="zh-CN"/>
              </w:rPr>
            </w:pPr>
            <w:r>
              <w:rPr>
                <w:rFonts w:hint="eastAsia"/>
                <w:lang w:val="en-US" w:eastAsia="zh-CN"/>
              </w:rPr>
              <w:t>300.00</w:t>
            </w:r>
          </w:p>
        </w:tc>
        <w:tc>
          <w:tcPr>
            <w:tcW w:w="964" w:type="dxa"/>
            <w:noWrap w:val="0"/>
            <w:vAlign w:val="center"/>
          </w:tcPr>
          <w:p w14:paraId="374D00C8">
            <w:pPr>
              <w:pStyle w:val="24"/>
              <w:rPr>
                <w:rFonts w:hint="default" w:eastAsia="方正书宋_GBK"/>
                <w:lang w:val="en-US" w:eastAsia="zh-CN"/>
              </w:rPr>
            </w:pPr>
            <w:r>
              <w:rPr>
                <w:rFonts w:hint="eastAsia"/>
                <w:lang w:val="en-US" w:eastAsia="zh-CN"/>
              </w:rPr>
              <w:t>300.00</w:t>
            </w:r>
          </w:p>
        </w:tc>
        <w:tc>
          <w:tcPr>
            <w:tcW w:w="964" w:type="dxa"/>
            <w:noWrap w:val="0"/>
            <w:vAlign w:val="center"/>
          </w:tcPr>
          <w:p w14:paraId="1EEFE636">
            <w:pPr>
              <w:pStyle w:val="24"/>
              <w:rPr>
                <w:rFonts w:hint="default" w:eastAsia="方正书宋_GBK"/>
                <w:lang w:val="en-US" w:eastAsia="zh-CN"/>
              </w:rPr>
            </w:pPr>
            <w:r>
              <w:rPr>
                <w:rFonts w:hint="eastAsia"/>
                <w:lang w:val="en-US" w:eastAsia="zh-CN"/>
              </w:rPr>
              <w:t>300.00</w:t>
            </w:r>
          </w:p>
        </w:tc>
        <w:tc>
          <w:tcPr>
            <w:tcW w:w="964" w:type="dxa"/>
            <w:noWrap w:val="0"/>
            <w:vAlign w:val="center"/>
          </w:tcPr>
          <w:p w14:paraId="088AE745">
            <w:pPr>
              <w:pStyle w:val="24"/>
            </w:pPr>
          </w:p>
        </w:tc>
        <w:tc>
          <w:tcPr>
            <w:tcW w:w="964" w:type="dxa"/>
            <w:noWrap w:val="0"/>
            <w:vAlign w:val="center"/>
          </w:tcPr>
          <w:p w14:paraId="411A78BD">
            <w:pPr>
              <w:pStyle w:val="24"/>
            </w:pPr>
          </w:p>
        </w:tc>
        <w:tc>
          <w:tcPr>
            <w:tcW w:w="964" w:type="dxa"/>
            <w:noWrap w:val="0"/>
            <w:vAlign w:val="center"/>
          </w:tcPr>
          <w:p w14:paraId="77FDD2B0">
            <w:pPr>
              <w:pStyle w:val="24"/>
            </w:pPr>
          </w:p>
        </w:tc>
        <w:tc>
          <w:tcPr>
            <w:tcW w:w="964" w:type="dxa"/>
            <w:noWrap w:val="0"/>
            <w:vAlign w:val="center"/>
          </w:tcPr>
          <w:p w14:paraId="04191C34">
            <w:pPr>
              <w:pStyle w:val="24"/>
            </w:pPr>
          </w:p>
        </w:tc>
        <w:tc>
          <w:tcPr>
            <w:tcW w:w="964" w:type="dxa"/>
            <w:noWrap w:val="0"/>
            <w:vAlign w:val="center"/>
          </w:tcPr>
          <w:p w14:paraId="32364DE7">
            <w:pPr>
              <w:pStyle w:val="24"/>
            </w:pPr>
          </w:p>
        </w:tc>
        <w:tc>
          <w:tcPr>
            <w:tcW w:w="964" w:type="dxa"/>
            <w:noWrap w:val="0"/>
            <w:vAlign w:val="center"/>
          </w:tcPr>
          <w:p w14:paraId="0CD4349A">
            <w:pPr>
              <w:pStyle w:val="24"/>
            </w:pPr>
          </w:p>
        </w:tc>
        <w:tc>
          <w:tcPr>
            <w:tcW w:w="964" w:type="dxa"/>
            <w:noWrap w:val="0"/>
            <w:vAlign w:val="center"/>
          </w:tcPr>
          <w:p w14:paraId="70D117BC">
            <w:pPr>
              <w:pStyle w:val="24"/>
            </w:pPr>
          </w:p>
        </w:tc>
      </w:tr>
      <w:tr w14:paraId="62102A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59242677">
            <w:pPr>
              <w:pStyle w:val="9"/>
            </w:pPr>
            <w:r>
              <w:t>智能AI外呼服务平台建设资金</w:t>
            </w:r>
          </w:p>
        </w:tc>
        <w:tc>
          <w:tcPr>
            <w:tcW w:w="964" w:type="dxa"/>
            <w:noWrap w:val="0"/>
            <w:vAlign w:val="center"/>
          </w:tcPr>
          <w:p w14:paraId="5A1CFA69">
            <w:pPr>
              <w:pStyle w:val="24"/>
              <w:rPr>
                <w:rFonts w:hint="default" w:eastAsia="方正书宋_GBK"/>
                <w:lang w:val="en-US" w:eastAsia="zh-CN"/>
              </w:rPr>
            </w:pPr>
            <w:r>
              <w:rPr>
                <w:rFonts w:hint="eastAsia"/>
                <w:lang w:val="en-US" w:eastAsia="zh-CN"/>
              </w:rPr>
              <w:t>220.00</w:t>
            </w:r>
          </w:p>
        </w:tc>
        <w:tc>
          <w:tcPr>
            <w:tcW w:w="1134" w:type="dxa"/>
            <w:noWrap w:val="0"/>
            <w:vAlign w:val="center"/>
          </w:tcPr>
          <w:p w14:paraId="382B3F2A">
            <w:pPr>
              <w:pStyle w:val="9"/>
            </w:pPr>
            <w:r>
              <w:t>行业应用软件开发服务</w:t>
            </w:r>
          </w:p>
        </w:tc>
        <w:tc>
          <w:tcPr>
            <w:tcW w:w="1134" w:type="dxa"/>
            <w:noWrap w:val="0"/>
            <w:vAlign w:val="center"/>
          </w:tcPr>
          <w:p w14:paraId="2F8E2431">
            <w:pPr>
              <w:pStyle w:val="9"/>
            </w:pPr>
            <w:r>
              <w:t>C16010302</w:t>
            </w:r>
          </w:p>
        </w:tc>
        <w:tc>
          <w:tcPr>
            <w:tcW w:w="709" w:type="dxa"/>
            <w:noWrap w:val="0"/>
            <w:vAlign w:val="center"/>
          </w:tcPr>
          <w:p w14:paraId="6EA1B6A3">
            <w:pPr>
              <w:pStyle w:val="10"/>
            </w:pPr>
            <w:r>
              <w:t>套</w:t>
            </w:r>
          </w:p>
        </w:tc>
        <w:tc>
          <w:tcPr>
            <w:tcW w:w="850" w:type="dxa"/>
            <w:noWrap w:val="0"/>
            <w:vAlign w:val="center"/>
          </w:tcPr>
          <w:p w14:paraId="69739E0D">
            <w:pPr>
              <w:pStyle w:val="24"/>
            </w:pPr>
            <w:r>
              <w:t>1</w:t>
            </w:r>
          </w:p>
        </w:tc>
        <w:tc>
          <w:tcPr>
            <w:tcW w:w="850" w:type="dxa"/>
            <w:noWrap w:val="0"/>
            <w:vAlign w:val="center"/>
          </w:tcPr>
          <w:p w14:paraId="76BA73C1">
            <w:pPr>
              <w:pStyle w:val="24"/>
              <w:rPr>
                <w:rFonts w:hint="default" w:eastAsia="方正书宋_GBK"/>
                <w:lang w:val="en-US" w:eastAsia="zh-CN"/>
              </w:rPr>
            </w:pPr>
            <w:r>
              <w:rPr>
                <w:rFonts w:hint="eastAsia"/>
                <w:lang w:val="en-US" w:eastAsia="zh-CN"/>
              </w:rPr>
              <w:t>210.00</w:t>
            </w:r>
          </w:p>
        </w:tc>
        <w:tc>
          <w:tcPr>
            <w:tcW w:w="964" w:type="dxa"/>
            <w:noWrap w:val="0"/>
            <w:vAlign w:val="center"/>
          </w:tcPr>
          <w:p w14:paraId="53D07522">
            <w:pPr>
              <w:pStyle w:val="24"/>
              <w:rPr>
                <w:rFonts w:hint="default" w:eastAsia="方正书宋_GBK"/>
                <w:lang w:val="en-US" w:eastAsia="zh-CN"/>
              </w:rPr>
            </w:pPr>
            <w:r>
              <w:rPr>
                <w:rFonts w:hint="eastAsia"/>
                <w:lang w:val="en-US" w:eastAsia="zh-CN"/>
              </w:rPr>
              <w:t>210.00</w:t>
            </w:r>
          </w:p>
        </w:tc>
        <w:tc>
          <w:tcPr>
            <w:tcW w:w="964" w:type="dxa"/>
            <w:noWrap w:val="0"/>
            <w:vAlign w:val="center"/>
          </w:tcPr>
          <w:p w14:paraId="0DFED724">
            <w:pPr>
              <w:pStyle w:val="24"/>
              <w:rPr>
                <w:rFonts w:hint="default" w:eastAsia="方正书宋_GBK"/>
                <w:lang w:val="en-US" w:eastAsia="zh-CN"/>
              </w:rPr>
            </w:pPr>
            <w:r>
              <w:rPr>
                <w:rFonts w:hint="eastAsia"/>
                <w:lang w:val="en-US" w:eastAsia="zh-CN"/>
              </w:rPr>
              <w:t>210.00</w:t>
            </w:r>
          </w:p>
        </w:tc>
        <w:tc>
          <w:tcPr>
            <w:tcW w:w="964" w:type="dxa"/>
            <w:noWrap w:val="0"/>
            <w:vAlign w:val="center"/>
          </w:tcPr>
          <w:p w14:paraId="60CA1B4A">
            <w:pPr>
              <w:pStyle w:val="24"/>
            </w:pPr>
          </w:p>
        </w:tc>
        <w:tc>
          <w:tcPr>
            <w:tcW w:w="964" w:type="dxa"/>
            <w:noWrap w:val="0"/>
            <w:vAlign w:val="center"/>
          </w:tcPr>
          <w:p w14:paraId="7FA2803E">
            <w:pPr>
              <w:pStyle w:val="24"/>
            </w:pPr>
          </w:p>
        </w:tc>
        <w:tc>
          <w:tcPr>
            <w:tcW w:w="964" w:type="dxa"/>
            <w:noWrap w:val="0"/>
            <w:vAlign w:val="center"/>
          </w:tcPr>
          <w:p w14:paraId="4AE2A98B">
            <w:pPr>
              <w:pStyle w:val="24"/>
            </w:pPr>
          </w:p>
        </w:tc>
        <w:tc>
          <w:tcPr>
            <w:tcW w:w="964" w:type="dxa"/>
            <w:noWrap w:val="0"/>
            <w:vAlign w:val="center"/>
          </w:tcPr>
          <w:p w14:paraId="28A4F8F8">
            <w:pPr>
              <w:pStyle w:val="24"/>
            </w:pPr>
          </w:p>
        </w:tc>
        <w:tc>
          <w:tcPr>
            <w:tcW w:w="964" w:type="dxa"/>
            <w:noWrap w:val="0"/>
            <w:vAlign w:val="center"/>
          </w:tcPr>
          <w:p w14:paraId="1B645FE2">
            <w:pPr>
              <w:pStyle w:val="24"/>
            </w:pPr>
          </w:p>
        </w:tc>
        <w:tc>
          <w:tcPr>
            <w:tcW w:w="964" w:type="dxa"/>
            <w:noWrap w:val="0"/>
            <w:vAlign w:val="center"/>
          </w:tcPr>
          <w:p w14:paraId="1F9AE9BF">
            <w:pPr>
              <w:pStyle w:val="24"/>
            </w:pPr>
          </w:p>
        </w:tc>
        <w:tc>
          <w:tcPr>
            <w:tcW w:w="964" w:type="dxa"/>
            <w:noWrap w:val="0"/>
            <w:vAlign w:val="center"/>
          </w:tcPr>
          <w:p w14:paraId="4E37BD94">
            <w:pPr>
              <w:pStyle w:val="24"/>
            </w:pPr>
          </w:p>
        </w:tc>
      </w:tr>
    </w:tbl>
    <w:p w14:paraId="3331D508">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414EAD04">
      <w:pPr>
        <w:ind w:firstLine="640"/>
      </w:pPr>
      <w:r>
        <w:rPr>
          <w:rFonts w:eastAsia="方正仿宋_GBK"/>
          <w:color w:val="000000"/>
          <w:sz w:val="32"/>
        </w:rPr>
        <w:t xml:space="preserve"> </w:t>
      </w:r>
    </w:p>
    <w:p w14:paraId="689EBB60">
      <w:pPr>
        <w:spacing w:before="10" w:after="10"/>
        <w:ind w:firstLine="640"/>
        <w:outlineLvl w:val="2"/>
        <w:rPr>
          <w:sz w:val="32"/>
          <w:szCs w:val="32"/>
        </w:rPr>
      </w:pPr>
      <w:bookmarkStart w:id="6" w:name="_Toc_3_3_0000000016"/>
      <w:r>
        <w:rPr>
          <w:rFonts w:ascii="黑体" w:hAnsi="黑体" w:eastAsia="黑体" w:cs="黑体"/>
          <w:color w:val="000000"/>
          <w:sz w:val="32"/>
          <w:szCs w:val="32"/>
        </w:rPr>
        <w:t>七、国有资产信息</w:t>
      </w:r>
      <w:bookmarkEnd w:id="6"/>
    </w:p>
    <w:p w14:paraId="75A59E28">
      <w:pPr>
        <w:spacing w:line="500" w:lineRule="exact"/>
        <w:ind w:firstLine="560"/>
      </w:pPr>
      <w:r>
        <w:rPr>
          <w:rFonts w:eastAsia="方正仿宋_GBK"/>
          <w:color w:val="000000"/>
          <w:sz w:val="28"/>
        </w:rPr>
        <w:t>中共廊坊市委网络安全和信息化委员会办公室</w:t>
      </w:r>
      <w:r>
        <w:rPr>
          <w:rFonts w:hint="eastAsia" w:eastAsia="方正仿宋_GBK"/>
          <w:color w:val="000000"/>
          <w:sz w:val="28"/>
          <w:lang w:eastAsia="zh-CN"/>
        </w:rPr>
        <w:t>本级</w:t>
      </w:r>
      <w:r>
        <w:rPr>
          <w:rFonts w:eastAsia="方正仿宋_GBK"/>
          <w:color w:val="000000"/>
          <w:sz w:val="28"/>
        </w:rPr>
        <w:t>上年末固定资产金额为</w:t>
      </w:r>
      <w:r>
        <w:rPr>
          <w:rFonts w:hint="eastAsia" w:eastAsia="方正仿宋_GBK"/>
          <w:color w:val="000000"/>
          <w:sz w:val="28"/>
          <w:highlight w:val="none"/>
          <w:lang w:val="en-US" w:eastAsia="zh-CN"/>
        </w:rPr>
        <w:t>5337.45</w:t>
      </w:r>
      <w:r>
        <w:rPr>
          <w:rFonts w:eastAsia="方正仿宋_GBK"/>
          <w:color w:val="000000"/>
          <w:sz w:val="28"/>
        </w:rPr>
        <w:t>万元（详见下表）。本年度拟购置固定资产总额为</w:t>
      </w:r>
      <w:r>
        <w:rPr>
          <w:rFonts w:hint="eastAsia" w:eastAsia="方正仿宋_GBK"/>
          <w:color w:val="000000"/>
          <w:sz w:val="28"/>
          <w:lang w:val="en-US" w:eastAsia="zh-CN"/>
        </w:rPr>
        <w:t>0.00</w:t>
      </w:r>
      <w:r>
        <w:rPr>
          <w:rFonts w:eastAsia="方正仿宋_GBK"/>
          <w:color w:val="000000"/>
          <w:sz w:val="28"/>
        </w:rPr>
        <w:t>万元，已按要求列入政府采购预算，详见政府采购预算表。</w:t>
      </w:r>
    </w:p>
    <w:tbl>
      <w:tblPr>
        <w:tblStyle w:val="5"/>
        <w:tblW w:w="13482" w:type="dxa"/>
        <w:jc w:val="center"/>
        <w:tblLayout w:type="fixed"/>
        <w:tblCellMar>
          <w:top w:w="0" w:type="dxa"/>
          <w:left w:w="108" w:type="dxa"/>
          <w:bottom w:w="0" w:type="dxa"/>
          <w:right w:w="108" w:type="dxa"/>
        </w:tblCellMar>
      </w:tblPr>
      <w:tblGrid>
        <w:gridCol w:w="5224"/>
        <w:gridCol w:w="3155"/>
        <w:gridCol w:w="5103"/>
      </w:tblGrid>
      <w:tr w14:paraId="74EF82E5">
        <w:tblPrEx>
          <w:tblCellMar>
            <w:top w:w="0" w:type="dxa"/>
            <w:left w:w="108" w:type="dxa"/>
            <w:bottom w:w="0" w:type="dxa"/>
            <w:right w:w="108" w:type="dxa"/>
          </w:tblCellMar>
        </w:tblPrEx>
        <w:trPr>
          <w:trHeight w:val="705" w:hRule="atLeast"/>
          <w:jc w:val="center"/>
        </w:trPr>
        <w:tc>
          <w:tcPr>
            <w:tcW w:w="13482" w:type="dxa"/>
            <w:gridSpan w:val="3"/>
            <w:tcBorders>
              <w:top w:val="nil"/>
              <w:left w:val="nil"/>
              <w:bottom w:val="nil"/>
              <w:right w:val="nil"/>
            </w:tcBorders>
            <w:shd w:val="clear" w:color="auto" w:fill="auto"/>
            <w:noWrap/>
            <w:vAlign w:val="center"/>
          </w:tcPr>
          <w:p w14:paraId="7DFE2AEE">
            <w:pPr>
              <w:widowControl/>
              <w:spacing w:line="584" w:lineRule="exact"/>
              <w:jc w:val="center"/>
              <w:rPr>
                <w:rFonts w:ascii="Times New Roman" w:hAnsi="Times New Roman" w:eastAsia="仿宋_GB2312" w:cs="Times New Roman"/>
                <w:b/>
                <w:bCs/>
                <w:kern w:val="0"/>
                <w:sz w:val="32"/>
                <w:szCs w:val="32"/>
              </w:rPr>
            </w:pPr>
            <w:r>
              <w:rPr>
                <w:rFonts w:ascii="方正小标宋_GBK" w:hAnsi="方正小标宋_GBK" w:eastAsia="方正小标宋_GBK" w:cs="方正小标宋_GBK"/>
                <w:color w:val="000000"/>
                <w:sz w:val="36"/>
              </w:rPr>
              <w:t>单位固定资产占用情况表</w:t>
            </w:r>
          </w:p>
        </w:tc>
      </w:tr>
      <w:tr w14:paraId="102A1CAD">
        <w:tblPrEx>
          <w:tblCellMar>
            <w:top w:w="0" w:type="dxa"/>
            <w:left w:w="108" w:type="dxa"/>
            <w:bottom w:w="0" w:type="dxa"/>
            <w:right w:w="108" w:type="dxa"/>
          </w:tblCellMar>
        </w:tblPrEx>
        <w:trPr>
          <w:trHeight w:val="510" w:hRule="atLeast"/>
          <w:jc w:val="center"/>
        </w:trPr>
        <w:tc>
          <w:tcPr>
            <w:tcW w:w="8379" w:type="dxa"/>
            <w:gridSpan w:val="2"/>
            <w:tcBorders>
              <w:top w:val="nil"/>
              <w:left w:val="nil"/>
              <w:bottom w:val="nil"/>
              <w:right w:val="nil"/>
            </w:tcBorders>
            <w:shd w:val="clear" w:color="auto" w:fill="auto"/>
            <w:noWrap/>
            <w:vAlign w:val="center"/>
          </w:tcPr>
          <w:p w14:paraId="1DFB1F94">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w:t>
            </w:r>
            <w:r>
              <w:rPr>
                <w:rFonts w:hint="eastAsia" w:eastAsia="仿宋_GB2312" w:cs="Times New Roman"/>
                <w:kern w:val="0"/>
                <w:sz w:val="22"/>
                <w:lang w:eastAsia="zh-CN"/>
              </w:rPr>
              <w:t>单位</w:t>
            </w:r>
            <w:r>
              <w:rPr>
                <w:rFonts w:ascii="Times New Roman" w:hAnsi="Times New Roman" w:eastAsia="仿宋_GB2312" w:cs="Times New Roman"/>
                <w:kern w:val="0"/>
                <w:sz w:val="22"/>
              </w:rPr>
              <w:t>：</w:t>
            </w:r>
            <w:r>
              <w:rPr>
                <w:rFonts w:hint="eastAsia" w:ascii="Times New Roman" w:hAnsi="Times New Roman" w:eastAsia="仿宋_GB2312" w:cs="Times New Roman"/>
                <w:kern w:val="0"/>
                <w:sz w:val="22"/>
                <w:lang w:eastAsia="zh-CN"/>
              </w:rPr>
              <w:t>中共廊坊市委网络安全和信息化委员会办公室</w:t>
            </w:r>
            <w:r>
              <w:rPr>
                <w:rFonts w:hint="eastAsia" w:eastAsia="仿宋_GB2312" w:cs="Times New Roman"/>
                <w:kern w:val="0"/>
                <w:sz w:val="22"/>
                <w:lang w:eastAsia="zh-CN"/>
              </w:rPr>
              <w:t>本级</w:t>
            </w:r>
          </w:p>
        </w:tc>
        <w:tc>
          <w:tcPr>
            <w:tcW w:w="5103" w:type="dxa"/>
            <w:tcBorders>
              <w:top w:val="nil"/>
              <w:left w:val="nil"/>
              <w:bottom w:val="nil"/>
              <w:right w:val="nil"/>
            </w:tcBorders>
            <w:shd w:val="clear" w:color="auto" w:fill="auto"/>
            <w:noWrap/>
            <w:vAlign w:val="center"/>
          </w:tcPr>
          <w:p w14:paraId="482B7DE8">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w:t>
            </w:r>
            <w:r>
              <w:rPr>
                <w:rFonts w:hint="eastAsia" w:eastAsia="仿宋_GB2312" w:cs="Times New Roman"/>
                <w:kern w:val="0"/>
                <w:sz w:val="22"/>
                <w:lang w:val="en-US" w:eastAsia="zh-CN"/>
              </w:rPr>
              <w:t>2022</w:t>
            </w:r>
            <w:r>
              <w:rPr>
                <w:rFonts w:ascii="Times New Roman" w:hAnsi="Times New Roman" w:eastAsia="仿宋_GB2312" w:cs="Times New Roman"/>
                <w:kern w:val="0"/>
                <w:sz w:val="22"/>
              </w:rPr>
              <w:t xml:space="preserve">年12月31日  </w:t>
            </w:r>
          </w:p>
        </w:tc>
      </w:tr>
      <w:tr w14:paraId="177ED4D0">
        <w:tblPrEx>
          <w:tblCellMar>
            <w:top w:w="0" w:type="dxa"/>
            <w:left w:w="108" w:type="dxa"/>
            <w:bottom w:w="0" w:type="dxa"/>
            <w:right w:w="108" w:type="dxa"/>
          </w:tblCellMar>
        </w:tblPrEx>
        <w:trPr>
          <w:trHeight w:val="567" w:hRule="exact"/>
          <w:jc w:val="center"/>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9283A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61CF056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5775362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51BD0193">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675294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5ABF2C3C">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5707F13A">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5337.45</w:t>
            </w:r>
          </w:p>
        </w:tc>
      </w:tr>
      <w:tr w14:paraId="0334E14A">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6296BF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61E4EB7D">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1261.76</w:t>
            </w:r>
          </w:p>
        </w:tc>
        <w:tc>
          <w:tcPr>
            <w:tcW w:w="5103" w:type="dxa"/>
            <w:tcBorders>
              <w:top w:val="nil"/>
              <w:left w:val="nil"/>
              <w:bottom w:val="single" w:color="auto" w:sz="4" w:space="0"/>
              <w:right w:val="single" w:color="auto" w:sz="4" w:space="0"/>
            </w:tcBorders>
            <w:shd w:val="clear" w:color="auto" w:fill="auto"/>
            <w:noWrap/>
            <w:vAlign w:val="center"/>
          </w:tcPr>
          <w:p w14:paraId="56CBA424">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696.29</w:t>
            </w:r>
          </w:p>
        </w:tc>
      </w:tr>
      <w:tr w14:paraId="0302549C">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8B5C82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0C0B9556">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68</w:t>
            </w:r>
          </w:p>
        </w:tc>
        <w:tc>
          <w:tcPr>
            <w:tcW w:w="5103" w:type="dxa"/>
            <w:tcBorders>
              <w:top w:val="nil"/>
              <w:left w:val="nil"/>
              <w:bottom w:val="single" w:color="auto" w:sz="4" w:space="0"/>
              <w:right w:val="single" w:color="auto" w:sz="4" w:space="0"/>
            </w:tcBorders>
            <w:shd w:val="clear" w:color="auto" w:fill="auto"/>
            <w:noWrap/>
            <w:vAlign w:val="center"/>
          </w:tcPr>
          <w:p w14:paraId="0329AB9E">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37.53</w:t>
            </w:r>
          </w:p>
        </w:tc>
      </w:tr>
      <w:tr w14:paraId="512D7D45">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FBF705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13B56712">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2</w:t>
            </w:r>
          </w:p>
        </w:tc>
        <w:tc>
          <w:tcPr>
            <w:tcW w:w="5103" w:type="dxa"/>
            <w:tcBorders>
              <w:top w:val="nil"/>
              <w:left w:val="nil"/>
              <w:bottom w:val="single" w:color="auto" w:sz="4" w:space="0"/>
              <w:right w:val="single" w:color="auto" w:sz="4" w:space="0"/>
            </w:tcBorders>
            <w:shd w:val="clear" w:color="auto" w:fill="auto"/>
            <w:noWrap/>
            <w:vAlign w:val="center"/>
          </w:tcPr>
          <w:p w14:paraId="0AE23DFF">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40.49</w:t>
            </w:r>
          </w:p>
        </w:tc>
      </w:tr>
      <w:tr w14:paraId="23F89F00">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vAlign w:val="center"/>
          </w:tcPr>
          <w:p w14:paraId="32C75D5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20147F33">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48</w:t>
            </w:r>
          </w:p>
        </w:tc>
        <w:tc>
          <w:tcPr>
            <w:tcW w:w="5103" w:type="dxa"/>
            <w:tcBorders>
              <w:top w:val="nil"/>
              <w:left w:val="nil"/>
              <w:bottom w:val="single" w:color="auto" w:sz="4" w:space="0"/>
              <w:right w:val="single" w:color="auto" w:sz="4" w:space="0"/>
            </w:tcBorders>
            <w:shd w:val="clear" w:color="auto" w:fill="auto"/>
            <w:noWrap/>
            <w:vAlign w:val="center"/>
          </w:tcPr>
          <w:p w14:paraId="51D1C5A5">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highlight w:val="none"/>
                <w:lang w:val="en-US" w:eastAsia="zh-CN"/>
              </w:rPr>
              <w:t>2803.75</w:t>
            </w:r>
          </w:p>
        </w:tc>
      </w:tr>
      <w:tr w14:paraId="6AE6584D">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AC725A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583BD5B">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1739</w:t>
            </w:r>
          </w:p>
        </w:tc>
        <w:tc>
          <w:tcPr>
            <w:tcW w:w="5103" w:type="dxa"/>
            <w:tcBorders>
              <w:top w:val="nil"/>
              <w:left w:val="nil"/>
              <w:bottom w:val="single" w:color="auto" w:sz="4" w:space="0"/>
              <w:right w:val="single" w:color="auto" w:sz="4" w:space="0"/>
            </w:tcBorders>
            <w:shd w:val="clear" w:color="auto" w:fill="auto"/>
            <w:noWrap/>
            <w:vAlign w:val="center"/>
          </w:tcPr>
          <w:p w14:paraId="061F39A1">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highlight w:val="none"/>
                <w:lang w:val="en-US" w:eastAsia="zh-CN"/>
              </w:rPr>
              <w:t>1796.92</w:t>
            </w:r>
          </w:p>
        </w:tc>
      </w:tr>
    </w:tbl>
    <w:p w14:paraId="586CF384">
      <w:pPr>
        <w:ind w:firstLine="420"/>
      </w:pPr>
      <w:r>
        <w:rPr>
          <w:rFonts w:ascii="方正书宋_GBK" w:hAnsi="方正书宋_GBK" w:eastAsia="方正书宋_GBK" w:cs="方正书宋_GBK"/>
          <w:color w:val="000000"/>
          <w:sz w:val="21"/>
        </w:rPr>
        <w:t>注：无固定资产占用情况，空表列示。</w:t>
      </w:r>
    </w:p>
    <w:p w14:paraId="003732AA">
      <w:pPr>
        <w:ind w:firstLine="640"/>
      </w:pPr>
      <w:r>
        <w:rPr>
          <w:rFonts w:eastAsia="方正仿宋_GBK"/>
          <w:color w:val="000000"/>
          <w:sz w:val="32"/>
        </w:rPr>
        <w:t xml:space="preserve"> </w:t>
      </w:r>
    </w:p>
    <w:p w14:paraId="21EE8FAF">
      <w:pPr>
        <w:spacing w:before="10" w:after="10"/>
        <w:ind w:firstLine="640"/>
        <w:outlineLvl w:val="2"/>
        <w:rPr>
          <w:sz w:val="32"/>
          <w:szCs w:val="32"/>
        </w:rPr>
      </w:pPr>
      <w:bookmarkStart w:id="7" w:name="_Toc_3_3_0000000017"/>
      <w:r>
        <w:rPr>
          <w:rFonts w:ascii="黑体" w:hAnsi="黑体" w:eastAsia="黑体" w:cs="黑体"/>
          <w:color w:val="000000"/>
          <w:sz w:val="32"/>
          <w:szCs w:val="32"/>
        </w:rPr>
        <w:t>八、名词解释</w:t>
      </w:r>
      <w:bookmarkEnd w:id="7"/>
    </w:p>
    <w:p w14:paraId="278924A5">
      <w:pPr>
        <w:spacing w:line="500" w:lineRule="exact"/>
        <w:ind w:firstLine="560"/>
      </w:pPr>
      <w:r>
        <w:rPr>
          <w:rFonts w:eastAsia="方正仿宋_GBK"/>
          <w:color w:val="000000"/>
          <w:sz w:val="28"/>
        </w:rPr>
        <w:t>1、</w:t>
      </w:r>
      <w:r>
        <w:rPr>
          <w:rFonts w:eastAsia="方正仿宋_GBK"/>
          <w:b/>
          <w:color w:val="000000"/>
          <w:sz w:val="28"/>
        </w:rPr>
        <w:t>一般公共预算拨款收入：</w:t>
      </w:r>
      <w:r>
        <w:rPr>
          <w:rFonts w:eastAsia="方正仿宋_GBK"/>
          <w:color w:val="000000"/>
          <w:sz w:val="28"/>
        </w:rPr>
        <w:t>指</w:t>
      </w:r>
      <w:r>
        <w:rPr>
          <w:rFonts w:hint="eastAsia" w:eastAsia="方正仿宋_GBK"/>
          <w:color w:val="000000"/>
          <w:sz w:val="28"/>
          <w:lang w:eastAsia="zh-CN"/>
        </w:rPr>
        <w:t>市</w:t>
      </w:r>
      <w:r>
        <w:rPr>
          <w:rFonts w:eastAsia="方正仿宋_GBK"/>
          <w:color w:val="000000"/>
          <w:sz w:val="28"/>
        </w:rPr>
        <w:t>级财政当年拨付的资金。</w:t>
      </w:r>
    </w:p>
    <w:p w14:paraId="265DF6F6">
      <w:pPr>
        <w:spacing w:line="500" w:lineRule="exact"/>
        <w:ind w:firstLine="560"/>
      </w:pPr>
      <w:r>
        <w:rPr>
          <w:rFonts w:eastAsia="方正仿宋_GBK"/>
          <w:color w:val="000000"/>
          <w:sz w:val="28"/>
        </w:rPr>
        <w:t>2、</w:t>
      </w:r>
      <w:r>
        <w:rPr>
          <w:rFonts w:eastAsia="方正仿宋_GBK"/>
          <w:b/>
          <w:color w:val="000000"/>
          <w:sz w:val="28"/>
        </w:rPr>
        <w:t>事业收入：</w:t>
      </w:r>
      <w:r>
        <w:rPr>
          <w:rFonts w:eastAsia="方正仿宋_GBK"/>
          <w:color w:val="000000"/>
          <w:sz w:val="28"/>
        </w:rPr>
        <w:t>指事业单位开展专业业务活动及辅助活动所取得的收入。</w:t>
      </w:r>
    </w:p>
    <w:p w14:paraId="2FC7F2E0">
      <w:pPr>
        <w:spacing w:line="500" w:lineRule="exact"/>
        <w:ind w:firstLine="560"/>
      </w:pPr>
      <w:r>
        <w:rPr>
          <w:rFonts w:eastAsia="方正仿宋_GBK"/>
          <w:color w:val="000000"/>
          <w:sz w:val="28"/>
        </w:rPr>
        <w:t>3、</w:t>
      </w:r>
      <w:r>
        <w:rPr>
          <w:rFonts w:eastAsia="方正仿宋_GBK"/>
          <w:b/>
          <w:color w:val="000000"/>
          <w:sz w:val="28"/>
        </w:rPr>
        <w:t>其他收入：</w:t>
      </w:r>
      <w:r>
        <w:rPr>
          <w:rFonts w:eastAsia="方正仿宋_GBK"/>
          <w:color w:val="000000"/>
          <w:sz w:val="28"/>
        </w:rPr>
        <w:t>指除“一般公共预算拨款收入”、“事业收入”等以外的收入。主要是按规定动用的租房收入、存款利息收入等。</w:t>
      </w:r>
    </w:p>
    <w:p w14:paraId="2EBD6DCF">
      <w:pPr>
        <w:spacing w:line="500" w:lineRule="exact"/>
        <w:ind w:firstLine="560"/>
      </w:pPr>
      <w:r>
        <w:rPr>
          <w:rFonts w:eastAsia="方正仿宋_GBK"/>
          <w:color w:val="000000"/>
          <w:sz w:val="28"/>
        </w:rPr>
        <w:t>4、</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14:paraId="58F5CA7E">
      <w:pPr>
        <w:spacing w:line="500" w:lineRule="exact"/>
        <w:ind w:firstLine="560"/>
      </w:pPr>
      <w:r>
        <w:rPr>
          <w:rFonts w:eastAsia="方正仿宋_GBK"/>
          <w:color w:val="000000"/>
          <w:sz w:val="28"/>
        </w:rPr>
        <w:t>5、</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14:paraId="1CAA000F">
      <w:pPr>
        <w:spacing w:line="500" w:lineRule="exact"/>
        <w:ind w:firstLine="560"/>
      </w:pPr>
      <w:r>
        <w:rPr>
          <w:rFonts w:eastAsia="方正仿宋_GBK"/>
          <w:color w:val="000000"/>
          <w:sz w:val="28"/>
        </w:rPr>
        <w:t>6、</w:t>
      </w:r>
      <w:r>
        <w:rPr>
          <w:rFonts w:eastAsia="方正仿宋_GBK"/>
          <w:b/>
          <w:color w:val="000000"/>
          <w:sz w:val="28"/>
        </w:rPr>
        <w:t>上缴上级支出：</w:t>
      </w:r>
      <w:r>
        <w:rPr>
          <w:rFonts w:eastAsia="方正仿宋_GBK"/>
          <w:color w:val="000000"/>
          <w:sz w:val="28"/>
        </w:rPr>
        <w:t>指下级单位上缴上级的支出。</w:t>
      </w:r>
    </w:p>
    <w:p w14:paraId="4E5C791F">
      <w:pPr>
        <w:spacing w:line="500" w:lineRule="exact"/>
        <w:ind w:firstLine="560"/>
      </w:pPr>
      <w:r>
        <w:rPr>
          <w:rFonts w:eastAsia="方正仿宋_GBK"/>
          <w:color w:val="000000"/>
          <w:sz w:val="28"/>
        </w:rPr>
        <w:t>7、</w:t>
      </w:r>
      <w:r>
        <w:rPr>
          <w:rFonts w:eastAsia="方正仿宋_GBK"/>
          <w:b/>
          <w:color w:val="000000"/>
          <w:sz w:val="28"/>
        </w:rPr>
        <w:t>“三公”经费：</w:t>
      </w:r>
      <w:r>
        <w:rPr>
          <w:rFonts w:eastAsia="方正仿宋_GBK"/>
          <w:color w:val="000000"/>
          <w:sz w:val="28"/>
        </w:rPr>
        <w:t>纳入</w:t>
      </w:r>
      <w:r>
        <w:rPr>
          <w:rFonts w:hint="eastAsia" w:eastAsia="方正仿宋_GBK"/>
          <w:color w:val="000000"/>
          <w:sz w:val="28"/>
          <w:lang w:eastAsia="zh-CN"/>
        </w:rPr>
        <w:t>市</w:t>
      </w:r>
      <w:r>
        <w:rPr>
          <w:rFonts w:eastAsia="方正仿宋_GBK"/>
          <w:color w:val="000000"/>
          <w:sz w:val="28"/>
        </w:rPr>
        <w:t>级财政预算管理的“三公”经费，是指</w:t>
      </w:r>
      <w:r>
        <w:rPr>
          <w:rFonts w:hint="eastAsia" w:eastAsia="方正仿宋_GBK"/>
          <w:color w:val="000000"/>
          <w:sz w:val="28"/>
          <w:lang w:eastAsia="zh-CN"/>
        </w:rPr>
        <w:t>市</w:t>
      </w:r>
      <w:r>
        <w:rPr>
          <w:rFonts w:eastAsia="方正仿宋_GBK"/>
          <w:color w:val="000000"/>
          <w:sz w:val="28"/>
        </w:rPr>
        <w:t>级</w:t>
      </w:r>
      <w:r>
        <w:rPr>
          <w:rFonts w:hint="eastAsia" w:eastAsia="方正仿宋_GBK"/>
          <w:color w:val="000000"/>
          <w:sz w:val="28"/>
          <w:lang w:eastAsia="zh-CN"/>
        </w:rPr>
        <w:t>单位</w:t>
      </w:r>
      <w:r>
        <w:rPr>
          <w:rFonts w:eastAsia="方正仿宋_GBK"/>
          <w:color w:val="000000"/>
          <w:sz w:val="28"/>
        </w:rPr>
        <w:t>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38EAF4F9">
      <w:pPr>
        <w:spacing w:line="500" w:lineRule="exact"/>
        <w:ind w:firstLine="560"/>
      </w:pPr>
      <w:r>
        <w:rPr>
          <w:rFonts w:eastAsia="方正仿宋_GBK"/>
          <w:color w:val="000000"/>
          <w:sz w:val="28"/>
        </w:rPr>
        <w:t>8、</w:t>
      </w:r>
      <w:r>
        <w:rPr>
          <w:rFonts w:eastAsia="方正仿宋_GBK"/>
          <w:b/>
          <w:color w:val="000000"/>
          <w:sz w:val="28"/>
        </w:rPr>
        <w:t>机关运行费：</w:t>
      </w:r>
      <w:r>
        <w:rPr>
          <w:rFonts w:eastAsia="方正仿宋_GBK"/>
          <w:color w:val="000000"/>
          <w:sz w:val="28"/>
        </w:rPr>
        <w:t>是指各</w:t>
      </w:r>
      <w:r>
        <w:rPr>
          <w:rFonts w:hint="eastAsia" w:eastAsia="方正仿宋_GBK"/>
          <w:color w:val="000000"/>
          <w:sz w:val="28"/>
          <w:lang w:eastAsia="zh-CN"/>
        </w:rPr>
        <w:t>单位</w:t>
      </w:r>
      <w:r>
        <w:rPr>
          <w:rFonts w:eastAsia="方正仿宋_GBK"/>
          <w:color w:val="000000"/>
          <w:sz w:val="28"/>
        </w:rPr>
        <w:t>的公用经费，包括办公及印刷费、邮电费、差旅费、会议费、福利费、日常维修费、专用材料及一般设备购置费、办公用房水电费、办公用房取暖费、办公用房物业管理费、公务用车运行维护费以及其他费用。</w:t>
      </w:r>
    </w:p>
    <w:p w14:paraId="3D2351A2">
      <w:pPr>
        <w:spacing w:line="500" w:lineRule="exact"/>
        <w:ind w:firstLine="560"/>
      </w:pPr>
      <w:r>
        <w:rPr>
          <w:rFonts w:eastAsia="方正仿宋_GBK"/>
          <w:color w:val="000000"/>
          <w:sz w:val="28"/>
        </w:rPr>
        <w:t>9、</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14:paraId="56D21C31">
      <w:pPr>
        <w:spacing w:line="500" w:lineRule="exact"/>
        <w:ind w:firstLine="560"/>
      </w:pPr>
      <w:r>
        <w:rPr>
          <w:rFonts w:eastAsia="方正仿宋_GBK"/>
          <w:color w:val="000000"/>
          <w:sz w:val="28"/>
        </w:rPr>
        <w:t>10、</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14:paraId="4B93861C">
      <w:pPr>
        <w:spacing w:before="10" w:after="10"/>
        <w:ind w:firstLine="640"/>
        <w:outlineLvl w:val="2"/>
        <w:rPr>
          <w:rFonts w:ascii="黑体" w:hAnsi="黑体" w:eastAsia="黑体" w:cs="黑体"/>
          <w:color w:val="000000"/>
          <w:sz w:val="32"/>
        </w:rPr>
      </w:pPr>
      <w:bookmarkStart w:id="8" w:name="_Toc_3_3_0000000018"/>
    </w:p>
    <w:p w14:paraId="10FB619E">
      <w:pPr>
        <w:spacing w:before="10" w:after="10"/>
        <w:ind w:firstLine="640"/>
        <w:outlineLvl w:val="2"/>
        <w:rPr>
          <w:sz w:val="32"/>
          <w:szCs w:val="32"/>
        </w:rPr>
      </w:pPr>
      <w:r>
        <w:rPr>
          <w:rFonts w:ascii="黑体" w:hAnsi="黑体" w:eastAsia="黑体" w:cs="黑体"/>
          <w:color w:val="000000"/>
          <w:sz w:val="32"/>
          <w:szCs w:val="32"/>
        </w:rPr>
        <w:t>九、其他需要说明的事项</w:t>
      </w:r>
      <w:bookmarkEnd w:id="8"/>
    </w:p>
    <w:p w14:paraId="39142AF7">
      <w:pPr>
        <w:spacing w:line="500" w:lineRule="exact"/>
        <w:ind w:firstLine="560"/>
        <w:rPr>
          <w:rFonts w:hint="eastAsia" w:eastAsia="方正仿宋_GBK"/>
          <w:lang w:eastAsia="zh-CN"/>
        </w:rPr>
      </w:pPr>
      <w:r>
        <w:rPr>
          <w:rFonts w:eastAsia="方正仿宋_GBK"/>
          <w:color w:val="000000"/>
          <w:sz w:val="28"/>
        </w:rPr>
        <w:t>我</w:t>
      </w:r>
      <w:r>
        <w:rPr>
          <w:rFonts w:hint="eastAsia" w:eastAsia="方正仿宋_GBK"/>
          <w:color w:val="000000"/>
          <w:sz w:val="28"/>
          <w:lang w:eastAsia="zh-CN"/>
        </w:rPr>
        <w:t>单位</w:t>
      </w:r>
      <w:r>
        <w:rPr>
          <w:rFonts w:eastAsia="方正仿宋_GBK"/>
          <w:color w:val="000000"/>
          <w:sz w:val="28"/>
        </w:rPr>
        <w:t>无其他需要说明</w:t>
      </w:r>
      <w:r>
        <w:rPr>
          <w:rFonts w:hint="eastAsia" w:eastAsia="方正仿宋_GBK"/>
          <w:color w:val="000000"/>
          <w:sz w:val="28"/>
          <w:lang w:eastAsia="zh-CN"/>
        </w:rPr>
        <w:t>的事项</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2000000000000000000"/>
    <w:charset w:val="86"/>
    <w:family w:val="roman"/>
    <w:pitch w:val="default"/>
    <w:sig w:usb0="00000000" w:usb1="00000000" w:usb2="00082016" w:usb3="00000000" w:csb0="00040001" w:csb1="00000000"/>
  </w:font>
  <w:font w:name="方正书宋_GBK">
    <w:altName w:val="Arial Unicode MS"/>
    <w:panose1 w:val="02000000000000000000"/>
    <w:charset w:val="86"/>
    <w:family w:val="roman"/>
    <w:pitch w:val="default"/>
    <w:sig w:usb0="00000000" w:usb1="00000000" w:usb2="00082016" w:usb3="00000000" w:csb0="00040001" w:csb1="00000000"/>
  </w:font>
  <w:font w:name="方正小标宋_GBK">
    <w:altName w:val="Arial Unicode MS"/>
    <w:panose1 w:val="02000000000000000000"/>
    <w:charset w:val="86"/>
    <w:family w:val="roman"/>
    <w:pitch w:val="default"/>
    <w:sig w:usb0="00000000" w:usb1="00000000" w:usb2="00082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roman"/>
    <w:pitch w:val="default"/>
    <w:sig w:usb0="00000000" w:usb1="00000000" w:usb2="00082016" w:usb3="00000000" w:csb0="00040001" w:csb1="00000000"/>
  </w:font>
  <w:font w:name="CESI楷体-GB2312">
    <w:altName w:val="宋体"/>
    <w:panose1 w:val="02000500000000000000"/>
    <w:charset w:val="86"/>
    <w:family w:val="auto"/>
    <w:pitch w:val="default"/>
    <w:sig w:usb0="00000000" w:usb1="00000000" w:usb2="00000012"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97B2A"/>
    <w:rsid w:val="0BBF98B0"/>
    <w:rsid w:val="0F1B7668"/>
    <w:rsid w:val="19772BA9"/>
    <w:rsid w:val="1BFF22CD"/>
    <w:rsid w:val="1FCD5B35"/>
    <w:rsid w:val="25B7C258"/>
    <w:rsid w:val="2736834E"/>
    <w:rsid w:val="27F755D2"/>
    <w:rsid w:val="2DFBFDA3"/>
    <w:rsid w:val="2F6CB51A"/>
    <w:rsid w:val="337F2F26"/>
    <w:rsid w:val="35C90ACC"/>
    <w:rsid w:val="376F04B1"/>
    <w:rsid w:val="37E95B9C"/>
    <w:rsid w:val="37EE1263"/>
    <w:rsid w:val="37F863A0"/>
    <w:rsid w:val="3AE69B93"/>
    <w:rsid w:val="3AED8872"/>
    <w:rsid w:val="3B8A09CE"/>
    <w:rsid w:val="3D37F9E4"/>
    <w:rsid w:val="3DDFD6B6"/>
    <w:rsid w:val="3EC7AA47"/>
    <w:rsid w:val="3EF14FCD"/>
    <w:rsid w:val="3F6B52C8"/>
    <w:rsid w:val="3F6F1587"/>
    <w:rsid w:val="3FFF1263"/>
    <w:rsid w:val="45444F45"/>
    <w:rsid w:val="47FF137D"/>
    <w:rsid w:val="4D9F59C8"/>
    <w:rsid w:val="4FFE43A9"/>
    <w:rsid w:val="56FF6316"/>
    <w:rsid w:val="5777944B"/>
    <w:rsid w:val="5A195B55"/>
    <w:rsid w:val="5BF72B9A"/>
    <w:rsid w:val="5DD70D4D"/>
    <w:rsid w:val="5DFB03E1"/>
    <w:rsid w:val="5E3BE05C"/>
    <w:rsid w:val="5EF5FB8E"/>
    <w:rsid w:val="5EF7EC44"/>
    <w:rsid w:val="5F7717C3"/>
    <w:rsid w:val="5FBF13C5"/>
    <w:rsid w:val="5FBFBA24"/>
    <w:rsid w:val="5FF33EE0"/>
    <w:rsid w:val="5FFF262E"/>
    <w:rsid w:val="679F8AD0"/>
    <w:rsid w:val="67BF1E52"/>
    <w:rsid w:val="67FDA333"/>
    <w:rsid w:val="69FCABC4"/>
    <w:rsid w:val="6AD31D0D"/>
    <w:rsid w:val="6D9F2886"/>
    <w:rsid w:val="6DFC58DC"/>
    <w:rsid w:val="6F22D9F2"/>
    <w:rsid w:val="6FBF4241"/>
    <w:rsid w:val="6FF6B531"/>
    <w:rsid w:val="72FEB1A2"/>
    <w:rsid w:val="73BEAA4B"/>
    <w:rsid w:val="73D31641"/>
    <w:rsid w:val="73FF6140"/>
    <w:rsid w:val="75FB0C82"/>
    <w:rsid w:val="75FE9EC6"/>
    <w:rsid w:val="75FFF715"/>
    <w:rsid w:val="776F2275"/>
    <w:rsid w:val="777FDC65"/>
    <w:rsid w:val="77D7E1B9"/>
    <w:rsid w:val="77E9DC5E"/>
    <w:rsid w:val="77FD01F5"/>
    <w:rsid w:val="77FF16C0"/>
    <w:rsid w:val="77FF1F3A"/>
    <w:rsid w:val="782A73AD"/>
    <w:rsid w:val="789F1C53"/>
    <w:rsid w:val="798F6A84"/>
    <w:rsid w:val="7A3C2D6A"/>
    <w:rsid w:val="7A7B9D1D"/>
    <w:rsid w:val="7A9107C9"/>
    <w:rsid w:val="7AEF3683"/>
    <w:rsid w:val="7B7AFF5D"/>
    <w:rsid w:val="7BF594E5"/>
    <w:rsid w:val="7BFA31D6"/>
    <w:rsid w:val="7BFB97A4"/>
    <w:rsid w:val="7C773FCD"/>
    <w:rsid w:val="7CED40EB"/>
    <w:rsid w:val="7D9F3C32"/>
    <w:rsid w:val="7DAFACE9"/>
    <w:rsid w:val="7DD70DC3"/>
    <w:rsid w:val="7DF7BA43"/>
    <w:rsid w:val="7DFD135B"/>
    <w:rsid w:val="7E555D72"/>
    <w:rsid w:val="7E73D321"/>
    <w:rsid w:val="7EF7BACD"/>
    <w:rsid w:val="7F3FEC9A"/>
    <w:rsid w:val="7F6A9A8C"/>
    <w:rsid w:val="7FAFFDEA"/>
    <w:rsid w:val="7FB70B36"/>
    <w:rsid w:val="7FB9BE6B"/>
    <w:rsid w:val="7FBF0817"/>
    <w:rsid w:val="7FC5B54F"/>
    <w:rsid w:val="7FDF36A3"/>
    <w:rsid w:val="7FE36FAB"/>
    <w:rsid w:val="7FF29459"/>
    <w:rsid w:val="7FF5549E"/>
    <w:rsid w:val="7FFF6354"/>
    <w:rsid w:val="7FFFABDF"/>
    <w:rsid w:val="867E001C"/>
    <w:rsid w:val="8B7DC0D3"/>
    <w:rsid w:val="8EFC7CDF"/>
    <w:rsid w:val="8EFF7117"/>
    <w:rsid w:val="9DE7F7E1"/>
    <w:rsid w:val="ADDF10EF"/>
    <w:rsid w:val="ADF7E56C"/>
    <w:rsid w:val="AE5B9816"/>
    <w:rsid w:val="AFA9BE4C"/>
    <w:rsid w:val="B5E7C271"/>
    <w:rsid w:val="B6FCA288"/>
    <w:rsid w:val="B7333AB2"/>
    <w:rsid w:val="B97FB7B1"/>
    <w:rsid w:val="BAFF3228"/>
    <w:rsid w:val="BAFFD25B"/>
    <w:rsid w:val="BB67C8B8"/>
    <w:rsid w:val="BD5E001B"/>
    <w:rsid w:val="BD5F1512"/>
    <w:rsid w:val="BDD72577"/>
    <w:rsid w:val="BDFA7753"/>
    <w:rsid w:val="BDFDDA8E"/>
    <w:rsid w:val="BDFF9F50"/>
    <w:rsid w:val="BDFFBABD"/>
    <w:rsid w:val="BEEF9640"/>
    <w:rsid w:val="BF5C4B52"/>
    <w:rsid w:val="BF6BBD5C"/>
    <w:rsid w:val="BFDFD4C9"/>
    <w:rsid w:val="BFEFA877"/>
    <w:rsid w:val="BFF3152E"/>
    <w:rsid w:val="BFF7EDB1"/>
    <w:rsid w:val="BFFB2520"/>
    <w:rsid w:val="BFFF816F"/>
    <w:rsid w:val="CCFBFE63"/>
    <w:rsid w:val="CFBE90AE"/>
    <w:rsid w:val="D067AAE7"/>
    <w:rsid w:val="D7551526"/>
    <w:rsid w:val="D7DAB9F2"/>
    <w:rsid w:val="D7DB2DA3"/>
    <w:rsid w:val="D9FFE7F2"/>
    <w:rsid w:val="DAFF5696"/>
    <w:rsid w:val="DBBFB9BD"/>
    <w:rsid w:val="DC9D1957"/>
    <w:rsid w:val="DDFF2DAE"/>
    <w:rsid w:val="DE9D6D7B"/>
    <w:rsid w:val="DED8C6AE"/>
    <w:rsid w:val="DEF7ED69"/>
    <w:rsid w:val="DEFFABAA"/>
    <w:rsid w:val="DF6BE520"/>
    <w:rsid w:val="DF73BBF0"/>
    <w:rsid w:val="DF7BD35B"/>
    <w:rsid w:val="DF7DEA1A"/>
    <w:rsid w:val="DFBD348E"/>
    <w:rsid w:val="DFBE1F78"/>
    <w:rsid w:val="DFBE800D"/>
    <w:rsid w:val="DFFF9A3E"/>
    <w:rsid w:val="E0EFD5DD"/>
    <w:rsid w:val="E1EF2038"/>
    <w:rsid w:val="E3124DAD"/>
    <w:rsid w:val="E3FE9CB6"/>
    <w:rsid w:val="E7DE026B"/>
    <w:rsid w:val="E7E77E90"/>
    <w:rsid w:val="E7FB9435"/>
    <w:rsid w:val="EB2B5F84"/>
    <w:rsid w:val="ED775044"/>
    <w:rsid w:val="EDF38940"/>
    <w:rsid w:val="EDFC29C1"/>
    <w:rsid w:val="EDFE3A94"/>
    <w:rsid w:val="EE7BF04B"/>
    <w:rsid w:val="EEFFFB56"/>
    <w:rsid w:val="EFCA7B55"/>
    <w:rsid w:val="EFE74AFD"/>
    <w:rsid w:val="EFE7A85D"/>
    <w:rsid w:val="EFEB19B5"/>
    <w:rsid w:val="EFEDAC29"/>
    <w:rsid w:val="EFFD0D2E"/>
    <w:rsid w:val="EFFD8D29"/>
    <w:rsid w:val="EFFF1EDB"/>
    <w:rsid w:val="EFFFE3DA"/>
    <w:rsid w:val="F2FFCEB9"/>
    <w:rsid w:val="F57A8275"/>
    <w:rsid w:val="F67FC9DF"/>
    <w:rsid w:val="F777A651"/>
    <w:rsid w:val="F7EFF679"/>
    <w:rsid w:val="F7FF4C5C"/>
    <w:rsid w:val="F7FFC745"/>
    <w:rsid w:val="F99B84FA"/>
    <w:rsid w:val="F9DFFD72"/>
    <w:rsid w:val="FAF397C5"/>
    <w:rsid w:val="FBBFDBA1"/>
    <w:rsid w:val="FBDF0F11"/>
    <w:rsid w:val="FBEB93B0"/>
    <w:rsid w:val="FBEF326A"/>
    <w:rsid w:val="FBFF7333"/>
    <w:rsid w:val="FDD550CB"/>
    <w:rsid w:val="FDD8EBEB"/>
    <w:rsid w:val="FDEFD654"/>
    <w:rsid w:val="FDFF242D"/>
    <w:rsid w:val="FE3C85AF"/>
    <w:rsid w:val="FEBE912A"/>
    <w:rsid w:val="FEBF2ECA"/>
    <w:rsid w:val="FEF73920"/>
    <w:rsid w:val="FEFC011A"/>
    <w:rsid w:val="FF2D0A55"/>
    <w:rsid w:val="FF4692AF"/>
    <w:rsid w:val="FF5F4550"/>
    <w:rsid w:val="FF6DFBA7"/>
    <w:rsid w:val="FF6FA888"/>
    <w:rsid w:val="FF7F8A45"/>
    <w:rsid w:val="FF9F6E3B"/>
    <w:rsid w:val="FFB3EE74"/>
    <w:rsid w:val="FFB513D6"/>
    <w:rsid w:val="FFB8DF18"/>
    <w:rsid w:val="FFDE4134"/>
    <w:rsid w:val="FFDF3ACC"/>
    <w:rsid w:val="FFDFD6DB"/>
    <w:rsid w:val="FFEFB509"/>
    <w:rsid w:val="FFFB35ED"/>
    <w:rsid w:val="FFFDDD56"/>
    <w:rsid w:val="FFFF27FC"/>
    <w:rsid w:val="FFFF4FAE"/>
    <w:rsid w:val="FFFF8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uk-UA"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Body Text"/>
    <w:basedOn w:val="1"/>
    <w:qFormat/>
    <w:uiPriority w:val="0"/>
    <w:pPr>
      <w:spacing w:after="120" w:afterLines="0"/>
    </w:pPr>
  </w:style>
  <w:style w:type="paragraph" w:styleId="4">
    <w:name w:val="footnote text"/>
    <w:basedOn w:val="1"/>
    <w:next w:val="3"/>
    <w:qFormat/>
    <w:uiPriority w:val="0"/>
    <w:pPr>
      <w:snapToGrid w:val="0"/>
      <w:jc w:val="left"/>
    </w:pPr>
    <w:rPr>
      <w:sz w:val="18"/>
      <w:szCs w:val="18"/>
    </w:rPr>
  </w:style>
  <w:style w:type="paragraph" w:customStyle="1" w:styleId="7">
    <w:name w:val="插入文本样式-插入部门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8">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9">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0">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1">
    <w:name w:val="插入文本样式-插入预算公开部门预算安排的总体情况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2">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3">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4">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5">
    <w:name w:val="Normal_eb4064d9-440f-4a7a-a295-dd60c5760560"/>
    <w:qFormat/>
    <w:uiPriority w:val="0"/>
    <w:rPr>
      <w:rFonts w:ascii="Times New Roman" w:hAnsi="Times New Roman" w:eastAsia="Times New Roman" w:cs="Times New Roman"/>
      <w:sz w:val="24"/>
      <w:szCs w:val="24"/>
      <w:lang w:val="en-US" w:eastAsia="uk-UA" w:bidi="ar-SA"/>
    </w:rPr>
  </w:style>
  <w:style w:type="paragraph" w:customStyle="1" w:styleId="16">
    <w:name w:val="单元格样式1_45d09030-f01d-4216-bff9-a4e7720cdf53"/>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7">
    <w:name w:val="单元格样式2_ba1bae25-de4e-4992-89ac-7cfa36efbd7e"/>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8">
    <w:name w:val="单元格样式3_bccf6086-f46f-4283-8bde-f1f4569afafe"/>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9">
    <w:name w:val="单元格样式20"/>
    <w:basedOn w:val="1"/>
    <w:qFormat/>
    <w:uiPriority w:val="0"/>
    <w:pPr>
      <w:spacing w:before="0" w:after="0"/>
      <w:ind w:firstLine="0"/>
      <w:jc w:val="left"/>
      <w:outlineLvl w:val="9"/>
    </w:pPr>
    <w:rPr>
      <w:rFonts w:ascii="方正小标宋_GBK" w:hAnsi="方正小标宋_GBK" w:eastAsia="方正小标宋_GBK" w:cs="方正小标宋_GBK"/>
      <w:sz w:val="24"/>
    </w:rPr>
  </w:style>
  <w:style w:type="paragraph" w:customStyle="1" w:styleId="20">
    <w:name w:val="单元格样式23"/>
    <w:basedOn w:val="1"/>
    <w:qFormat/>
    <w:uiPriority w:val="0"/>
    <w:pPr>
      <w:spacing w:before="0" w:after="0"/>
      <w:ind w:firstLine="0"/>
      <w:jc w:val="right"/>
      <w:outlineLvl w:val="9"/>
    </w:pPr>
    <w:rPr>
      <w:rFonts w:ascii="方正书宋_GBK" w:hAnsi="方正书宋_GBK" w:eastAsia="方正书宋_GBK" w:cs="方正书宋_GBK"/>
      <w:sz w:val="24"/>
    </w:rPr>
  </w:style>
  <w:style w:type="paragraph" w:customStyle="1" w:styleId="21">
    <w:name w:val="单元格样式6"/>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22">
    <w:name w:val="单元格样式7"/>
    <w:basedOn w:val="1"/>
    <w:qFormat/>
    <w:uiPriority w:val="0"/>
    <w:pPr>
      <w:spacing w:before="0" w:after="0"/>
      <w:ind w:firstLine="0"/>
      <w:jc w:val="right"/>
      <w:outlineLvl w:val="9"/>
    </w:pPr>
    <w:rPr>
      <w:rFonts w:ascii="方正书宋_GBK" w:hAnsi="方正书宋_GBK" w:eastAsia="方正书宋_GBK" w:cs="方正书宋_GBK"/>
      <w:b/>
      <w:sz w:val="21"/>
    </w:rPr>
  </w:style>
  <w:style w:type="paragraph" w:customStyle="1" w:styleId="23">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24">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5757</Words>
  <Characters>5968</Characters>
  <Lines>0</Lines>
  <Paragraphs>0</Paragraphs>
  <TotalTime>0</TotalTime>
  <ScaleCrop>false</ScaleCrop>
  <LinksUpToDate>false</LinksUpToDate>
  <CharactersWithSpaces>5997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2022-02-20T04:02:00Z</dcterms:created>
  <dc:creator>Administrator</dc:creator>
  <cp:lastModifiedBy>BianL</cp:lastModifiedBy>
  <cp:lastPrinted>2022-02-20T06:25:00Z</cp:lastPrinted>
  <dcterms:modified xsi:type="dcterms:W3CDTF">2023-02-01T05:10:30Z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EAC6DC72CB2E4621811B0EF0C8F2F750</vt:lpwstr>
  </property>
  <property fmtid="{D5CDD505-2E9C-101B-9397-08002B2CF9AE}" pid="4" name="KSOTemplateDocerSaveRecord">
    <vt:lpwstr>eyJoZGlkIjoiZmY5NWQxY2YwYjNiOWFiZTFhMWQ1YWJmNzAxNWU0MmEifQ==</vt:lpwstr>
  </property>
</Properties>
</file>