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3B0F7">
      <w:pPr>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中共廊坊市委网络安全和信息化委员会办公室</w:t>
      </w:r>
    </w:p>
    <w:p w14:paraId="3FF33E46">
      <w:pPr>
        <w:tabs>
          <w:tab w:val="left" w:pos="3335"/>
          <w:tab w:val="center" w:pos="7460"/>
        </w:tabs>
        <w:jc w:val="left"/>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color w:val="000000"/>
          <w:sz w:val="44"/>
          <w:szCs w:val="44"/>
          <w:lang w:eastAsia="zh-CN"/>
        </w:rPr>
        <w:tab/>
      </w:r>
      <w:r>
        <w:rPr>
          <w:rFonts w:hint="eastAsia" w:ascii="方正小标宋简体" w:hAnsi="方正小标宋简体" w:eastAsia="方正小标宋简体" w:cs="方正小标宋简体"/>
          <w:color w:val="000000"/>
          <w:sz w:val="44"/>
          <w:szCs w:val="44"/>
          <w:lang w:eastAsia="zh-CN"/>
        </w:rPr>
        <w:tab/>
      </w:r>
      <w:r>
        <w:rPr>
          <w:rFonts w:hint="eastAsia" w:ascii="方正小标宋简体" w:hAnsi="方正小标宋简体" w:eastAsia="方正小标宋简体" w:cs="方正小标宋简体"/>
          <w:color w:val="000000"/>
          <w:sz w:val="44"/>
          <w:szCs w:val="44"/>
        </w:rPr>
        <w:t>202</w:t>
      </w:r>
      <w:r>
        <w:rPr>
          <w:rFonts w:hint="eastAsia" w:ascii="方正小标宋简体" w:hAnsi="方正小标宋简体" w:eastAsia="方正小标宋简体" w:cs="方正小标宋简体"/>
          <w:color w:val="000000"/>
          <w:sz w:val="44"/>
          <w:szCs w:val="44"/>
          <w:lang w:val="en"/>
        </w:rPr>
        <w:t>3</w:t>
      </w:r>
      <w:r>
        <w:rPr>
          <w:rFonts w:hint="eastAsia" w:ascii="方正小标宋简体" w:hAnsi="方正小标宋简体" w:eastAsia="方正小标宋简体" w:cs="方正小标宋简体"/>
          <w:color w:val="000000"/>
          <w:sz w:val="44"/>
          <w:szCs w:val="44"/>
        </w:rPr>
        <w:t>年部门预算信息公开情况说明</w:t>
      </w:r>
    </w:p>
    <w:p w14:paraId="10C319DF">
      <w:pPr>
        <w:spacing w:line="500" w:lineRule="exact"/>
        <w:ind w:firstLine="560"/>
      </w:pPr>
      <w:r>
        <w:rPr>
          <w:rFonts w:eastAsia="方正仿宋_GBK"/>
          <w:color w:val="000000"/>
          <w:sz w:val="28"/>
        </w:rPr>
        <w:t>按照《预算法》、《地方预决算公开操作规程》和《关于进一步推进预算公开工作的实施意见》规定，现将中共廊坊市委网络安全和信息化委员会办公室202</w:t>
      </w:r>
      <w:r>
        <w:rPr>
          <w:rFonts w:hint="default" w:eastAsia="方正仿宋_GBK"/>
          <w:color w:val="000000"/>
          <w:sz w:val="28"/>
          <w:lang w:val="en"/>
        </w:rPr>
        <w:t>3</w:t>
      </w:r>
      <w:r>
        <w:rPr>
          <w:rFonts w:eastAsia="方正仿宋_GBK"/>
          <w:color w:val="000000"/>
          <w:sz w:val="28"/>
        </w:rPr>
        <w:t>年部门预算公开如下：</w:t>
      </w:r>
    </w:p>
    <w:p w14:paraId="668A027F">
      <w:pPr>
        <w:spacing w:before="10" w:after="10" w:line="360" w:lineRule="auto"/>
        <w:ind w:firstLine="640"/>
        <w:outlineLvl w:val="2"/>
        <w:rPr>
          <w:sz w:val="32"/>
          <w:szCs w:val="32"/>
        </w:rPr>
      </w:pPr>
      <w:bookmarkStart w:id="0" w:name="_Toc_3_3_0000000010"/>
      <w:r>
        <w:rPr>
          <w:rFonts w:ascii="黑体" w:hAnsi="黑体" w:eastAsia="黑体" w:cs="黑体"/>
          <w:color w:val="000000"/>
          <w:sz w:val="32"/>
          <w:szCs w:val="32"/>
        </w:rPr>
        <w:t>一、部门职责及机构设置情况</w:t>
      </w:r>
      <w:bookmarkEnd w:id="0"/>
    </w:p>
    <w:p w14:paraId="5222883A">
      <w:pPr>
        <w:ind w:firstLine="640"/>
      </w:pPr>
      <w:r>
        <w:rPr>
          <w:rFonts w:ascii="方正楷体_GBK" w:hAnsi="方正楷体_GBK" w:eastAsia="方正楷体_GBK" w:cs="方正楷体_GBK"/>
          <w:b/>
          <w:color w:val="000000"/>
          <w:sz w:val="32"/>
        </w:rPr>
        <w:t>部门职责：</w:t>
      </w:r>
    </w:p>
    <w:p w14:paraId="680DCC66">
      <w:pPr>
        <w:pStyle w:val="7"/>
        <w:rPr>
          <w:rFonts w:hint="eastAsia" w:eastAsia="方正仿宋_GBK"/>
          <w:lang w:val="en-US" w:eastAsia="zh-CN"/>
        </w:rPr>
      </w:pPr>
      <w:r>
        <w:t>根据《中共廊坊市委网络安全和信息化委员会办公室职能配置、内设机构和人员编制规定》，中共廊坊市委网络安全和信息化委员会办公室的主要职责是：</w:t>
      </w:r>
      <w:r>
        <w:rPr>
          <w:rFonts w:hint="eastAsia"/>
          <w:lang w:val="en-US" w:eastAsia="zh-CN"/>
        </w:rPr>
        <w:t xml:space="preserve"> </w:t>
      </w:r>
      <w:bookmarkStart w:id="9" w:name="_GoBack"/>
      <w:bookmarkEnd w:id="9"/>
    </w:p>
    <w:p w14:paraId="68DEE25C">
      <w:pPr>
        <w:pStyle w:val="7"/>
      </w:pPr>
      <w:r>
        <w:t>负责处理市委网络安全和信息化委员会日常事务工作。</w:t>
      </w:r>
    </w:p>
    <w:p w14:paraId="4E650252">
      <w:pPr>
        <w:pStyle w:val="7"/>
      </w:pPr>
      <w:r>
        <w:t>组织研究起草我市网络安全和信息化发展战略、宏观规划和重大政策。</w:t>
      </w:r>
    </w:p>
    <w:p w14:paraId="51EF1255">
      <w:pPr>
        <w:pStyle w:val="7"/>
      </w:pPr>
      <w:r>
        <w:t>统筹协调全市网络安全保障体系和可信体系建设。</w:t>
      </w:r>
    </w:p>
    <w:p w14:paraId="2905FA86">
      <w:pPr>
        <w:pStyle w:val="7"/>
      </w:pPr>
      <w:r>
        <w:t>督促落实我市涉及政治、经济、文化、社会、生态及军事等各个领域网络安全和信息化重大事项；负责协调处理网络安全和信息化重大突发事件有关应急工作。</w:t>
      </w:r>
    </w:p>
    <w:p w14:paraId="70A26482">
      <w:pPr>
        <w:pStyle w:val="7"/>
      </w:pPr>
      <w:r>
        <w:t>负责全市互联网信息内容管理。</w:t>
      </w:r>
    </w:p>
    <w:p w14:paraId="71DDA7FB">
      <w:pPr>
        <w:pStyle w:val="7"/>
      </w:pPr>
      <w:r>
        <w:t>推动全市网络阵地建设和重点新闻网站规划建设。</w:t>
      </w:r>
    </w:p>
    <w:p w14:paraId="6DBC9C80">
      <w:pPr>
        <w:pStyle w:val="7"/>
      </w:pPr>
      <w:r>
        <w:t>推动全市网络社会工作和网络文化、网络文明建设；指导互联网行业自律，推进网站党建工作。</w:t>
      </w:r>
    </w:p>
    <w:p w14:paraId="3B647227">
      <w:pPr>
        <w:pStyle w:val="7"/>
      </w:pPr>
      <w:r>
        <w:t>落实互联网信息服务资本准入和信息网络行业安全审查的有关政策。</w:t>
      </w:r>
    </w:p>
    <w:p w14:paraId="22F46063">
      <w:pPr>
        <w:pStyle w:val="7"/>
      </w:pPr>
      <w:r>
        <w:t>协调推进全市信息网络行业自主创新和发展。</w:t>
      </w:r>
    </w:p>
    <w:p w14:paraId="0EC309D5">
      <w:pPr>
        <w:pStyle w:val="7"/>
      </w:pPr>
      <w:r>
        <w:t>规划指导市内机构开展金融信息服务业务。</w:t>
      </w:r>
    </w:p>
    <w:p w14:paraId="2BAC044A">
      <w:pPr>
        <w:pStyle w:val="7"/>
      </w:pPr>
      <w:r>
        <w:t>组织拟订网络安全和信息化干部人才队伍发展规划，组织开展网信系统干部教育培训和人才队伍建设。</w:t>
      </w:r>
    </w:p>
    <w:p w14:paraId="38475B18">
      <w:pPr>
        <w:pStyle w:val="7"/>
      </w:pPr>
      <w:r>
        <w:t>组织开展相关领域国内国际交流与合作。</w:t>
      </w:r>
    </w:p>
    <w:p w14:paraId="448A3CF8">
      <w:pPr>
        <w:pStyle w:val="7"/>
      </w:pPr>
      <w:r>
        <w:t>指导、检查、推动各县（市、区)、廊坊开发区有关部门网络安全和信息化工作。</w:t>
      </w:r>
    </w:p>
    <w:p w14:paraId="4081C4DF">
      <w:pPr>
        <w:pStyle w:val="7"/>
      </w:pPr>
      <w:r>
        <w:t>统筹协调网络数据开发、利用的安全管理，统筹协调网络数据安全和个人信息保护工作，指导协调网络数据跨区域流动安全管理。</w:t>
      </w:r>
    </w:p>
    <w:p w14:paraId="46DF375E">
      <w:pPr>
        <w:pStyle w:val="7"/>
      </w:pPr>
      <w:r>
        <w:t>负责全市网络安全和信息化重大专项任务的统筹协调、组织推动、督促落实。</w:t>
      </w:r>
    </w:p>
    <w:p w14:paraId="5376BFB8">
      <w:pPr>
        <w:pStyle w:val="7"/>
      </w:pPr>
      <w:r>
        <w:t>统筹协调全市网络综合治理体系建设，协调推进上下协同的网信工作体系建设。</w:t>
      </w:r>
    </w:p>
    <w:p w14:paraId="47375A34">
      <w:pPr>
        <w:pStyle w:val="7"/>
      </w:pPr>
      <w:r>
        <w:t>完成省委网络安全和信息化委员会办公室（省互联网信息办公室）和市委、市政府及市委网络安全和信息化委员会、市委宣传部交办的其他任务。</w:t>
      </w:r>
    </w:p>
    <w:p w14:paraId="2B4CA9F4">
      <w:pPr>
        <w:ind w:firstLine="640"/>
      </w:pPr>
      <w:r>
        <w:rPr>
          <w:rFonts w:ascii="方正楷体_GBK" w:hAnsi="方正楷体_GBK" w:eastAsia="方正楷体_GBK" w:cs="方正楷体_GBK"/>
          <w:b/>
          <w:color w:val="000000"/>
          <w:sz w:val="32"/>
        </w:rPr>
        <w:t>机构设置：</w:t>
      </w:r>
    </w:p>
    <w:p w14:paraId="30B9829A">
      <w:pPr>
        <w:jc w:val="center"/>
      </w:pPr>
      <w:r>
        <w:rPr>
          <w:rFonts w:ascii="方正小标宋_GBK" w:hAnsi="方正小标宋_GBK" w:eastAsia="方正小标宋_GBK" w:cs="方正小标宋_GBK"/>
          <w:color w:val="000000"/>
          <w:sz w:val="32"/>
        </w:rPr>
        <w:t>部门机构设置情况</w:t>
      </w:r>
    </w:p>
    <w:tbl>
      <w:tblPr>
        <w:tblStyle w:val="5"/>
        <w:tblW w:w="1346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5669"/>
        <w:gridCol w:w="1843"/>
        <w:gridCol w:w="2126"/>
        <w:gridCol w:w="3827"/>
      </w:tblGrid>
      <w:tr w14:paraId="77F6E6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67" w:hRule="atLeast"/>
          <w:tblHeader/>
          <w:jc w:val="center"/>
        </w:trPr>
        <w:tc>
          <w:tcPr>
            <w:tcW w:w="5669" w:type="dxa"/>
            <w:noWrap w:val="0"/>
            <w:vAlign w:val="center"/>
          </w:tcPr>
          <w:p w14:paraId="05870ACB">
            <w:pPr>
              <w:pStyle w:val="8"/>
            </w:pPr>
            <w:r>
              <w:t>单位名称</w:t>
            </w:r>
          </w:p>
        </w:tc>
        <w:tc>
          <w:tcPr>
            <w:tcW w:w="1843" w:type="dxa"/>
            <w:noWrap w:val="0"/>
            <w:vAlign w:val="center"/>
          </w:tcPr>
          <w:p w14:paraId="646D5315">
            <w:pPr>
              <w:pStyle w:val="8"/>
            </w:pPr>
            <w:r>
              <w:t>单位性质</w:t>
            </w:r>
          </w:p>
        </w:tc>
        <w:tc>
          <w:tcPr>
            <w:tcW w:w="2126" w:type="dxa"/>
            <w:noWrap w:val="0"/>
            <w:vAlign w:val="center"/>
          </w:tcPr>
          <w:p w14:paraId="476A6F9C">
            <w:pPr>
              <w:pStyle w:val="8"/>
            </w:pPr>
            <w:r>
              <w:t>单位规格</w:t>
            </w:r>
          </w:p>
        </w:tc>
        <w:tc>
          <w:tcPr>
            <w:tcW w:w="3827" w:type="dxa"/>
            <w:noWrap w:val="0"/>
            <w:vAlign w:val="center"/>
          </w:tcPr>
          <w:p w14:paraId="6420B5ED">
            <w:pPr>
              <w:pStyle w:val="8"/>
            </w:pPr>
            <w:r>
              <w:t>经费保障形式</w:t>
            </w:r>
          </w:p>
        </w:tc>
      </w:tr>
      <w:tr w14:paraId="7228F8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5669" w:type="dxa"/>
            <w:noWrap w:val="0"/>
            <w:vAlign w:val="center"/>
          </w:tcPr>
          <w:p w14:paraId="37A4924B">
            <w:pPr>
              <w:pStyle w:val="9"/>
            </w:pPr>
            <w:r>
              <w:t>中共廊坊市委网络安全和信息化委员会办公室本级</w:t>
            </w:r>
          </w:p>
        </w:tc>
        <w:tc>
          <w:tcPr>
            <w:tcW w:w="1843" w:type="dxa"/>
            <w:noWrap w:val="0"/>
            <w:vAlign w:val="center"/>
          </w:tcPr>
          <w:p w14:paraId="3ADDD6CA">
            <w:pPr>
              <w:pStyle w:val="10"/>
            </w:pPr>
            <w:r>
              <w:t>行政</w:t>
            </w:r>
          </w:p>
        </w:tc>
        <w:tc>
          <w:tcPr>
            <w:tcW w:w="2126" w:type="dxa"/>
            <w:noWrap w:val="0"/>
            <w:vAlign w:val="center"/>
          </w:tcPr>
          <w:p w14:paraId="42AFEC02">
            <w:pPr>
              <w:pStyle w:val="10"/>
            </w:pPr>
            <w:r>
              <w:t>正处（县）级</w:t>
            </w:r>
          </w:p>
        </w:tc>
        <w:tc>
          <w:tcPr>
            <w:tcW w:w="3827" w:type="dxa"/>
            <w:noWrap w:val="0"/>
            <w:vAlign w:val="center"/>
          </w:tcPr>
          <w:p w14:paraId="4BC38307">
            <w:pPr>
              <w:pStyle w:val="10"/>
            </w:pPr>
            <w:r>
              <w:t>财政拨款</w:t>
            </w:r>
          </w:p>
        </w:tc>
      </w:tr>
    </w:tbl>
    <w:p w14:paraId="51F56469">
      <w:pPr>
        <w:spacing w:before="10" w:after="10" w:line="360" w:lineRule="auto"/>
        <w:ind w:firstLine="640"/>
        <w:outlineLvl w:val="2"/>
        <w:rPr>
          <w:rFonts w:ascii="黑体" w:hAnsi="黑体" w:eastAsia="黑体" w:cs="黑体"/>
          <w:color w:val="000000"/>
          <w:sz w:val="32"/>
        </w:rPr>
      </w:pPr>
      <w:bookmarkStart w:id="1" w:name="_Toc_3_3_0000000011"/>
    </w:p>
    <w:p w14:paraId="71E7E0A4">
      <w:pPr>
        <w:spacing w:before="10" w:after="10" w:line="360" w:lineRule="auto"/>
        <w:ind w:firstLine="640"/>
        <w:outlineLvl w:val="2"/>
        <w:rPr>
          <w:sz w:val="32"/>
          <w:szCs w:val="32"/>
        </w:rPr>
      </w:pPr>
      <w:r>
        <w:rPr>
          <w:rFonts w:ascii="黑体" w:hAnsi="黑体" w:eastAsia="黑体" w:cs="黑体"/>
          <w:color w:val="000000"/>
          <w:sz w:val="32"/>
          <w:szCs w:val="32"/>
        </w:rPr>
        <w:t>二、部门预算安排的总体情况</w:t>
      </w:r>
      <w:bookmarkEnd w:id="1"/>
    </w:p>
    <w:p w14:paraId="454BB1E4">
      <w:pPr>
        <w:keepNext w:val="0"/>
        <w:keepLines w:val="0"/>
        <w:pageBreakBefore w:val="0"/>
        <w:widowControl/>
        <w:kinsoku/>
        <w:wordWrap/>
        <w:overflowPunct/>
        <w:topLinePunct w:val="0"/>
        <w:bidi w:val="0"/>
        <w:snapToGrid/>
        <w:spacing w:line="572" w:lineRule="exact"/>
        <w:ind w:firstLine="640"/>
        <w:textAlignment w:val="auto"/>
        <w:rPr>
          <w:rFonts w:eastAsia="方正仿宋_GBK"/>
          <w:color w:val="000000"/>
          <w:sz w:val="28"/>
        </w:rPr>
      </w:pPr>
      <w:r>
        <w:rPr>
          <w:rFonts w:eastAsia="方正仿宋_GBK"/>
          <w:color w:val="000000"/>
          <w:sz w:val="28"/>
        </w:rPr>
        <w:t>按照预算管理有关规定，目前我省部门预算的编制实行综合预算管理，即全部收入和支出都反映在预算中。中共廊坊市委网络安全和信息化委员会办公室机关及所属事业单位的收支包含在部门预算中。</w:t>
      </w:r>
    </w:p>
    <w:p w14:paraId="2D551790">
      <w:pPr>
        <w:keepNext w:val="0"/>
        <w:keepLines w:val="0"/>
        <w:pageBreakBefore w:val="0"/>
        <w:widowControl/>
        <w:kinsoku/>
        <w:wordWrap/>
        <w:overflowPunct/>
        <w:topLinePunct w:val="0"/>
        <w:bidi w:val="0"/>
        <w:snapToGrid/>
        <w:spacing w:line="572" w:lineRule="exact"/>
        <w:ind w:firstLine="640"/>
        <w:textAlignment w:val="auto"/>
        <w:rPr>
          <w:rFonts w:hint="eastAsia" w:ascii="CESI楷体-GB2312" w:hAnsi="CESI楷体-GB2312" w:eastAsia="CESI楷体-GB2312" w:cs="CESI楷体-GB2312"/>
          <w:b/>
          <w:sz w:val="32"/>
          <w:szCs w:val="32"/>
          <w:highlight w:val="none"/>
        </w:rPr>
      </w:pPr>
      <w:r>
        <w:rPr>
          <w:rFonts w:hint="eastAsia" w:ascii="CESI楷体-GB2312" w:hAnsi="CESI楷体-GB2312" w:eastAsia="CESI楷体-GB2312" w:cs="CESI楷体-GB2312"/>
          <w:b/>
          <w:sz w:val="32"/>
          <w:szCs w:val="32"/>
          <w:highlight w:val="none"/>
        </w:rPr>
        <w:t>1、收入说明</w:t>
      </w:r>
    </w:p>
    <w:p w14:paraId="5B14C7DF">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方正仿宋_GBK" w:cs="Times New Roman"/>
          <w:sz w:val="28"/>
          <w:szCs w:val="24"/>
          <w:lang w:val="en-US" w:eastAsia="uk-UA" w:bidi="ar-SA"/>
        </w:rPr>
      </w:pPr>
      <w:r>
        <w:rPr>
          <w:rFonts w:ascii="Times New Roman" w:hAnsi="Times New Roman" w:eastAsia="方正仿宋_GBK" w:cs="Times New Roman"/>
          <w:sz w:val="28"/>
          <w:szCs w:val="24"/>
          <w:lang w:val="en-US" w:eastAsia="uk-UA" w:bidi="ar-SA"/>
        </w:rPr>
        <w:t>反映本部门当年全部收入。20</w:t>
      </w:r>
      <w:r>
        <w:rPr>
          <w:rFonts w:hint="eastAsia" w:ascii="Times New Roman" w:hAnsi="Times New Roman" w:eastAsia="方正仿宋_GBK" w:cs="Times New Roman"/>
          <w:sz w:val="28"/>
          <w:szCs w:val="24"/>
          <w:lang w:val="en-US" w:eastAsia="uk-UA" w:bidi="ar-SA"/>
        </w:rPr>
        <w:t>2</w:t>
      </w:r>
      <w:r>
        <w:rPr>
          <w:rFonts w:hint="default" w:eastAsia="方正仿宋_GBK" w:cs="Times New Roman"/>
          <w:sz w:val="28"/>
          <w:szCs w:val="24"/>
          <w:lang w:val="en" w:eastAsia="uk-UA" w:bidi="ar-SA"/>
        </w:rPr>
        <w:t>3</w:t>
      </w:r>
      <w:r>
        <w:rPr>
          <w:rFonts w:ascii="Times New Roman" w:hAnsi="Times New Roman" w:eastAsia="方正仿宋_GBK" w:cs="Times New Roman"/>
          <w:sz w:val="28"/>
          <w:szCs w:val="24"/>
          <w:lang w:val="en-US" w:eastAsia="uk-UA" w:bidi="ar-SA"/>
        </w:rPr>
        <w:t>年预算收入</w:t>
      </w:r>
      <w:r>
        <w:rPr>
          <w:rFonts w:hint="eastAsia" w:eastAsia="方正仿宋_GBK" w:cs="Times New Roman"/>
          <w:sz w:val="28"/>
          <w:szCs w:val="24"/>
          <w:lang w:val="en-US" w:eastAsia="zh-CN" w:bidi="ar-SA"/>
        </w:rPr>
        <w:t xml:space="preserve"> </w:t>
      </w:r>
      <w:r>
        <w:rPr>
          <w:rFonts w:hint="default" w:eastAsia="方正仿宋_GBK" w:cs="Times New Roman"/>
          <w:sz w:val="28"/>
          <w:szCs w:val="24"/>
          <w:lang w:val="en" w:eastAsia="zh-CN" w:bidi="ar-SA"/>
        </w:rPr>
        <w:t>2534.06</w:t>
      </w:r>
      <w:r>
        <w:rPr>
          <w:rFonts w:ascii="Times New Roman" w:hAnsi="Times New Roman" w:eastAsia="方正仿宋_GBK" w:cs="Times New Roman"/>
          <w:sz w:val="28"/>
          <w:szCs w:val="24"/>
          <w:lang w:val="en-US" w:eastAsia="uk-UA" w:bidi="ar-SA"/>
        </w:rPr>
        <w:t>万元，其中：一般公共预算收入</w:t>
      </w:r>
      <w:r>
        <w:rPr>
          <w:rFonts w:hint="eastAsia" w:ascii="Times New Roman" w:hAnsi="Times New Roman" w:eastAsia="方正仿宋_GBK" w:cs="Times New Roman"/>
          <w:sz w:val="28"/>
          <w:szCs w:val="24"/>
          <w:lang w:val="en-US" w:eastAsia="zh-CN" w:bidi="ar-SA"/>
        </w:rPr>
        <w:t>2534.06</w:t>
      </w:r>
      <w:r>
        <w:rPr>
          <w:rFonts w:ascii="Times New Roman" w:hAnsi="Times New Roman" w:eastAsia="方正仿宋_GBK" w:cs="Times New Roman"/>
          <w:sz w:val="28"/>
          <w:szCs w:val="24"/>
          <w:lang w:val="en-US" w:eastAsia="uk-UA" w:bidi="ar-SA"/>
        </w:rPr>
        <w:t>万元，基金预算收入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万元，财政专户核拨收入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万元，其他来源收入</w:t>
      </w:r>
      <w:r>
        <w:rPr>
          <w:rFonts w:hint="eastAsia" w:ascii="Times New Roman" w:hAnsi="Times New Roman"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w:t>
      </w:r>
      <w:r>
        <w:rPr>
          <w:rFonts w:hint="eastAsia" w:ascii="Times New Roman" w:hAnsi="Times New Roman" w:eastAsia="方正仿宋_GBK" w:cs="Times New Roman"/>
          <w:sz w:val="28"/>
          <w:szCs w:val="24"/>
          <w:lang w:val="en-US" w:eastAsia="uk-UA" w:bidi="ar-SA"/>
        </w:rPr>
        <w:t>，</w:t>
      </w:r>
      <w:r>
        <w:rPr>
          <w:rFonts w:ascii="Times New Roman" w:hAnsi="Times New Roman" w:eastAsia="方正仿宋_GBK" w:cs="Times New Roman"/>
          <w:sz w:val="28"/>
          <w:szCs w:val="24"/>
          <w:lang w:val="en-US" w:eastAsia="uk-UA" w:bidi="ar-SA"/>
        </w:rPr>
        <w:t>上年结转</w:t>
      </w:r>
      <w:r>
        <w:rPr>
          <w:rFonts w:hint="eastAsia" w:ascii="Times New Roman" w:hAnsi="Times New Roman" w:eastAsia="方正仿宋_GBK" w:cs="Times New Roman"/>
          <w:sz w:val="28"/>
          <w:szCs w:val="24"/>
          <w:lang w:val="en-US" w:eastAsia="zh-CN" w:bidi="ar-SA"/>
        </w:rPr>
        <w:t>0</w:t>
      </w:r>
      <w:r>
        <w:rPr>
          <w:rFonts w:hint="eastAsia" w:ascii="Times New Roman" w:hAnsi="Times New Roman" w:eastAsia="方正仿宋_GBK" w:cs="Times New Roman"/>
          <w:sz w:val="28"/>
          <w:szCs w:val="24"/>
          <w:lang w:val="en-US" w:eastAsia="uk-UA" w:bidi="ar-SA"/>
        </w:rPr>
        <w:t>万元</w:t>
      </w:r>
      <w:r>
        <w:rPr>
          <w:rFonts w:ascii="Times New Roman" w:hAnsi="Times New Roman" w:eastAsia="方正仿宋_GBK" w:cs="Times New Roman"/>
          <w:sz w:val="28"/>
          <w:szCs w:val="24"/>
          <w:lang w:val="en-US" w:eastAsia="uk-UA" w:bidi="ar-SA"/>
        </w:rPr>
        <w:t>。</w:t>
      </w:r>
    </w:p>
    <w:p w14:paraId="29E1D0D8">
      <w:pPr>
        <w:keepNext w:val="0"/>
        <w:keepLines w:val="0"/>
        <w:pageBreakBefore w:val="0"/>
        <w:widowControl/>
        <w:kinsoku/>
        <w:wordWrap/>
        <w:overflowPunct/>
        <w:topLinePunct w:val="0"/>
        <w:bidi w:val="0"/>
        <w:snapToGrid/>
        <w:spacing w:line="572" w:lineRule="exact"/>
        <w:ind w:firstLine="640"/>
        <w:textAlignment w:val="auto"/>
        <w:rPr>
          <w:rFonts w:hint="eastAsia" w:ascii="CESI楷体-GB2312" w:hAnsi="CESI楷体-GB2312" w:eastAsia="CESI楷体-GB2312" w:cs="CESI楷体-GB2312"/>
          <w:b/>
          <w:sz w:val="32"/>
          <w:szCs w:val="32"/>
          <w:highlight w:val="none"/>
        </w:rPr>
      </w:pPr>
      <w:r>
        <w:rPr>
          <w:rFonts w:hint="eastAsia" w:ascii="CESI楷体-GB2312" w:hAnsi="CESI楷体-GB2312" w:eastAsia="CESI楷体-GB2312" w:cs="CESI楷体-GB2312"/>
          <w:b/>
          <w:sz w:val="32"/>
          <w:szCs w:val="32"/>
          <w:highlight w:val="none"/>
        </w:rPr>
        <w:t>2、支出说明</w:t>
      </w:r>
    </w:p>
    <w:p w14:paraId="6C2C3725">
      <w:pPr>
        <w:keepNext w:val="0"/>
        <w:keepLines w:val="0"/>
        <w:pageBreakBefore w:val="0"/>
        <w:widowControl/>
        <w:kinsoku/>
        <w:wordWrap/>
        <w:overflowPunct/>
        <w:topLinePunct w:val="0"/>
        <w:bidi w:val="0"/>
        <w:snapToGrid/>
        <w:spacing w:line="572" w:lineRule="exact"/>
        <w:ind w:firstLine="640"/>
        <w:textAlignment w:val="auto"/>
        <w:rPr>
          <w:rFonts w:ascii="Times New Roman" w:hAnsi="Times New Roman" w:eastAsia="方正仿宋_GBK" w:cs="Times New Roman"/>
          <w:sz w:val="28"/>
          <w:szCs w:val="24"/>
          <w:lang w:val="en-US" w:eastAsia="uk-UA" w:bidi="ar-SA"/>
        </w:rPr>
      </w:pPr>
      <w:r>
        <w:rPr>
          <w:rFonts w:ascii="Times New Roman" w:hAnsi="Times New Roman" w:eastAsia="方正仿宋_GBK" w:cs="Times New Roman"/>
          <w:sz w:val="28"/>
          <w:szCs w:val="24"/>
          <w:lang w:val="en-US" w:eastAsia="uk-UA" w:bidi="ar-SA"/>
        </w:rPr>
        <w:t>收支预算总表支出栏、基本支出表、项目支出表按经济分类和支出功能分类科目编制，反映</w:t>
      </w:r>
      <w:r>
        <w:rPr>
          <w:rFonts w:hint="eastAsia" w:eastAsia="方正仿宋_GBK" w:cs="Times New Roman"/>
          <w:sz w:val="28"/>
          <w:szCs w:val="24"/>
          <w:lang w:val="en-US" w:eastAsia="zh-CN" w:bidi="ar-SA"/>
        </w:rPr>
        <w:t>中共</w:t>
      </w:r>
      <w:r>
        <w:rPr>
          <w:rFonts w:ascii="Times New Roman" w:hAnsi="Times New Roman" w:eastAsia="方正仿宋_GBK" w:cs="Times New Roman"/>
          <w:sz w:val="28"/>
          <w:szCs w:val="24"/>
          <w:lang w:val="en-US" w:eastAsia="uk-UA" w:bidi="ar-SA"/>
        </w:rPr>
        <w:t>廊坊市</w:t>
      </w:r>
      <w:r>
        <w:rPr>
          <w:rFonts w:hint="eastAsia" w:eastAsia="方正仿宋_GBK" w:cs="Times New Roman"/>
          <w:sz w:val="28"/>
          <w:szCs w:val="24"/>
          <w:lang w:val="en-US" w:eastAsia="zh-CN" w:bidi="ar-SA"/>
        </w:rPr>
        <w:t>委网络安全和信息化委员会办公室</w:t>
      </w:r>
      <w:r>
        <w:rPr>
          <w:rFonts w:ascii="Times New Roman" w:hAnsi="Times New Roman" w:eastAsia="方正仿宋_GBK" w:cs="Times New Roman"/>
          <w:sz w:val="28"/>
          <w:szCs w:val="24"/>
          <w:lang w:val="en-US" w:eastAsia="uk-UA" w:bidi="ar-SA"/>
        </w:rPr>
        <w:t>年度部门预算中支出预算的总体情况。20</w:t>
      </w:r>
      <w:r>
        <w:rPr>
          <w:rFonts w:hint="eastAsia" w:ascii="Times New Roman" w:hAnsi="Times New Roman" w:eastAsia="方正仿宋_GBK" w:cs="Times New Roman"/>
          <w:sz w:val="28"/>
          <w:szCs w:val="24"/>
          <w:lang w:val="en-US" w:eastAsia="uk-UA" w:bidi="ar-SA"/>
        </w:rPr>
        <w:t>2</w:t>
      </w:r>
      <w:r>
        <w:rPr>
          <w:rFonts w:hint="default" w:eastAsia="方正仿宋_GBK" w:cs="Times New Roman"/>
          <w:sz w:val="28"/>
          <w:szCs w:val="24"/>
          <w:lang w:val="en" w:eastAsia="uk-UA" w:bidi="ar-SA"/>
        </w:rPr>
        <w:t>3</w:t>
      </w:r>
      <w:r>
        <w:rPr>
          <w:rFonts w:ascii="Times New Roman" w:hAnsi="Times New Roman" w:eastAsia="方正仿宋_GBK" w:cs="Times New Roman"/>
          <w:sz w:val="28"/>
          <w:szCs w:val="24"/>
          <w:lang w:val="en-US" w:eastAsia="uk-UA" w:bidi="ar-SA"/>
        </w:rPr>
        <w:t>年支出预算</w:t>
      </w:r>
      <w:r>
        <w:rPr>
          <w:rFonts w:hint="default" w:eastAsia="方正仿宋_GBK" w:cs="Times New Roman"/>
          <w:sz w:val="28"/>
          <w:szCs w:val="24"/>
          <w:lang w:val="en" w:eastAsia="zh-CN" w:bidi="ar-SA"/>
        </w:rPr>
        <w:t>2534.06</w:t>
      </w:r>
      <w:r>
        <w:rPr>
          <w:rFonts w:ascii="Times New Roman" w:hAnsi="Times New Roman" w:eastAsia="方正仿宋_GBK" w:cs="Times New Roman"/>
          <w:sz w:val="28"/>
          <w:szCs w:val="24"/>
          <w:lang w:val="en-US" w:eastAsia="uk-UA" w:bidi="ar-SA"/>
        </w:rPr>
        <w:t>万元，其中基本支出</w:t>
      </w:r>
      <w:r>
        <w:rPr>
          <w:rFonts w:hint="default" w:eastAsia="方正仿宋_GBK" w:cs="Times New Roman"/>
          <w:sz w:val="28"/>
          <w:szCs w:val="24"/>
          <w:lang w:val="en" w:eastAsia="zh-CN" w:bidi="ar-SA"/>
        </w:rPr>
        <w:t>803.26</w:t>
      </w:r>
      <w:r>
        <w:rPr>
          <w:rFonts w:ascii="Times New Roman" w:hAnsi="Times New Roman" w:eastAsia="方正仿宋_GBK" w:cs="Times New Roman"/>
          <w:sz w:val="28"/>
          <w:szCs w:val="24"/>
          <w:lang w:val="en-US" w:eastAsia="uk-UA" w:bidi="ar-SA"/>
        </w:rPr>
        <w:t>万元，包括人员经费</w:t>
      </w:r>
      <w:r>
        <w:rPr>
          <w:rFonts w:hint="default" w:eastAsia="方正仿宋_GBK" w:cs="Times New Roman"/>
          <w:sz w:val="28"/>
          <w:szCs w:val="24"/>
          <w:lang w:val="en" w:eastAsia="zh-CN" w:bidi="ar-SA"/>
        </w:rPr>
        <w:t>728.42</w:t>
      </w:r>
      <w:r>
        <w:rPr>
          <w:rFonts w:ascii="Times New Roman" w:hAnsi="Times New Roman" w:eastAsia="方正仿宋_GBK" w:cs="Times New Roman"/>
          <w:sz w:val="28"/>
          <w:szCs w:val="24"/>
          <w:lang w:val="en-US" w:eastAsia="uk-UA" w:bidi="ar-SA"/>
        </w:rPr>
        <w:t>万元和</w:t>
      </w:r>
      <w:r>
        <w:rPr>
          <w:rFonts w:hint="eastAsia" w:ascii="Times New Roman" w:hAnsi="Times New Roman" w:eastAsia="方正仿宋_GBK" w:cs="Times New Roman"/>
          <w:sz w:val="28"/>
          <w:szCs w:val="24"/>
          <w:lang w:val="en-US" w:eastAsia="zh-CN" w:bidi="ar-SA"/>
        </w:rPr>
        <w:t>日常</w:t>
      </w:r>
      <w:r>
        <w:rPr>
          <w:rFonts w:ascii="Times New Roman" w:hAnsi="Times New Roman" w:eastAsia="方正仿宋_GBK" w:cs="Times New Roman"/>
          <w:sz w:val="28"/>
          <w:szCs w:val="24"/>
          <w:lang w:val="en-US" w:eastAsia="uk-UA" w:bidi="ar-SA"/>
        </w:rPr>
        <w:t>公用经费</w:t>
      </w:r>
      <w:r>
        <w:rPr>
          <w:rFonts w:hint="default" w:eastAsia="方正仿宋_GBK" w:cs="Times New Roman"/>
          <w:sz w:val="28"/>
          <w:szCs w:val="24"/>
          <w:lang w:val="en" w:eastAsia="zh-CN" w:bidi="ar-SA"/>
        </w:rPr>
        <w:t>74.84</w:t>
      </w:r>
      <w:r>
        <w:rPr>
          <w:rFonts w:ascii="Times New Roman" w:hAnsi="Times New Roman" w:eastAsia="方正仿宋_GBK" w:cs="Times New Roman"/>
          <w:sz w:val="28"/>
          <w:szCs w:val="24"/>
          <w:lang w:val="en-US" w:eastAsia="uk-UA" w:bidi="ar-SA"/>
        </w:rPr>
        <w:t>万元；运转类其他及特定目标类项目支出</w:t>
      </w:r>
      <w:r>
        <w:rPr>
          <w:rFonts w:hint="default" w:eastAsia="方正仿宋_GBK" w:cs="Times New Roman"/>
          <w:sz w:val="28"/>
          <w:szCs w:val="24"/>
          <w:lang w:val="en" w:eastAsia="zh-CN" w:bidi="ar-SA"/>
        </w:rPr>
        <w:t>1730.8</w:t>
      </w:r>
      <w:r>
        <w:rPr>
          <w:rFonts w:hint="eastAsia" w:eastAsia="方正仿宋_GBK" w:cs="Times New Roman"/>
          <w:sz w:val="28"/>
          <w:szCs w:val="24"/>
          <w:lang w:val="en-US" w:eastAsia="zh-CN" w:bidi="ar-SA"/>
        </w:rPr>
        <w:t>0</w:t>
      </w:r>
      <w:r>
        <w:rPr>
          <w:rFonts w:ascii="Times New Roman" w:hAnsi="Times New Roman" w:eastAsia="方正仿宋_GBK" w:cs="Times New Roman"/>
          <w:sz w:val="28"/>
          <w:szCs w:val="24"/>
          <w:lang w:val="en-US" w:eastAsia="uk-UA" w:bidi="ar-SA"/>
        </w:rPr>
        <w:t>万元，包括本级支出</w:t>
      </w:r>
      <w:r>
        <w:rPr>
          <w:rFonts w:hint="default" w:eastAsia="方正仿宋_GBK" w:cs="Times New Roman"/>
          <w:sz w:val="28"/>
          <w:szCs w:val="24"/>
          <w:lang w:val="en" w:eastAsia="zh-CN" w:bidi="ar-SA"/>
        </w:rPr>
        <w:t>1730.8</w:t>
      </w:r>
      <w:r>
        <w:rPr>
          <w:rFonts w:hint="eastAsia" w:eastAsia="方正仿宋_GBK" w:cs="Times New Roman"/>
          <w:sz w:val="28"/>
          <w:szCs w:val="24"/>
          <w:lang w:val="en-US" w:eastAsia="zh-CN" w:bidi="ar-SA"/>
        </w:rPr>
        <w:t>0</w:t>
      </w:r>
      <w:r>
        <w:rPr>
          <w:rFonts w:hint="eastAsia" w:ascii="Times New Roman" w:hAnsi="Times New Roman" w:eastAsia="方正仿宋_GBK" w:cs="Times New Roman"/>
          <w:sz w:val="28"/>
          <w:szCs w:val="24"/>
          <w:lang w:val="en-US" w:eastAsia="zh-CN" w:bidi="ar-SA"/>
        </w:rPr>
        <w:t>万元</w:t>
      </w:r>
      <w:r>
        <w:rPr>
          <w:rFonts w:ascii="Times New Roman" w:hAnsi="Times New Roman" w:eastAsia="方正仿宋_GBK" w:cs="Times New Roman"/>
          <w:sz w:val="28"/>
          <w:szCs w:val="24"/>
          <w:lang w:val="en-US" w:eastAsia="uk-UA" w:bidi="ar-SA"/>
        </w:rPr>
        <w:t>，</w:t>
      </w:r>
      <w:r>
        <w:rPr>
          <w:rFonts w:ascii="Times New Roman" w:hAnsi="Times New Roman" w:eastAsia="方正仿宋_GBK" w:cs="Times New Roman"/>
          <w:sz w:val="28"/>
          <w:szCs w:val="24"/>
          <w:highlight w:val="none"/>
          <w:lang w:val="en-US" w:eastAsia="uk-UA" w:bidi="ar-SA"/>
        </w:rPr>
        <w:t>主要为</w:t>
      </w:r>
      <w:r>
        <w:rPr>
          <w:rFonts w:hint="eastAsia" w:ascii="Times New Roman" w:hAnsi="Times New Roman" w:eastAsia="方正仿宋_GBK" w:cs="Times New Roman"/>
          <w:sz w:val="28"/>
          <w:szCs w:val="24"/>
          <w:highlight w:val="none"/>
          <w:lang w:val="en-US" w:eastAsia="zh-CN" w:bidi="ar-SA"/>
        </w:rPr>
        <w:t>公务网络机房维护、</w:t>
      </w:r>
      <w:r>
        <w:rPr>
          <w:rFonts w:ascii="Times New Roman" w:hAnsi="Times New Roman" w:eastAsia="方正仿宋_GBK" w:cs="Times New Roman"/>
          <w:sz w:val="28"/>
          <w:szCs w:val="24"/>
          <w:highlight w:val="none"/>
          <w:lang w:val="en-US" w:eastAsia="uk-UA" w:bidi="ar-SA"/>
        </w:rPr>
        <w:t>智能AI外呼服务平台建设资金</w:t>
      </w:r>
      <w:r>
        <w:rPr>
          <w:rFonts w:hint="eastAsia" w:ascii="Times New Roman" w:hAnsi="Times New Roman" w:eastAsia="方正仿宋_GBK" w:cs="Times New Roman"/>
          <w:sz w:val="28"/>
          <w:szCs w:val="24"/>
          <w:highlight w:val="none"/>
          <w:lang w:val="en-US" w:eastAsia="zh-CN" w:bidi="ar-SA"/>
        </w:rPr>
        <w:t>和网络媒体宣传引导</w:t>
      </w:r>
      <w:r>
        <w:rPr>
          <w:rFonts w:ascii="Times New Roman" w:hAnsi="Times New Roman" w:eastAsia="方正仿宋_GBK" w:cs="Times New Roman"/>
          <w:sz w:val="28"/>
          <w:szCs w:val="24"/>
          <w:highlight w:val="none"/>
          <w:lang w:val="en-US" w:eastAsia="uk-UA" w:bidi="ar-SA"/>
        </w:rPr>
        <w:t>等</w:t>
      </w:r>
      <w:r>
        <w:rPr>
          <w:rFonts w:hint="eastAsia" w:ascii="Times New Roman" w:hAnsi="Times New Roman" w:eastAsia="方正仿宋_GBK" w:cs="Times New Roman"/>
          <w:sz w:val="28"/>
          <w:szCs w:val="24"/>
          <w:highlight w:val="none"/>
          <w:lang w:val="en-US" w:eastAsia="zh-CN" w:bidi="ar-SA"/>
        </w:rPr>
        <w:t>项目</w:t>
      </w:r>
      <w:r>
        <w:rPr>
          <w:rFonts w:ascii="Times New Roman" w:hAnsi="Times New Roman" w:eastAsia="方正仿宋_GBK" w:cs="Times New Roman"/>
          <w:sz w:val="28"/>
          <w:szCs w:val="24"/>
          <w:highlight w:val="none"/>
          <w:lang w:val="en-US" w:eastAsia="uk-UA" w:bidi="ar-SA"/>
        </w:rPr>
        <w:t>支出。</w:t>
      </w:r>
    </w:p>
    <w:p w14:paraId="3500A2E4">
      <w:pPr>
        <w:keepNext w:val="0"/>
        <w:keepLines w:val="0"/>
        <w:pageBreakBefore w:val="0"/>
        <w:widowControl/>
        <w:kinsoku/>
        <w:wordWrap/>
        <w:overflowPunct/>
        <w:topLinePunct w:val="0"/>
        <w:bidi w:val="0"/>
        <w:snapToGrid/>
        <w:spacing w:line="572" w:lineRule="exact"/>
        <w:ind w:firstLine="640"/>
        <w:textAlignment w:val="auto"/>
        <w:rPr>
          <w:rFonts w:hint="eastAsia" w:ascii="CESI楷体-GB2312" w:hAnsi="CESI楷体-GB2312" w:eastAsia="CESI楷体-GB2312" w:cs="CESI楷体-GB2312"/>
          <w:b/>
          <w:sz w:val="32"/>
          <w:szCs w:val="32"/>
          <w:highlight w:val="none"/>
        </w:rPr>
      </w:pPr>
      <w:r>
        <w:rPr>
          <w:rFonts w:hint="eastAsia" w:ascii="CESI楷体-GB2312" w:hAnsi="CESI楷体-GB2312" w:eastAsia="CESI楷体-GB2312" w:cs="CESI楷体-GB2312"/>
          <w:b/>
          <w:sz w:val="32"/>
          <w:szCs w:val="32"/>
          <w:highlight w:val="none"/>
        </w:rPr>
        <w:t>3、比上年增减情况</w:t>
      </w:r>
    </w:p>
    <w:p w14:paraId="5F40B72C">
      <w:pPr>
        <w:keepNext w:val="0"/>
        <w:keepLines w:val="0"/>
        <w:pageBreakBefore w:val="0"/>
        <w:widowControl/>
        <w:kinsoku/>
        <w:wordWrap/>
        <w:overflowPunct/>
        <w:topLinePunct w:val="0"/>
        <w:bidi w:val="0"/>
        <w:snapToGrid/>
        <w:spacing w:line="572" w:lineRule="exact"/>
        <w:ind w:firstLine="640"/>
        <w:textAlignment w:val="auto"/>
      </w:pPr>
      <w:r>
        <w:rPr>
          <w:rFonts w:ascii="Times New Roman" w:hAnsi="Times New Roman" w:eastAsia="方正仿宋_GBK" w:cs="Times New Roman"/>
          <w:sz w:val="28"/>
          <w:szCs w:val="24"/>
          <w:lang w:val="en-US" w:eastAsia="uk-UA" w:bidi="ar-SA"/>
        </w:rPr>
        <w:t>20</w:t>
      </w:r>
      <w:r>
        <w:rPr>
          <w:rFonts w:hint="eastAsia" w:ascii="Times New Roman" w:hAnsi="Times New Roman" w:eastAsia="方正仿宋_GBK" w:cs="Times New Roman"/>
          <w:sz w:val="28"/>
          <w:szCs w:val="24"/>
          <w:lang w:val="en-US" w:eastAsia="uk-UA" w:bidi="ar-SA"/>
        </w:rPr>
        <w:t>2</w:t>
      </w:r>
      <w:r>
        <w:rPr>
          <w:rFonts w:hint="default" w:eastAsia="方正仿宋_GBK" w:cs="Times New Roman"/>
          <w:sz w:val="28"/>
          <w:szCs w:val="24"/>
          <w:lang w:val="en" w:eastAsia="uk-UA" w:bidi="ar-SA"/>
        </w:rPr>
        <w:t>3</w:t>
      </w:r>
      <w:r>
        <w:rPr>
          <w:rFonts w:ascii="Times New Roman" w:hAnsi="Times New Roman" w:eastAsia="方正仿宋_GBK" w:cs="Times New Roman"/>
          <w:sz w:val="28"/>
          <w:szCs w:val="24"/>
          <w:lang w:val="en-US" w:eastAsia="uk-UA" w:bidi="ar-SA"/>
        </w:rPr>
        <w:t>年预算收支安排</w:t>
      </w:r>
      <w:r>
        <w:rPr>
          <w:rFonts w:hint="default" w:eastAsia="方正仿宋_GBK" w:cs="Times New Roman"/>
          <w:sz w:val="28"/>
          <w:szCs w:val="24"/>
          <w:lang w:val="en" w:eastAsia="zh-CN" w:bidi="ar-SA"/>
        </w:rPr>
        <w:t>2534.06</w:t>
      </w:r>
      <w:r>
        <w:rPr>
          <w:rFonts w:ascii="Times New Roman" w:hAnsi="Times New Roman" w:eastAsia="方正仿宋_GBK" w:cs="Times New Roman"/>
          <w:sz w:val="28"/>
          <w:szCs w:val="24"/>
          <w:lang w:val="en-US" w:eastAsia="uk-UA" w:bidi="ar-SA"/>
        </w:rPr>
        <w:t>万元，较20</w:t>
      </w:r>
      <w:r>
        <w:rPr>
          <w:rFonts w:hint="eastAsia" w:ascii="Times New Roman" w:hAnsi="Times New Roman" w:eastAsia="方正仿宋_GBK" w:cs="Times New Roman"/>
          <w:sz w:val="28"/>
          <w:szCs w:val="24"/>
          <w:lang w:val="en-US" w:eastAsia="uk-UA" w:bidi="ar-SA"/>
        </w:rPr>
        <w:t>2</w:t>
      </w:r>
      <w:r>
        <w:rPr>
          <w:rFonts w:hint="default" w:eastAsia="方正仿宋_GBK" w:cs="Times New Roman"/>
          <w:sz w:val="28"/>
          <w:szCs w:val="24"/>
          <w:lang w:val="en" w:eastAsia="uk-UA" w:bidi="ar-SA"/>
        </w:rPr>
        <w:t>2</w:t>
      </w:r>
      <w:r>
        <w:rPr>
          <w:rFonts w:ascii="Times New Roman" w:hAnsi="Times New Roman" w:eastAsia="方正仿宋_GBK" w:cs="Times New Roman"/>
          <w:sz w:val="28"/>
          <w:szCs w:val="24"/>
          <w:lang w:val="en-US" w:eastAsia="uk-UA" w:bidi="ar-SA"/>
        </w:rPr>
        <w:t>年预算</w:t>
      </w:r>
      <w:r>
        <w:rPr>
          <w:rFonts w:hint="eastAsia" w:eastAsia="方正仿宋_GBK" w:cs="Times New Roman"/>
          <w:sz w:val="28"/>
          <w:szCs w:val="24"/>
          <w:lang w:val="en-US" w:eastAsia="zh-CN" w:bidi="ar-SA"/>
        </w:rPr>
        <w:t>减少3523.81</w:t>
      </w:r>
      <w:r>
        <w:rPr>
          <w:rFonts w:ascii="Times New Roman" w:hAnsi="Times New Roman" w:eastAsia="方正仿宋_GBK" w:cs="Times New Roman"/>
          <w:sz w:val="28"/>
          <w:szCs w:val="24"/>
          <w:lang w:val="en-US" w:eastAsia="uk-UA" w:bidi="ar-SA"/>
        </w:rPr>
        <w:t>万元，其中：基本支出</w:t>
      </w:r>
      <w:r>
        <w:rPr>
          <w:rFonts w:hint="eastAsia" w:ascii="Times New Roman" w:hAnsi="Times New Roman" w:eastAsia="方正仿宋_GBK" w:cs="Times New Roman"/>
          <w:sz w:val="28"/>
          <w:szCs w:val="24"/>
          <w:lang w:val="en-US" w:eastAsia="zh-CN" w:bidi="ar-SA"/>
        </w:rPr>
        <w:t>增加</w:t>
      </w:r>
      <w:r>
        <w:rPr>
          <w:rFonts w:hint="eastAsia" w:eastAsia="方正仿宋_GBK" w:cs="Times New Roman"/>
          <w:sz w:val="28"/>
          <w:szCs w:val="24"/>
          <w:lang w:val="en-US" w:eastAsia="zh-CN" w:bidi="ar-SA"/>
        </w:rPr>
        <w:t>113.34</w:t>
      </w:r>
      <w:r>
        <w:rPr>
          <w:rFonts w:ascii="Times New Roman" w:hAnsi="Times New Roman" w:eastAsia="方正仿宋_GBK" w:cs="Times New Roman"/>
          <w:sz w:val="28"/>
          <w:szCs w:val="24"/>
          <w:lang w:val="en-US" w:eastAsia="uk-UA" w:bidi="ar-SA"/>
        </w:rPr>
        <w:t>万元，主要为</w:t>
      </w:r>
      <w:r>
        <w:rPr>
          <w:rFonts w:hint="eastAsia" w:ascii="Times New Roman" w:hAnsi="Times New Roman" w:eastAsia="方正仿宋_GBK" w:cs="Times New Roman"/>
          <w:sz w:val="28"/>
          <w:szCs w:val="24"/>
          <w:lang w:val="en-US" w:eastAsia="zh-CN" w:bidi="ar-SA"/>
        </w:rPr>
        <w:t>人员经费</w:t>
      </w:r>
      <w:r>
        <w:rPr>
          <w:rFonts w:ascii="Times New Roman" w:hAnsi="Times New Roman" w:eastAsia="方正仿宋_GBK" w:cs="Times New Roman"/>
          <w:sz w:val="28"/>
          <w:szCs w:val="24"/>
          <w:lang w:val="en-US" w:eastAsia="uk-UA" w:bidi="ar-SA"/>
        </w:rPr>
        <w:t>支出；项目支出</w:t>
      </w:r>
      <w:r>
        <w:rPr>
          <w:rFonts w:hint="eastAsia" w:eastAsia="方正仿宋_GBK" w:cs="Times New Roman"/>
          <w:sz w:val="28"/>
          <w:szCs w:val="24"/>
          <w:lang w:val="en-US" w:eastAsia="zh-CN" w:bidi="ar-SA"/>
        </w:rPr>
        <w:t>较少3637.15</w:t>
      </w:r>
      <w:r>
        <w:rPr>
          <w:rFonts w:ascii="Times New Roman" w:hAnsi="Times New Roman" w:eastAsia="方正仿宋_GBK" w:cs="Times New Roman"/>
          <w:sz w:val="28"/>
          <w:szCs w:val="24"/>
          <w:lang w:val="en-US" w:eastAsia="uk-UA" w:bidi="ar-SA"/>
        </w:rPr>
        <w:t>万元，主要为</w:t>
      </w:r>
      <w:r>
        <w:rPr>
          <w:rFonts w:hint="eastAsia" w:eastAsia="方正仿宋_GBK" w:cs="Times New Roman"/>
          <w:sz w:val="28"/>
          <w:szCs w:val="24"/>
          <w:highlight w:val="none"/>
          <w:lang w:val="en-US" w:eastAsia="zh-CN" w:bidi="ar-SA"/>
        </w:rPr>
        <w:t>大额</w:t>
      </w:r>
      <w:r>
        <w:rPr>
          <w:rFonts w:ascii="Times New Roman" w:hAnsi="Times New Roman" w:eastAsia="方正仿宋_GBK" w:cs="Times New Roman"/>
          <w:sz w:val="28"/>
          <w:szCs w:val="24"/>
          <w:highlight w:val="none"/>
          <w:lang w:val="en-US" w:eastAsia="uk-UA" w:bidi="ar-SA"/>
        </w:rPr>
        <w:t>项目支出</w:t>
      </w:r>
      <w:r>
        <w:rPr>
          <w:rFonts w:hint="eastAsia" w:eastAsia="方正仿宋_GBK" w:cs="Times New Roman"/>
          <w:sz w:val="28"/>
          <w:szCs w:val="24"/>
          <w:highlight w:val="none"/>
          <w:lang w:val="en-US" w:eastAsia="zh-CN" w:bidi="ar-SA"/>
        </w:rPr>
        <w:t>减少</w:t>
      </w:r>
      <w:r>
        <w:rPr>
          <w:rFonts w:ascii="Times New Roman" w:hAnsi="Times New Roman" w:eastAsia="方正仿宋_GBK" w:cs="Times New Roman"/>
          <w:sz w:val="28"/>
          <w:szCs w:val="24"/>
          <w:lang w:val="en-US" w:eastAsia="uk-UA" w:bidi="ar-SA"/>
        </w:rPr>
        <w:t>。</w:t>
      </w:r>
    </w:p>
    <w:p w14:paraId="4312DE6B">
      <w:pPr>
        <w:pStyle w:val="11"/>
      </w:pPr>
    </w:p>
    <w:p w14:paraId="4A8B468F">
      <w:pPr>
        <w:spacing w:before="10" w:after="10" w:line="360" w:lineRule="auto"/>
        <w:ind w:firstLine="640"/>
        <w:outlineLvl w:val="2"/>
        <w:rPr>
          <w:sz w:val="32"/>
          <w:szCs w:val="32"/>
          <w:highlight w:val="none"/>
        </w:rPr>
      </w:pPr>
      <w:bookmarkStart w:id="2" w:name="_Toc_3_3_0000000012"/>
      <w:r>
        <w:rPr>
          <w:rFonts w:ascii="黑体" w:hAnsi="黑体" w:eastAsia="黑体" w:cs="黑体"/>
          <w:color w:val="000000"/>
          <w:sz w:val="32"/>
          <w:szCs w:val="32"/>
          <w:highlight w:val="none"/>
        </w:rPr>
        <w:t>三、机关运行经费安排情况</w:t>
      </w:r>
      <w:bookmarkEnd w:id="2"/>
    </w:p>
    <w:p w14:paraId="588E8EB9">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zh-CN" w:bidi="ar-SA"/>
        </w:rPr>
      </w:pPr>
      <w:r>
        <w:rPr>
          <w:rFonts w:hint="eastAsia" w:ascii="Times New Roman" w:hAnsi="Times New Roman" w:eastAsia="方正仿宋_GBK" w:cs="Times New Roman"/>
          <w:sz w:val="28"/>
          <w:szCs w:val="24"/>
          <w:lang w:val="en-US" w:eastAsia="zh-CN" w:bidi="ar-SA"/>
        </w:rPr>
        <w:t>202</w:t>
      </w:r>
      <w:r>
        <w:rPr>
          <w:rFonts w:hint="eastAsia" w:eastAsia="方正仿宋_GBK" w:cs="Times New Roman"/>
          <w:sz w:val="28"/>
          <w:szCs w:val="24"/>
          <w:lang w:val="en-US" w:eastAsia="zh-CN" w:bidi="ar-SA"/>
        </w:rPr>
        <w:t>3</w:t>
      </w:r>
      <w:r>
        <w:rPr>
          <w:rFonts w:hint="eastAsia" w:ascii="Times New Roman" w:hAnsi="Times New Roman" w:eastAsia="方正仿宋_GBK" w:cs="Times New Roman"/>
          <w:sz w:val="28"/>
          <w:szCs w:val="24"/>
          <w:lang w:val="en-US" w:eastAsia="zh-CN" w:bidi="ar-SA"/>
        </w:rPr>
        <w:t>年，我部门机关运行经费共计安排</w:t>
      </w:r>
      <w:r>
        <w:rPr>
          <w:rFonts w:hint="eastAsia" w:eastAsia="方正仿宋_GBK" w:cs="Times New Roman"/>
          <w:sz w:val="28"/>
          <w:szCs w:val="24"/>
          <w:lang w:val="en-US" w:eastAsia="zh-CN" w:bidi="ar-SA"/>
        </w:rPr>
        <w:t>74.84</w:t>
      </w:r>
      <w:r>
        <w:rPr>
          <w:rFonts w:hint="eastAsia" w:ascii="Times New Roman" w:hAnsi="Times New Roman" w:eastAsia="方正仿宋_GBK" w:cs="Times New Roman"/>
          <w:sz w:val="28"/>
          <w:szCs w:val="24"/>
          <w:lang w:val="en-US" w:eastAsia="zh-CN" w:bidi="ar-SA"/>
        </w:rPr>
        <w:t>万元，主要用于中共廊坊市委网络安全和信息化委员会办公室办公区的日常维修、办公用房水电费、办公用房取暖费、办公用房物业管理费等日常运行支出。</w:t>
      </w:r>
    </w:p>
    <w:p w14:paraId="2FB23C7C">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zh-CN" w:bidi="ar-SA"/>
        </w:rPr>
      </w:pPr>
    </w:p>
    <w:p w14:paraId="58D8CC15">
      <w:pPr>
        <w:spacing w:before="10" w:after="10" w:line="360" w:lineRule="auto"/>
        <w:ind w:firstLine="640"/>
        <w:outlineLvl w:val="2"/>
        <w:rPr>
          <w:sz w:val="32"/>
          <w:szCs w:val="32"/>
          <w:highlight w:val="none"/>
        </w:rPr>
      </w:pPr>
      <w:bookmarkStart w:id="3" w:name="_Toc_3_3_0000000013"/>
      <w:r>
        <w:rPr>
          <w:rFonts w:ascii="黑体" w:hAnsi="黑体" w:eastAsia="黑体" w:cs="黑体"/>
          <w:color w:val="000000"/>
          <w:sz w:val="32"/>
          <w:szCs w:val="32"/>
          <w:highlight w:val="none"/>
        </w:rPr>
        <w:t>四、财政拨款“三公”经费预算情况及增减变化原因</w:t>
      </w:r>
      <w:bookmarkEnd w:id="3"/>
    </w:p>
    <w:p w14:paraId="67A27012">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uk-UA" w:bidi="ar-SA"/>
        </w:rPr>
      </w:pPr>
      <w:r>
        <w:rPr>
          <w:rFonts w:hint="eastAsia" w:ascii="Times New Roman" w:hAnsi="Times New Roman" w:eastAsia="方正仿宋_GBK" w:cs="Times New Roman"/>
          <w:sz w:val="28"/>
          <w:szCs w:val="24"/>
          <w:lang w:val="en-US" w:eastAsia="uk-UA" w:bidi="ar-SA"/>
        </w:rPr>
        <w:t>202</w:t>
      </w:r>
      <w:r>
        <w:rPr>
          <w:rFonts w:hint="eastAsia" w:eastAsia="方正仿宋_GBK" w:cs="Times New Roman"/>
          <w:sz w:val="28"/>
          <w:szCs w:val="24"/>
          <w:lang w:val="en-US" w:eastAsia="zh-CN" w:bidi="ar-SA"/>
        </w:rPr>
        <w:t>3</w:t>
      </w:r>
      <w:r>
        <w:rPr>
          <w:rFonts w:hint="eastAsia" w:ascii="Times New Roman" w:hAnsi="Times New Roman" w:eastAsia="方正仿宋_GBK" w:cs="Times New Roman"/>
          <w:sz w:val="28"/>
          <w:szCs w:val="24"/>
          <w:lang w:val="en-US" w:eastAsia="uk-UA" w:bidi="ar-SA"/>
        </w:rPr>
        <w:t>年，我</w:t>
      </w:r>
      <w:r>
        <w:rPr>
          <w:rFonts w:hint="eastAsia" w:ascii="Times New Roman" w:hAnsi="Times New Roman" w:eastAsia="方正仿宋_GBK" w:cs="Times New Roman"/>
          <w:sz w:val="28"/>
          <w:szCs w:val="24"/>
          <w:lang w:val="en-US" w:eastAsia="zh-CN" w:bidi="ar-SA"/>
        </w:rPr>
        <w:t>部门</w:t>
      </w:r>
      <w:r>
        <w:rPr>
          <w:rFonts w:hint="eastAsia" w:ascii="Times New Roman" w:hAnsi="Times New Roman" w:eastAsia="方正仿宋_GBK" w:cs="Times New Roman"/>
          <w:sz w:val="28"/>
          <w:szCs w:val="24"/>
          <w:lang w:val="en-US" w:eastAsia="uk-UA" w:bidi="ar-SA"/>
        </w:rPr>
        <w:t>财政拨款“三公”经费预算安排</w:t>
      </w:r>
      <w:r>
        <w:rPr>
          <w:rFonts w:hint="eastAsia" w:ascii="Times New Roman" w:hAnsi="Times New Roman" w:eastAsia="方正仿宋_GBK" w:cs="Times New Roman"/>
          <w:sz w:val="28"/>
          <w:szCs w:val="24"/>
          <w:lang w:val="en-US" w:eastAsia="zh-CN" w:bidi="ar-SA"/>
        </w:rPr>
        <w:t>6.63</w:t>
      </w:r>
      <w:r>
        <w:rPr>
          <w:rFonts w:hint="eastAsia" w:ascii="Times New Roman" w:hAnsi="Times New Roman" w:eastAsia="方正仿宋_GBK" w:cs="Times New Roman"/>
          <w:sz w:val="28"/>
          <w:szCs w:val="24"/>
          <w:lang w:val="en-US" w:eastAsia="uk-UA" w:bidi="ar-SA"/>
        </w:rPr>
        <w:t>万元。其中，因公出国（境）费0万元；公务用车购置及运维费</w:t>
      </w:r>
      <w:r>
        <w:rPr>
          <w:rFonts w:hint="eastAsia" w:ascii="Times New Roman" w:hAnsi="Times New Roman" w:eastAsia="方正仿宋_GBK" w:cs="Times New Roman"/>
          <w:sz w:val="28"/>
          <w:szCs w:val="24"/>
          <w:lang w:val="en-US" w:eastAsia="zh-CN" w:bidi="ar-SA"/>
        </w:rPr>
        <w:t>6.20</w:t>
      </w:r>
      <w:r>
        <w:rPr>
          <w:rFonts w:hint="eastAsia" w:ascii="Times New Roman" w:hAnsi="Times New Roman" w:eastAsia="方正仿宋_GBK" w:cs="Times New Roman"/>
          <w:sz w:val="28"/>
          <w:szCs w:val="24"/>
          <w:lang w:val="en-US" w:eastAsia="uk-UA" w:bidi="ar-SA"/>
        </w:rPr>
        <w:t>万元（其中：公务用车购置费为0万元，公务用车运维费</w:t>
      </w:r>
      <w:r>
        <w:rPr>
          <w:rFonts w:hint="eastAsia" w:ascii="Times New Roman" w:hAnsi="Times New Roman" w:eastAsia="方正仿宋_GBK" w:cs="Times New Roman"/>
          <w:sz w:val="28"/>
          <w:szCs w:val="24"/>
          <w:lang w:val="en-US" w:eastAsia="zh-CN" w:bidi="ar-SA"/>
        </w:rPr>
        <w:t>6.20</w:t>
      </w:r>
      <w:r>
        <w:rPr>
          <w:rFonts w:hint="eastAsia" w:ascii="Times New Roman" w:hAnsi="Times New Roman" w:eastAsia="方正仿宋_GBK" w:cs="Times New Roman"/>
          <w:sz w:val="28"/>
          <w:szCs w:val="24"/>
          <w:lang w:val="en-US" w:eastAsia="uk-UA" w:bidi="ar-SA"/>
        </w:rPr>
        <w:t>万元)；公务接待费0.4</w:t>
      </w:r>
      <w:r>
        <w:rPr>
          <w:rFonts w:hint="eastAsia" w:ascii="Times New Roman" w:hAnsi="Times New Roman" w:eastAsia="方正仿宋_GBK" w:cs="Times New Roman"/>
          <w:sz w:val="28"/>
          <w:szCs w:val="24"/>
          <w:lang w:val="en-US" w:eastAsia="zh-CN" w:bidi="ar-SA"/>
        </w:rPr>
        <w:t>3</w:t>
      </w:r>
      <w:r>
        <w:rPr>
          <w:rFonts w:hint="eastAsia" w:ascii="Times New Roman" w:hAnsi="Times New Roman" w:eastAsia="方正仿宋_GBK" w:cs="Times New Roman"/>
          <w:sz w:val="28"/>
          <w:szCs w:val="24"/>
          <w:lang w:val="en-US" w:eastAsia="uk-UA" w:bidi="ar-SA"/>
        </w:rPr>
        <w:t>万元。与202</w:t>
      </w:r>
      <w:r>
        <w:rPr>
          <w:rFonts w:hint="eastAsia" w:eastAsia="方正仿宋_GBK" w:cs="Times New Roman"/>
          <w:sz w:val="28"/>
          <w:szCs w:val="24"/>
          <w:lang w:val="en-US" w:eastAsia="zh-CN" w:bidi="ar-SA"/>
        </w:rPr>
        <w:t>2</w:t>
      </w:r>
      <w:r>
        <w:rPr>
          <w:rFonts w:hint="eastAsia" w:ascii="Times New Roman" w:hAnsi="Times New Roman" w:eastAsia="方正仿宋_GBK" w:cs="Times New Roman"/>
          <w:sz w:val="28"/>
          <w:szCs w:val="24"/>
          <w:lang w:val="en-US" w:eastAsia="uk-UA" w:bidi="ar-SA"/>
        </w:rPr>
        <w:t>年相比持平。</w:t>
      </w:r>
      <w:bookmarkStart w:id="4" w:name="_Toc_3_3_0000000014"/>
    </w:p>
    <w:p w14:paraId="6B4FA327">
      <w:pPr>
        <w:pStyle w:val="2"/>
      </w:pPr>
    </w:p>
    <w:p w14:paraId="05670849">
      <w:pPr>
        <w:spacing w:before="10" w:after="10" w:line="360" w:lineRule="auto"/>
        <w:ind w:firstLine="640"/>
        <w:outlineLvl w:val="2"/>
        <w:rPr>
          <w:sz w:val="32"/>
          <w:szCs w:val="32"/>
        </w:rPr>
      </w:pPr>
      <w:r>
        <w:rPr>
          <w:rFonts w:ascii="黑体" w:hAnsi="黑体" w:eastAsia="黑体" w:cs="黑体"/>
          <w:color w:val="000000"/>
          <w:sz w:val="32"/>
          <w:szCs w:val="32"/>
        </w:rPr>
        <w:t>五、预算绩效信息</w:t>
      </w:r>
      <w:bookmarkEnd w:id="4"/>
    </w:p>
    <w:p w14:paraId="35468C19">
      <w:pPr>
        <w:spacing w:before="10" w:after="10" w:line="360" w:lineRule="auto"/>
        <w:ind w:firstLine="640"/>
        <w:outlineLvl w:val="2"/>
        <w:rPr>
          <w:rFonts w:ascii="黑体" w:hAnsi="黑体" w:eastAsia="黑体" w:cs="黑体"/>
          <w:color w:val="000000"/>
          <w:sz w:val="32"/>
          <w:szCs w:val="32"/>
        </w:rPr>
      </w:pPr>
      <w:r>
        <w:rPr>
          <w:rFonts w:ascii="黑体" w:hAnsi="黑体" w:eastAsia="黑体" w:cs="黑体"/>
          <w:color w:val="000000"/>
          <w:sz w:val="32"/>
          <w:szCs w:val="32"/>
        </w:rPr>
        <w:t>第一部分 部门整体绩效目标</w:t>
      </w:r>
    </w:p>
    <w:p w14:paraId="3846480C">
      <w:pPr>
        <w:spacing w:before="10" w:after="10" w:line="360" w:lineRule="auto"/>
        <w:ind w:firstLine="640"/>
        <w:outlineLvl w:val="2"/>
        <w:rPr>
          <w:rFonts w:ascii="黑体" w:hAnsi="黑体" w:eastAsia="黑体" w:cs="黑体"/>
          <w:color w:val="000000"/>
          <w:sz w:val="32"/>
          <w:szCs w:val="32"/>
        </w:rPr>
      </w:pPr>
      <w:r>
        <w:rPr>
          <w:rFonts w:hint="eastAsia" w:ascii="黑体" w:hAnsi="黑体" w:eastAsia="黑体" w:cs="黑体"/>
          <w:color w:val="000000"/>
          <w:sz w:val="32"/>
          <w:szCs w:val="32"/>
          <w:lang w:eastAsia="zh-CN"/>
        </w:rPr>
        <w:t>一、</w:t>
      </w:r>
      <w:r>
        <w:rPr>
          <w:rFonts w:ascii="黑体" w:hAnsi="黑体" w:eastAsia="黑体" w:cs="黑体"/>
          <w:color w:val="000000"/>
          <w:sz w:val="32"/>
          <w:szCs w:val="32"/>
        </w:rPr>
        <w:t>总体绩效目标</w:t>
      </w:r>
    </w:p>
    <w:p w14:paraId="3BA5DDE8">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zh-CN" w:bidi="ar-SA"/>
        </w:rPr>
      </w:pPr>
      <w:r>
        <w:rPr>
          <w:rFonts w:hint="eastAsia" w:ascii="Times New Roman" w:hAnsi="Times New Roman" w:eastAsia="方正仿宋_GBK" w:cs="Times New Roman"/>
          <w:sz w:val="28"/>
          <w:szCs w:val="24"/>
          <w:lang w:val="en-US" w:eastAsia="zh-CN" w:bidi="ar-SA"/>
        </w:rPr>
        <w:t>持续深入学习贯彻习近平总书记关于网络强国的重要思想，大力推进网络综合治理体系建设，加强网络宣传，积极组织开展网络宣传活动，实现我市网络环境持续向好，推动公务网络和信息资源服务规范化建设，提供强有力的信息化支撑，为全市经济社会高质量发展做出新的更大贡献。</w:t>
      </w:r>
    </w:p>
    <w:p w14:paraId="48633566">
      <w:pPr>
        <w:keepNext w:val="0"/>
        <w:keepLines w:val="0"/>
        <w:pageBreakBefore w:val="0"/>
        <w:widowControl/>
        <w:kinsoku/>
        <w:wordWrap/>
        <w:overflowPunct/>
        <w:topLinePunct w:val="0"/>
        <w:bidi w:val="0"/>
        <w:snapToGrid/>
        <w:spacing w:line="572" w:lineRule="exact"/>
        <w:ind w:firstLine="640"/>
        <w:textAlignment w:val="auto"/>
        <w:rPr>
          <w:rFonts w:hint="eastAsia" w:ascii="Times New Roman" w:hAnsi="Times New Roman" w:eastAsia="方正仿宋_GBK" w:cs="Times New Roman"/>
          <w:sz w:val="28"/>
          <w:szCs w:val="24"/>
          <w:lang w:val="en-US" w:eastAsia="zh-CN" w:bidi="ar-SA"/>
        </w:rPr>
      </w:pPr>
    </w:p>
    <w:p w14:paraId="1C90D282">
      <w:pPr>
        <w:spacing w:before="10" w:after="10" w:line="360" w:lineRule="auto"/>
        <w:ind w:firstLine="640"/>
        <w:outlineLvl w:val="2"/>
        <w:rPr>
          <w:rFonts w:ascii="黑体" w:hAnsi="黑体" w:eastAsia="黑体" w:cs="黑体"/>
          <w:color w:val="000000"/>
          <w:sz w:val="32"/>
          <w:szCs w:val="32"/>
        </w:rPr>
      </w:pPr>
      <w:r>
        <w:rPr>
          <w:rFonts w:hint="eastAsia" w:ascii="黑体" w:hAnsi="黑体" w:eastAsia="黑体" w:cs="黑体"/>
          <w:color w:val="000000"/>
          <w:sz w:val="32"/>
          <w:szCs w:val="32"/>
          <w:lang w:eastAsia="zh-CN"/>
        </w:rPr>
        <w:t>二、</w:t>
      </w:r>
      <w:r>
        <w:rPr>
          <w:rFonts w:ascii="黑体" w:hAnsi="黑体" w:eastAsia="黑体" w:cs="黑体"/>
          <w:color w:val="000000"/>
          <w:sz w:val="32"/>
          <w:szCs w:val="32"/>
        </w:rPr>
        <w:t>分项绩效目标</w:t>
      </w:r>
    </w:p>
    <w:p w14:paraId="5C81AF63">
      <w:pPr>
        <w:overflowPunct w:val="0"/>
        <w:adjustRightInd w:val="0"/>
        <w:snapToGrid w:val="0"/>
        <w:spacing w:line="584" w:lineRule="exact"/>
        <w:ind w:firstLine="643" w:firstLineChars="200"/>
        <w:rPr>
          <w:rFonts w:hint="eastAsia" w:ascii="CESI楷体-GB2312" w:hAnsi="CESI楷体-GB2312" w:eastAsia="CESI楷体-GB2312" w:cs="CESI楷体-GB2312"/>
          <w:b/>
          <w:bCs/>
          <w:sz w:val="32"/>
          <w:szCs w:val="32"/>
          <w:lang w:val="en-US" w:eastAsia="zh-CN" w:bidi="ar-SA"/>
        </w:rPr>
      </w:pPr>
      <w:r>
        <w:rPr>
          <w:rFonts w:hint="eastAsia" w:ascii="CESI楷体-GB2312" w:hAnsi="CESI楷体-GB2312" w:eastAsia="CESI楷体-GB2312" w:cs="CESI楷体-GB2312"/>
          <w:b/>
          <w:bCs/>
          <w:sz w:val="32"/>
          <w:szCs w:val="32"/>
          <w:lang w:val="en-US" w:eastAsia="uk-UA" w:bidi="ar-SA"/>
        </w:rPr>
        <w:t>（</w:t>
      </w:r>
      <w:r>
        <w:rPr>
          <w:rFonts w:hint="eastAsia" w:ascii="CESI楷体-GB2312" w:hAnsi="CESI楷体-GB2312" w:eastAsia="CESI楷体-GB2312" w:cs="CESI楷体-GB2312"/>
          <w:b/>
          <w:bCs/>
          <w:sz w:val="32"/>
          <w:szCs w:val="32"/>
          <w:lang w:val="en-US" w:eastAsia="zh-CN" w:bidi="ar-SA"/>
        </w:rPr>
        <w:t>一</w:t>
      </w:r>
      <w:r>
        <w:rPr>
          <w:rFonts w:hint="eastAsia" w:ascii="CESI楷体-GB2312" w:hAnsi="CESI楷体-GB2312" w:eastAsia="CESI楷体-GB2312" w:cs="CESI楷体-GB2312"/>
          <w:b/>
          <w:bCs/>
          <w:sz w:val="32"/>
          <w:szCs w:val="32"/>
          <w:lang w:val="en-US" w:eastAsia="uk-UA" w:bidi="ar-SA"/>
        </w:rPr>
        <w:t>）</w:t>
      </w:r>
      <w:r>
        <w:rPr>
          <w:rFonts w:hint="eastAsia" w:ascii="CESI楷体-GB2312" w:hAnsi="CESI楷体-GB2312" w:eastAsia="CESI楷体-GB2312" w:cs="CESI楷体-GB2312"/>
          <w:b/>
          <w:bCs/>
          <w:sz w:val="32"/>
          <w:szCs w:val="32"/>
          <w:lang w:val="en-US" w:eastAsia="zh-CN" w:bidi="ar-SA"/>
        </w:rPr>
        <w:t>加强互联网宣传管理和舆论引导</w:t>
      </w:r>
    </w:p>
    <w:p w14:paraId="0824DA31">
      <w:pPr>
        <w:overflowPunct w:val="0"/>
        <w:adjustRightInd w:val="0"/>
        <w:snapToGrid w:val="0"/>
        <w:spacing w:line="584" w:lineRule="exact"/>
        <w:ind w:firstLine="560" w:firstLineChars="200"/>
      </w:pPr>
      <w:r>
        <w:rPr>
          <w:rFonts w:ascii="Times New Roman" w:hAnsi="Times New Roman" w:eastAsia="方正仿宋_GBK" w:cs="Times New Roman"/>
          <w:b/>
          <w:bCs/>
          <w:sz w:val="28"/>
          <w:szCs w:val="24"/>
          <w:lang w:val="en-US" w:eastAsia="uk-UA" w:bidi="ar-SA"/>
        </w:rPr>
        <w:t>绩效目标</w:t>
      </w:r>
      <w:r>
        <w:rPr>
          <w:rFonts w:ascii="Times New Roman" w:hAnsi="Times New Roman" w:eastAsia="方正仿宋_GBK" w:cs="Times New Roman"/>
          <w:sz w:val="28"/>
          <w:szCs w:val="24"/>
          <w:lang w:val="en-US" w:eastAsia="uk-UA" w:bidi="ar-SA"/>
        </w:rPr>
        <w:t>：通过</w:t>
      </w:r>
      <w:r>
        <w:rPr>
          <w:rFonts w:hint="eastAsia" w:ascii="Times New Roman" w:hAnsi="Times New Roman" w:eastAsia="方正仿宋_GBK" w:cs="Times New Roman"/>
          <w:sz w:val="28"/>
          <w:szCs w:val="24"/>
          <w:lang w:val="en-US" w:eastAsia="zh-CN" w:bidi="ar-SA"/>
        </w:rPr>
        <w:t>刊发制作</w:t>
      </w:r>
      <w:r>
        <w:rPr>
          <w:rFonts w:ascii="Times New Roman" w:hAnsi="Times New Roman" w:eastAsia="方正仿宋_GBK" w:cs="Times New Roman"/>
          <w:sz w:val="28"/>
          <w:szCs w:val="24"/>
          <w:lang w:val="en-US" w:eastAsia="uk-UA" w:bidi="ar-SA"/>
        </w:rPr>
        <w:t>网络新闻稿件、新媒体传播精品，组织开展重大主题宣传活动，推动</w:t>
      </w:r>
      <w:r>
        <w:rPr>
          <w:rFonts w:hint="eastAsia" w:ascii="Times New Roman" w:hAnsi="Times New Roman" w:eastAsia="方正仿宋_GBK" w:cs="Times New Roman"/>
          <w:sz w:val="28"/>
          <w:szCs w:val="24"/>
          <w:lang w:val="en-US" w:eastAsia="zh-CN" w:bidi="ar-SA"/>
        </w:rPr>
        <w:t>网络志愿者建设</w:t>
      </w:r>
      <w:r>
        <w:rPr>
          <w:rFonts w:ascii="Times New Roman" w:hAnsi="Times New Roman" w:eastAsia="方正仿宋_GBK" w:cs="Times New Roman"/>
          <w:sz w:val="28"/>
          <w:szCs w:val="24"/>
          <w:lang w:val="en-US" w:eastAsia="uk-UA" w:bidi="ar-SA"/>
        </w:rPr>
        <w:t>等工作，加强网上</w:t>
      </w:r>
      <w:r>
        <w:rPr>
          <w:rFonts w:hint="eastAsia" w:ascii="Times New Roman" w:hAnsi="Times New Roman" w:eastAsia="方正仿宋_GBK" w:cs="Times New Roman"/>
          <w:sz w:val="28"/>
          <w:szCs w:val="24"/>
          <w:lang w:val="en-US" w:eastAsia="zh-CN" w:bidi="ar-SA"/>
        </w:rPr>
        <w:t>宣传</w:t>
      </w:r>
      <w:r>
        <w:rPr>
          <w:rFonts w:ascii="Times New Roman" w:hAnsi="Times New Roman" w:eastAsia="方正仿宋_GBK" w:cs="Times New Roman"/>
          <w:sz w:val="28"/>
          <w:szCs w:val="24"/>
          <w:lang w:val="en-US" w:eastAsia="uk-UA" w:bidi="ar-SA"/>
        </w:rPr>
        <w:t>，营造良好网络舆论氛围，发展健康向上网络文化。</w:t>
      </w:r>
    </w:p>
    <w:p w14:paraId="27E9A568">
      <w:pPr>
        <w:overflowPunct w:val="0"/>
        <w:adjustRightInd w:val="0"/>
        <w:snapToGrid w:val="0"/>
        <w:spacing w:line="584" w:lineRule="exact"/>
        <w:ind w:firstLine="560" w:firstLineChars="200"/>
        <w:rPr>
          <w:rFonts w:hint="eastAsia" w:ascii="Times New Roman" w:hAnsi="Times New Roman" w:eastAsia="方正仿宋_GBK" w:cs="Times New Roman"/>
          <w:sz w:val="28"/>
          <w:szCs w:val="24"/>
          <w:lang w:val="en-US" w:eastAsia="zh-CN" w:bidi="ar-SA"/>
        </w:rPr>
      </w:pPr>
      <w:r>
        <w:rPr>
          <w:rFonts w:ascii="Times New Roman" w:hAnsi="Times New Roman" w:eastAsia="方正仿宋_GBK" w:cs="Times New Roman"/>
          <w:b/>
          <w:bCs/>
          <w:sz w:val="28"/>
          <w:szCs w:val="24"/>
          <w:lang w:val="en-US" w:eastAsia="uk-UA" w:bidi="ar-SA"/>
        </w:rPr>
        <w:t>绩效指标</w:t>
      </w:r>
      <w:r>
        <w:rPr>
          <w:rFonts w:ascii="Times New Roman" w:hAnsi="Times New Roman" w:eastAsia="方正仿宋_GBK" w:cs="Times New Roman"/>
          <w:sz w:val="28"/>
          <w:szCs w:val="24"/>
          <w:lang w:val="en-US" w:eastAsia="uk-UA" w:bidi="ar-SA"/>
        </w:rPr>
        <w:t>：</w:t>
      </w:r>
      <w:r>
        <w:rPr>
          <w:rFonts w:hint="eastAsia" w:ascii="Times New Roman" w:hAnsi="Times New Roman" w:eastAsia="方正仿宋_GBK" w:cs="Times New Roman"/>
          <w:sz w:val="28"/>
          <w:szCs w:val="24"/>
          <w:lang w:val="en-US" w:eastAsia="zh-CN" w:bidi="ar-SA"/>
        </w:rPr>
        <w:t>网上</w:t>
      </w:r>
      <w:r>
        <w:rPr>
          <w:rFonts w:ascii="Times New Roman" w:hAnsi="Times New Roman" w:eastAsia="方正仿宋_GBK" w:cs="Times New Roman"/>
          <w:sz w:val="28"/>
          <w:szCs w:val="24"/>
          <w:lang w:val="en-US" w:eastAsia="uk-UA" w:bidi="ar-SA"/>
        </w:rPr>
        <w:t>发稿</w:t>
      </w:r>
      <w:r>
        <w:rPr>
          <w:rFonts w:hint="eastAsia" w:ascii="Times New Roman" w:hAnsi="Times New Roman" w:eastAsia="方正仿宋_GBK" w:cs="Times New Roman"/>
          <w:sz w:val="28"/>
          <w:szCs w:val="24"/>
          <w:lang w:val="en-US" w:eastAsia="zh-CN" w:bidi="ar-SA"/>
        </w:rPr>
        <w:t>量≥400篇，制作网络传播产品数量≥85个。</w:t>
      </w:r>
    </w:p>
    <w:p w14:paraId="69C772EB">
      <w:pPr>
        <w:overflowPunct w:val="0"/>
        <w:adjustRightInd w:val="0"/>
        <w:snapToGrid w:val="0"/>
        <w:spacing w:line="584" w:lineRule="exact"/>
        <w:ind w:firstLine="643" w:firstLineChars="200"/>
        <w:rPr>
          <w:rFonts w:hint="eastAsia" w:ascii="CESI楷体-GB2312" w:hAnsi="CESI楷体-GB2312" w:eastAsia="CESI楷体-GB2312" w:cs="CESI楷体-GB2312"/>
          <w:b/>
          <w:bCs/>
          <w:sz w:val="32"/>
          <w:szCs w:val="32"/>
          <w:lang w:val="en-US" w:eastAsia="uk-UA" w:bidi="ar-SA"/>
        </w:rPr>
      </w:pPr>
      <w:r>
        <w:rPr>
          <w:rFonts w:hint="eastAsia" w:ascii="CESI楷体-GB2312" w:hAnsi="CESI楷体-GB2312" w:eastAsia="CESI楷体-GB2312" w:cs="CESI楷体-GB2312"/>
          <w:b/>
          <w:bCs/>
          <w:sz w:val="32"/>
          <w:szCs w:val="32"/>
          <w:lang w:val="en-US" w:eastAsia="uk-UA" w:bidi="ar-SA"/>
        </w:rPr>
        <w:t>（</w:t>
      </w:r>
      <w:r>
        <w:rPr>
          <w:rFonts w:hint="eastAsia" w:ascii="CESI楷体-GB2312" w:hAnsi="CESI楷体-GB2312" w:eastAsia="CESI楷体-GB2312" w:cs="CESI楷体-GB2312"/>
          <w:b/>
          <w:bCs/>
          <w:sz w:val="32"/>
          <w:szCs w:val="32"/>
          <w:lang w:val="en-US" w:eastAsia="zh-CN" w:bidi="ar-SA"/>
        </w:rPr>
        <w:t>二</w:t>
      </w:r>
      <w:r>
        <w:rPr>
          <w:rFonts w:hint="eastAsia" w:ascii="CESI楷体-GB2312" w:hAnsi="CESI楷体-GB2312" w:eastAsia="CESI楷体-GB2312" w:cs="CESI楷体-GB2312"/>
          <w:b/>
          <w:bCs/>
          <w:sz w:val="32"/>
          <w:szCs w:val="32"/>
          <w:lang w:val="en-US" w:eastAsia="uk-UA" w:bidi="ar-SA"/>
        </w:rPr>
        <w:t>）</w:t>
      </w:r>
      <w:r>
        <w:rPr>
          <w:rFonts w:hint="eastAsia" w:ascii="CESI楷体-GB2312" w:hAnsi="CESI楷体-GB2312" w:eastAsia="CESI楷体-GB2312" w:cs="CESI楷体-GB2312"/>
          <w:b/>
          <w:bCs/>
          <w:sz w:val="32"/>
          <w:szCs w:val="32"/>
          <w:lang w:val="en-US" w:eastAsia="zh-CN" w:bidi="ar-SA"/>
        </w:rPr>
        <w:t>保障</w:t>
      </w:r>
      <w:r>
        <w:rPr>
          <w:rFonts w:hint="eastAsia" w:ascii="CESI楷体-GB2312" w:hAnsi="CESI楷体-GB2312" w:eastAsia="CESI楷体-GB2312" w:cs="CESI楷体-GB2312"/>
          <w:b/>
          <w:bCs/>
          <w:sz w:val="32"/>
          <w:szCs w:val="32"/>
          <w:lang w:val="en-US" w:eastAsia="uk-UA" w:bidi="ar-SA"/>
        </w:rPr>
        <w:t>公务网络</w:t>
      </w:r>
      <w:r>
        <w:rPr>
          <w:rFonts w:hint="eastAsia" w:ascii="CESI楷体-GB2312" w:hAnsi="CESI楷体-GB2312" w:eastAsia="CESI楷体-GB2312" w:cs="CESI楷体-GB2312"/>
          <w:b/>
          <w:bCs/>
          <w:sz w:val="32"/>
          <w:szCs w:val="32"/>
          <w:lang w:val="en-US" w:eastAsia="zh-CN" w:bidi="ar-SA"/>
        </w:rPr>
        <w:t>和信息资源</w:t>
      </w:r>
      <w:r>
        <w:rPr>
          <w:rFonts w:hint="eastAsia" w:ascii="CESI楷体-GB2312" w:hAnsi="CESI楷体-GB2312" w:eastAsia="CESI楷体-GB2312" w:cs="CESI楷体-GB2312"/>
          <w:b/>
          <w:bCs/>
          <w:sz w:val="32"/>
          <w:szCs w:val="32"/>
          <w:lang w:val="en-US" w:eastAsia="uk-UA" w:bidi="ar-SA"/>
        </w:rPr>
        <w:t>机房</w:t>
      </w:r>
      <w:r>
        <w:rPr>
          <w:rFonts w:hint="eastAsia" w:ascii="CESI楷体-GB2312" w:hAnsi="CESI楷体-GB2312" w:eastAsia="CESI楷体-GB2312" w:cs="CESI楷体-GB2312"/>
          <w:b/>
          <w:bCs/>
          <w:sz w:val="32"/>
          <w:szCs w:val="32"/>
          <w:lang w:val="en-US" w:eastAsia="zh-CN" w:bidi="ar-SA"/>
        </w:rPr>
        <w:t>安全</w:t>
      </w:r>
      <w:r>
        <w:rPr>
          <w:rFonts w:hint="eastAsia" w:ascii="CESI楷体-GB2312" w:hAnsi="CESI楷体-GB2312" w:eastAsia="CESI楷体-GB2312" w:cs="CESI楷体-GB2312"/>
          <w:b/>
          <w:bCs/>
          <w:sz w:val="32"/>
          <w:szCs w:val="32"/>
          <w:lang w:val="en-US" w:eastAsia="uk-UA" w:bidi="ar-SA"/>
        </w:rPr>
        <w:t>运行</w:t>
      </w:r>
    </w:p>
    <w:p w14:paraId="27EF2490">
      <w:pPr>
        <w:overflowPunct w:val="0"/>
        <w:adjustRightInd w:val="0"/>
        <w:snapToGrid w:val="0"/>
        <w:spacing w:line="584" w:lineRule="exact"/>
        <w:ind w:firstLine="560" w:firstLineChars="200"/>
        <w:rPr>
          <w:rFonts w:hint="default" w:ascii="Times New Roman" w:hAnsi="Times New Roman" w:eastAsia="方正仿宋_GBK" w:cs="Times New Roman"/>
          <w:sz w:val="28"/>
          <w:szCs w:val="24"/>
          <w:lang w:val="en-US" w:eastAsia="zh-CN" w:bidi="ar-SA"/>
        </w:rPr>
      </w:pPr>
      <w:r>
        <w:rPr>
          <w:rFonts w:ascii="Times New Roman" w:hAnsi="Times New Roman" w:eastAsia="方正仿宋_GBK" w:cs="Times New Roman"/>
          <w:b/>
          <w:bCs/>
          <w:sz w:val="28"/>
          <w:szCs w:val="24"/>
          <w:lang w:val="en-US" w:eastAsia="uk-UA" w:bidi="ar-SA"/>
        </w:rPr>
        <w:t>绩效目标</w:t>
      </w:r>
      <w:r>
        <w:rPr>
          <w:rFonts w:ascii="Times New Roman" w:hAnsi="Times New Roman" w:eastAsia="方正仿宋_GBK" w:cs="Times New Roman"/>
          <w:sz w:val="28"/>
          <w:szCs w:val="24"/>
          <w:lang w:val="en-US" w:eastAsia="uk-UA" w:bidi="ar-SA"/>
        </w:rPr>
        <w:t>：开展政务数据中心、网络维护中心和安全管理中心的建设、管理和维护工作，进行全市公务网络平台、基础数据、基础网络的建设和日常管理、运行维护工作，利用公务网络平台、技术和手段，改进政府收集、使用、发布信息的方式和方法，最大限度地增加政府信息资源的可用性，进而提高政府工作的效率和效能。</w:t>
      </w:r>
    </w:p>
    <w:p w14:paraId="43D46F2E">
      <w:pPr>
        <w:overflowPunct w:val="0"/>
        <w:adjustRightInd w:val="0"/>
        <w:snapToGrid w:val="0"/>
        <w:spacing w:line="584" w:lineRule="exact"/>
        <w:ind w:firstLine="560" w:firstLineChars="200"/>
        <w:rPr>
          <w:rFonts w:ascii="Times New Roman" w:hAnsi="Times New Roman" w:eastAsia="方正仿宋_GBK" w:cs="Times New Roman"/>
          <w:sz w:val="28"/>
          <w:szCs w:val="24"/>
          <w:lang w:val="en-US" w:eastAsia="uk-UA" w:bidi="ar-SA"/>
        </w:rPr>
      </w:pPr>
      <w:r>
        <w:rPr>
          <w:rFonts w:ascii="Times New Roman" w:hAnsi="Times New Roman" w:eastAsia="方正仿宋_GBK" w:cs="Times New Roman"/>
          <w:b/>
          <w:bCs/>
          <w:sz w:val="28"/>
          <w:szCs w:val="24"/>
          <w:lang w:val="en-US" w:eastAsia="uk-UA" w:bidi="ar-SA"/>
        </w:rPr>
        <w:t>绩效指标</w:t>
      </w:r>
      <w:r>
        <w:rPr>
          <w:rFonts w:ascii="Times New Roman" w:hAnsi="Times New Roman" w:eastAsia="方正仿宋_GBK" w:cs="Times New Roman"/>
          <w:sz w:val="28"/>
          <w:szCs w:val="24"/>
          <w:lang w:val="en-US" w:eastAsia="uk-UA" w:bidi="ar-SA"/>
        </w:rPr>
        <w:t>：公务网络使用单位满意度≥90%，</w:t>
      </w:r>
      <w:r>
        <w:rPr>
          <w:rFonts w:hint="eastAsia" w:ascii="Times New Roman" w:hAnsi="Times New Roman" w:eastAsia="方正仿宋_GBK" w:cs="Times New Roman"/>
          <w:sz w:val="28"/>
          <w:szCs w:val="24"/>
          <w:lang w:val="en-US" w:eastAsia="zh-CN" w:bidi="ar-SA"/>
        </w:rPr>
        <w:t>政务外网服务中断率≦2%</w:t>
      </w:r>
      <w:r>
        <w:rPr>
          <w:rFonts w:ascii="Times New Roman" w:hAnsi="Times New Roman" w:eastAsia="方正仿宋_GBK" w:cs="Times New Roman"/>
          <w:sz w:val="28"/>
          <w:szCs w:val="24"/>
          <w:lang w:val="en-US" w:eastAsia="uk-UA" w:bidi="ar-SA"/>
        </w:rPr>
        <w:t>。</w:t>
      </w:r>
    </w:p>
    <w:p w14:paraId="24E9FF97">
      <w:pPr>
        <w:overflowPunct w:val="0"/>
        <w:adjustRightInd w:val="0"/>
        <w:snapToGrid w:val="0"/>
        <w:spacing w:line="584" w:lineRule="exact"/>
        <w:ind w:firstLine="643" w:firstLineChars="200"/>
        <w:rPr>
          <w:rFonts w:hint="eastAsia" w:ascii="CESI楷体-GB2312" w:hAnsi="CESI楷体-GB2312" w:eastAsia="CESI楷体-GB2312" w:cs="CESI楷体-GB2312"/>
          <w:b/>
          <w:bCs/>
          <w:sz w:val="32"/>
          <w:szCs w:val="32"/>
          <w:lang w:val="en-US" w:eastAsia="zh-CN" w:bidi="ar-SA"/>
        </w:rPr>
      </w:pPr>
      <w:r>
        <w:rPr>
          <w:rFonts w:hint="eastAsia" w:ascii="CESI楷体-GB2312" w:hAnsi="CESI楷体-GB2312" w:eastAsia="CESI楷体-GB2312" w:cs="CESI楷体-GB2312"/>
          <w:b/>
          <w:bCs/>
          <w:sz w:val="32"/>
          <w:szCs w:val="32"/>
          <w:lang w:val="en-US" w:eastAsia="uk-UA" w:bidi="ar-SA"/>
        </w:rPr>
        <w:t>（</w:t>
      </w:r>
      <w:r>
        <w:rPr>
          <w:rFonts w:hint="eastAsia" w:ascii="CESI楷体-GB2312" w:hAnsi="CESI楷体-GB2312" w:eastAsia="CESI楷体-GB2312" w:cs="CESI楷体-GB2312"/>
          <w:b/>
          <w:bCs/>
          <w:sz w:val="32"/>
          <w:szCs w:val="32"/>
          <w:lang w:val="en-US" w:eastAsia="zh-CN" w:bidi="ar-SA"/>
        </w:rPr>
        <w:t>三）发挥信息化推动经济社会发展积极作用</w:t>
      </w:r>
    </w:p>
    <w:p w14:paraId="72504970">
      <w:pPr>
        <w:overflowPunct w:val="0"/>
        <w:adjustRightInd w:val="0"/>
        <w:snapToGrid w:val="0"/>
        <w:spacing w:line="584" w:lineRule="exact"/>
        <w:ind w:firstLine="560" w:firstLineChars="200"/>
        <w:rPr>
          <w:rFonts w:ascii="Times New Roman" w:hAnsi="Times New Roman" w:eastAsia="方正仿宋_GBK" w:cs="Times New Roman"/>
          <w:sz w:val="28"/>
          <w:szCs w:val="24"/>
          <w:lang w:val="en-US" w:eastAsia="uk-UA" w:bidi="ar-SA"/>
        </w:rPr>
      </w:pPr>
      <w:r>
        <w:rPr>
          <w:rFonts w:ascii="Times New Roman" w:hAnsi="Times New Roman" w:eastAsia="方正仿宋_GBK" w:cs="Times New Roman"/>
          <w:b/>
          <w:bCs/>
          <w:sz w:val="28"/>
          <w:szCs w:val="24"/>
          <w:lang w:val="en-US" w:eastAsia="uk-UA" w:bidi="ar-SA"/>
        </w:rPr>
        <w:t>绩效目标</w:t>
      </w:r>
      <w:r>
        <w:rPr>
          <w:rFonts w:ascii="Times New Roman" w:hAnsi="Times New Roman" w:eastAsia="方正仿宋_GBK" w:cs="Times New Roman"/>
          <w:sz w:val="28"/>
          <w:szCs w:val="24"/>
          <w:lang w:val="en-US" w:eastAsia="uk-UA" w:bidi="ar-SA"/>
        </w:rPr>
        <w:t>：</w:t>
      </w:r>
      <w:r>
        <w:rPr>
          <w:rFonts w:hint="eastAsia" w:ascii="Times New Roman" w:hAnsi="Times New Roman" w:eastAsia="方正仿宋_GBK" w:cs="Times New Roman"/>
          <w:sz w:val="28"/>
          <w:szCs w:val="24"/>
          <w:lang w:val="en-US" w:eastAsia="uk-UA" w:bidi="ar-SA"/>
        </w:rPr>
        <w:t>全方位、多渠道开展</w:t>
      </w:r>
      <w:r>
        <w:rPr>
          <w:rFonts w:hint="eastAsia" w:ascii="Times New Roman" w:hAnsi="Times New Roman" w:eastAsia="方正仿宋_GBK" w:cs="Times New Roman"/>
          <w:sz w:val="28"/>
          <w:szCs w:val="24"/>
          <w:lang w:val="en-US" w:eastAsia="zh-CN" w:bidi="ar-SA"/>
        </w:rPr>
        <w:t>卫生健康方面的</w:t>
      </w:r>
      <w:r>
        <w:rPr>
          <w:rFonts w:hint="eastAsia" w:ascii="Times New Roman" w:hAnsi="Times New Roman" w:eastAsia="方正仿宋_GBK" w:cs="Times New Roman"/>
          <w:sz w:val="28"/>
          <w:szCs w:val="24"/>
          <w:lang w:val="en-US" w:eastAsia="uk-UA" w:bidi="ar-SA"/>
        </w:rPr>
        <w:t>宣传教育，倡导公众履行个人</w:t>
      </w:r>
      <w:r>
        <w:rPr>
          <w:rFonts w:hint="eastAsia" w:ascii="Times New Roman" w:hAnsi="Times New Roman" w:eastAsia="方正仿宋_GBK" w:cs="Times New Roman"/>
          <w:sz w:val="28"/>
          <w:szCs w:val="24"/>
          <w:lang w:val="en-US" w:eastAsia="zh-CN" w:bidi="ar-SA"/>
        </w:rPr>
        <w:t>责任</w:t>
      </w:r>
      <w:r>
        <w:rPr>
          <w:rFonts w:hint="eastAsia" w:ascii="Times New Roman" w:hAnsi="Times New Roman" w:eastAsia="方正仿宋_GBK" w:cs="Times New Roman"/>
          <w:sz w:val="28"/>
          <w:szCs w:val="24"/>
          <w:lang w:val="en-US" w:eastAsia="uk-UA" w:bidi="ar-SA"/>
        </w:rPr>
        <w:t>，最大程度保护人民生命安全和身体健康。</w:t>
      </w:r>
      <w:r>
        <w:rPr>
          <w:rFonts w:hint="eastAsia" w:ascii="Times New Roman" w:hAnsi="Times New Roman" w:eastAsia="方正仿宋_GBK" w:cs="Times New Roman"/>
          <w:sz w:val="28"/>
          <w:szCs w:val="24"/>
          <w:lang w:val="en-US" w:eastAsia="zh-CN" w:bidi="ar-SA"/>
        </w:rPr>
        <w:t>建立问题收集专栏，进一步畅通我市群众投诉举报渠道，及时收集、核实、办理我市群众投诉举报的相关问题线索。</w:t>
      </w:r>
    </w:p>
    <w:p w14:paraId="66470DEB">
      <w:pPr>
        <w:overflowPunct w:val="0"/>
        <w:adjustRightInd w:val="0"/>
        <w:snapToGrid w:val="0"/>
        <w:spacing w:line="584" w:lineRule="exact"/>
        <w:ind w:firstLine="560" w:firstLineChars="200"/>
        <w:rPr>
          <w:rFonts w:ascii="Times New Roman" w:hAnsi="Times New Roman" w:eastAsia="方正仿宋_GBK" w:cs="Times New Roman"/>
          <w:sz w:val="28"/>
          <w:szCs w:val="24"/>
          <w:lang w:val="en-US" w:eastAsia="uk-UA" w:bidi="ar-SA"/>
        </w:rPr>
      </w:pPr>
      <w:r>
        <w:rPr>
          <w:rFonts w:ascii="Times New Roman" w:hAnsi="Times New Roman" w:eastAsia="方正仿宋_GBK" w:cs="Times New Roman"/>
          <w:b/>
          <w:bCs/>
          <w:sz w:val="28"/>
          <w:szCs w:val="24"/>
          <w:lang w:val="en-US" w:eastAsia="uk-UA" w:bidi="ar-SA"/>
        </w:rPr>
        <w:t>绩效指标</w:t>
      </w:r>
      <w:r>
        <w:rPr>
          <w:rFonts w:ascii="Times New Roman" w:hAnsi="Times New Roman" w:eastAsia="方正仿宋_GBK" w:cs="Times New Roman"/>
          <w:sz w:val="28"/>
          <w:szCs w:val="24"/>
          <w:lang w:val="en-US" w:eastAsia="uk-UA" w:bidi="ar-SA"/>
        </w:rPr>
        <w:t>：</w:t>
      </w:r>
      <w:r>
        <w:rPr>
          <w:rFonts w:hint="eastAsia" w:ascii="Times New Roman" w:hAnsi="Times New Roman" w:eastAsia="方正仿宋_GBK" w:cs="Times New Roman"/>
          <w:sz w:val="28"/>
          <w:szCs w:val="24"/>
          <w:lang w:val="en-US" w:eastAsia="zh-CN" w:bidi="ar-SA"/>
        </w:rPr>
        <w:t>人工智能坐席外呼日呼叫量最大峰值</w:t>
      </w:r>
      <w:r>
        <w:rPr>
          <w:rFonts w:hint="eastAsia" w:ascii="Times New Roman" w:hAnsi="Times New Roman" w:eastAsia="方正仿宋_GBK" w:cs="Times New Roman"/>
          <w:sz w:val="28"/>
          <w:szCs w:val="24"/>
          <w:lang w:val="en-US" w:eastAsia="uk-UA" w:bidi="ar-SA"/>
        </w:rPr>
        <w:t>≥</w:t>
      </w:r>
      <w:r>
        <w:rPr>
          <w:rFonts w:hint="eastAsia" w:ascii="Times New Roman" w:hAnsi="Times New Roman" w:eastAsia="方正仿宋_GBK" w:cs="Times New Roman"/>
          <w:sz w:val="28"/>
          <w:szCs w:val="24"/>
          <w:lang w:val="en-US" w:eastAsia="zh-CN" w:bidi="ar-SA"/>
        </w:rPr>
        <w:t>20万次</w:t>
      </w:r>
      <w:r>
        <w:rPr>
          <w:rFonts w:hint="eastAsia" w:ascii="Times New Roman" w:hAnsi="Times New Roman" w:eastAsia="方正仿宋_GBK" w:cs="Times New Roman"/>
          <w:sz w:val="28"/>
          <w:szCs w:val="24"/>
          <w:lang w:val="en-US" w:eastAsia="uk-UA" w:bidi="ar-SA"/>
        </w:rPr>
        <w:t>，</w:t>
      </w:r>
      <w:r>
        <w:rPr>
          <w:rFonts w:hint="eastAsia" w:ascii="Times New Roman" w:hAnsi="Times New Roman" w:eastAsia="方正仿宋_GBK" w:cs="Times New Roman"/>
          <w:sz w:val="28"/>
          <w:szCs w:val="24"/>
          <w:lang w:val="en-US" w:eastAsia="zh-CN" w:bidi="ar-SA"/>
        </w:rPr>
        <w:t>接收群众留言数</w:t>
      </w:r>
      <w:r>
        <w:rPr>
          <w:rFonts w:hint="eastAsia" w:ascii="Times New Roman" w:hAnsi="Times New Roman" w:eastAsia="方正仿宋_GBK" w:cs="Times New Roman"/>
          <w:sz w:val="28"/>
          <w:szCs w:val="24"/>
          <w:lang w:val="en-US" w:eastAsia="uk-UA" w:bidi="ar-SA"/>
        </w:rPr>
        <w:t>量≥</w:t>
      </w:r>
      <w:r>
        <w:rPr>
          <w:rFonts w:hint="eastAsia" w:ascii="Times New Roman" w:hAnsi="Times New Roman" w:eastAsia="方正仿宋_GBK" w:cs="Times New Roman"/>
          <w:sz w:val="28"/>
          <w:szCs w:val="24"/>
          <w:lang w:val="en-US" w:eastAsia="zh-CN" w:bidi="ar-SA"/>
        </w:rPr>
        <w:t>500条，群众留言受理率≥95%</w:t>
      </w:r>
      <w:r>
        <w:rPr>
          <w:rFonts w:hint="eastAsia" w:ascii="Times New Roman" w:hAnsi="Times New Roman" w:eastAsia="方正仿宋_GBK" w:cs="Times New Roman"/>
          <w:sz w:val="28"/>
          <w:szCs w:val="24"/>
          <w:lang w:val="en-US" w:eastAsia="uk-UA" w:bidi="ar-SA"/>
        </w:rPr>
        <w:t>。</w:t>
      </w:r>
    </w:p>
    <w:p w14:paraId="605D18C6">
      <w:pPr>
        <w:spacing w:before="10" w:after="10" w:line="360" w:lineRule="auto"/>
        <w:ind w:firstLine="640"/>
        <w:outlineLvl w:val="2"/>
        <w:rPr>
          <w:rFonts w:ascii="黑体" w:hAnsi="黑体" w:eastAsia="黑体" w:cs="黑体"/>
          <w:color w:val="000000"/>
          <w:sz w:val="32"/>
          <w:szCs w:val="32"/>
        </w:rPr>
      </w:pPr>
      <w:r>
        <w:rPr>
          <w:rFonts w:hint="eastAsia" w:ascii="黑体" w:hAnsi="黑体" w:eastAsia="黑体" w:cs="黑体"/>
          <w:color w:val="000000"/>
          <w:sz w:val="32"/>
          <w:szCs w:val="32"/>
          <w:lang w:eastAsia="zh-CN"/>
        </w:rPr>
        <w:t>三、</w:t>
      </w:r>
      <w:r>
        <w:rPr>
          <w:rFonts w:ascii="黑体" w:hAnsi="黑体" w:eastAsia="黑体" w:cs="黑体"/>
          <w:color w:val="000000"/>
          <w:sz w:val="32"/>
          <w:szCs w:val="32"/>
        </w:rPr>
        <w:t>工作保障措施</w:t>
      </w:r>
    </w:p>
    <w:p w14:paraId="429C9A08">
      <w:pPr>
        <w:pStyle w:val="14"/>
      </w:pPr>
      <w:r>
        <w:rPr>
          <w:rFonts w:hint="eastAsia" w:ascii="CESI楷体-GB2312" w:hAnsi="CESI楷体-GB2312" w:eastAsia="CESI楷体-GB2312" w:cs="CESI楷体-GB2312"/>
          <w:b/>
          <w:bCs/>
          <w:sz w:val="32"/>
          <w:szCs w:val="32"/>
        </w:rPr>
        <w:t>（一）完善制度建设。</w:t>
      </w:r>
      <w:r>
        <w:t>进一步制定完善预算绩效管理制度、资金管理办法、工作保障制度等，修订《中共廊坊市委网信办财务制度》和《预算绩效管理办法》，为全年预算绩效目标的实现奠定制度基础。</w:t>
      </w:r>
    </w:p>
    <w:p w14:paraId="6352D642">
      <w:pPr>
        <w:overflowPunct w:val="0"/>
        <w:adjustRightInd w:val="0"/>
        <w:snapToGrid w:val="0"/>
        <w:spacing w:line="584" w:lineRule="exact"/>
        <w:ind w:firstLine="643" w:firstLineChars="200"/>
        <w:rPr>
          <w:rFonts w:ascii="Times New Roman" w:hAnsi="Times New Roman" w:eastAsia="方正仿宋_GBK" w:cs="Times New Roman"/>
          <w:sz w:val="28"/>
          <w:szCs w:val="24"/>
          <w:lang w:val="en-US" w:eastAsia="uk-UA" w:bidi="ar-SA"/>
        </w:rPr>
      </w:pPr>
      <w:r>
        <w:rPr>
          <w:rFonts w:hint="eastAsia" w:ascii="CESI楷体-GB2312" w:hAnsi="CESI楷体-GB2312" w:eastAsia="CESI楷体-GB2312" w:cs="CESI楷体-GB2312"/>
          <w:b/>
          <w:bCs/>
          <w:sz w:val="32"/>
          <w:szCs w:val="32"/>
          <w:lang w:val="en-US" w:eastAsia="uk-UA" w:bidi="ar-SA"/>
        </w:rPr>
        <w:t>（二）加强支出管理。</w:t>
      </w:r>
      <w:r>
        <w:rPr>
          <w:rFonts w:ascii="Times New Roman" w:hAnsi="Times New Roman" w:eastAsia="方正仿宋_GBK" w:cs="Times New Roman"/>
          <w:sz w:val="28"/>
          <w:szCs w:val="24"/>
          <w:lang w:val="en-US" w:eastAsia="uk-UA" w:bidi="ar-SA"/>
        </w:rPr>
        <w:t>通过优化支出结构、编细编实我单位202</w:t>
      </w:r>
      <w:r>
        <w:rPr>
          <w:rFonts w:hint="eastAsia" w:ascii="Times New Roman" w:hAnsi="Times New Roman" w:eastAsia="方正仿宋_GBK" w:cs="Times New Roman"/>
          <w:sz w:val="28"/>
          <w:szCs w:val="24"/>
          <w:lang w:val="en-US" w:eastAsia="zh-CN" w:bidi="ar-SA"/>
        </w:rPr>
        <w:t>3</w:t>
      </w:r>
      <w:r>
        <w:rPr>
          <w:rFonts w:ascii="Times New Roman" w:hAnsi="Times New Roman" w:eastAsia="方正仿宋_GBK" w:cs="Times New Roman"/>
          <w:sz w:val="28"/>
          <w:szCs w:val="24"/>
          <w:lang w:val="en-US" w:eastAsia="uk-UA" w:bidi="ar-SA"/>
        </w:rPr>
        <w:t>年预算内容、加快履行政府采购手续、尽快启动政府采购类项目、及时支付资金、6月底前细化代编预算、按规定及时下达资金等多种措施，确保支出进度达标。</w:t>
      </w:r>
    </w:p>
    <w:p w14:paraId="48FDAA7B">
      <w:pPr>
        <w:pStyle w:val="14"/>
      </w:pPr>
      <w:r>
        <w:rPr>
          <w:rFonts w:hint="eastAsia" w:ascii="CESI楷体-GB2312" w:hAnsi="CESI楷体-GB2312" w:eastAsia="CESI楷体-GB2312" w:cs="CESI楷体-GB2312"/>
          <w:b/>
          <w:bCs/>
          <w:sz w:val="32"/>
          <w:szCs w:val="32"/>
        </w:rPr>
        <w:t>（三）加强绩效运行监控。</w:t>
      </w:r>
      <w:r>
        <w:t>我单位将按要求开展绩效运行监控，发现问题及时采取措施，确保绩效目标如期保质实现。</w:t>
      </w:r>
    </w:p>
    <w:p w14:paraId="264C7951">
      <w:pPr>
        <w:pStyle w:val="14"/>
      </w:pPr>
      <w:r>
        <w:rPr>
          <w:rFonts w:hint="eastAsia" w:ascii="CESI楷体-GB2312" w:hAnsi="CESI楷体-GB2312" w:eastAsia="CESI楷体-GB2312" w:cs="CESI楷体-GB2312"/>
          <w:b/>
          <w:bCs/>
          <w:sz w:val="32"/>
          <w:szCs w:val="32"/>
        </w:rPr>
        <w:t>（四）做好绩效自评。</w:t>
      </w:r>
      <w:r>
        <w:t>我单位将按要求开展上年度部门预算绩效自评和重点评价工作，对评价中发现的问题及时整改，调整优化支出结构，提高财政资金使用效益。</w:t>
      </w:r>
    </w:p>
    <w:p w14:paraId="3D260031">
      <w:pPr>
        <w:pStyle w:val="14"/>
      </w:pPr>
      <w:r>
        <w:rPr>
          <w:rFonts w:hint="eastAsia" w:ascii="CESI楷体-GB2312" w:hAnsi="CESI楷体-GB2312" w:eastAsia="CESI楷体-GB2312" w:cs="CESI楷体-GB2312"/>
          <w:b/>
          <w:bCs/>
          <w:sz w:val="32"/>
          <w:szCs w:val="32"/>
        </w:rPr>
        <w:t>（五）规范财务资产管理。</w:t>
      </w:r>
      <w:r>
        <w:t>完善财务管理制度，严格审批程序，加强固定资产登记、使用和报废处置管理，做到支出合理，物尽其用。</w:t>
      </w:r>
    </w:p>
    <w:p w14:paraId="1774E998">
      <w:pPr>
        <w:overflowPunct w:val="0"/>
        <w:adjustRightInd w:val="0"/>
        <w:snapToGrid w:val="0"/>
        <w:spacing w:line="584" w:lineRule="exact"/>
        <w:ind w:firstLine="643" w:firstLineChars="200"/>
        <w:rPr>
          <w:rFonts w:ascii="Times New Roman" w:hAnsi="Times New Roman" w:eastAsia="方正仿宋_GBK" w:cs="Times New Roman"/>
          <w:sz w:val="28"/>
          <w:szCs w:val="24"/>
          <w:lang w:val="en-US" w:eastAsia="uk-UA" w:bidi="ar-SA"/>
        </w:rPr>
      </w:pPr>
      <w:r>
        <w:rPr>
          <w:rFonts w:hint="eastAsia" w:ascii="CESI楷体-GB2312" w:hAnsi="CESI楷体-GB2312" w:eastAsia="CESI楷体-GB2312" w:cs="CESI楷体-GB2312"/>
          <w:b/>
          <w:bCs/>
          <w:sz w:val="32"/>
          <w:szCs w:val="32"/>
          <w:lang w:val="en-US" w:eastAsia="uk-UA" w:bidi="ar-SA"/>
        </w:rPr>
        <w:t>（六）加强内部监督。</w:t>
      </w:r>
      <w:r>
        <w:rPr>
          <w:rFonts w:ascii="Times New Roman" w:hAnsi="Times New Roman" w:eastAsia="方正仿宋_GBK" w:cs="Times New Roman"/>
          <w:sz w:val="28"/>
          <w:szCs w:val="24"/>
          <w:lang w:val="en-US" w:eastAsia="uk-UA" w:bidi="ar-SA"/>
        </w:rPr>
        <w:t>加强内部监督制度建设，对绩效运行情况、重大支出决策、对外投资、资产处置及其他重要经济业务事项的决策和执行进行督导，对会计资料进行内部审计，并配合做好审计、财政监督等外部监督工作，确保财政资金安全有效。</w:t>
      </w:r>
    </w:p>
    <w:p w14:paraId="1D1B6894">
      <w:pPr>
        <w:pStyle w:val="14"/>
      </w:pPr>
      <w:r>
        <w:rPr>
          <w:rFonts w:hint="eastAsia" w:ascii="CESI楷体-GB2312" w:hAnsi="CESI楷体-GB2312" w:eastAsia="CESI楷体-GB2312" w:cs="CESI楷体-GB2312"/>
          <w:b/>
          <w:bCs/>
          <w:sz w:val="32"/>
          <w:szCs w:val="32"/>
        </w:rPr>
        <w:t>（七）加强宣传培训调研等。</w:t>
      </w:r>
      <w:r>
        <w:t>加强人员培训，提高本部门职工业务素质；加强调研，提出优化财政资金配置、提高资金使用效益的意见；加大宣传力度，强化预算绩效管理意识，促进预算绩效管理水平进一步提升。</w:t>
      </w:r>
    </w:p>
    <w:p w14:paraId="0B2854F8">
      <w:pPr>
        <w:spacing w:before="10" w:after="10" w:line="360" w:lineRule="auto"/>
        <w:ind w:firstLine="640"/>
        <w:outlineLvl w:val="2"/>
        <w:rPr>
          <w:rFonts w:hint="eastAsia" w:ascii="黑体" w:hAnsi="黑体" w:eastAsia="黑体" w:cs="黑体"/>
          <w:color w:val="000000"/>
          <w:sz w:val="32"/>
          <w:szCs w:val="32"/>
          <w:lang w:eastAsia="zh-CN"/>
        </w:rPr>
      </w:pPr>
    </w:p>
    <w:p w14:paraId="32F9246D">
      <w:pPr>
        <w:spacing w:before="10" w:after="10" w:line="360" w:lineRule="auto"/>
        <w:ind w:firstLine="640"/>
        <w:outlineLvl w:val="2"/>
        <w:rPr>
          <w:rFonts w:hint="eastAsia" w:ascii="黑体" w:hAnsi="黑体" w:eastAsia="黑体" w:cs="黑体"/>
          <w:color w:val="000000"/>
          <w:sz w:val="32"/>
          <w:szCs w:val="32"/>
          <w:lang w:eastAsia="zh-CN"/>
        </w:rPr>
      </w:pPr>
    </w:p>
    <w:p w14:paraId="382DB6A6">
      <w:pPr>
        <w:spacing w:before="10" w:after="10" w:line="360" w:lineRule="auto"/>
        <w:ind w:firstLine="640"/>
        <w:outlineLvl w:val="2"/>
        <w:rPr>
          <w:rFonts w:hint="eastAsia"/>
          <w:sz w:val="32"/>
          <w:szCs w:val="32"/>
          <w:lang w:eastAsia="zh-CN"/>
        </w:rPr>
      </w:pPr>
      <w:r>
        <w:rPr>
          <w:rFonts w:hint="eastAsia" w:ascii="黑体" w:hAnsi="黑体" w:eastAsia="黑体" w:cs="黑体"/>
          <w:color w:val="000000"/>
          <w:sz w:val="32"/>
          <w:szCs w:val="32"/>
          <w:lang w:eastAsia="zh-CN"/>
        </w:rPr>
        <w:t>四、部门整体支出绩效指标</w:t>
      </w:r>
    </w:p>
    <w:tbl>
      <w:tblPr>
        <w:tblStyle w:val="5"/>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030"/>
        <w:gridCol w:w="1175"/>
        <w:gridCol w:w="2616"/>
        <w:gridCol w:w="3577"/>
        <w:gridCol w:w="2029"/>
        <w:gridCol w:w="1228"/>
        <w:gridCol w:w="1335"/>
        <w:gridCol w:w="854"/>
        <w:gridCol w:w="977"/>
      </w:tblGrid>
      <w:tr w14:paraId="6F84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blHeader/>
        </w:trPr>
        <w:tc>
          <w:tcPr>
            <w:tcW w:w="347" w:type="pct"/>
            <w:vMerge w:val="restart"/>
            <w:shd w:val="clear" w:color="auto" w:fill="auto"/>
            <w:vAlign w:val="center"/>
          </w:tcPr>
          <w:p w14:paraId="7A457341">
            <w:pPr>
              <w:pStyle w:val="9"/>
              <w:jc w:val="center"/>
              <w:rPr>
                <w:rFonts w:hint="default"/>
              </w:rPr>
            </w:pPr>
            <w:r>
              <w:rPr>
                <w:rFonts w:hint="default"/>
              </w:rPr>
              <w:t>一级</w:t>
            </w:r>
          </w:p>
          <w:p w14:paraId="33AEED95">
            <w:pPr>
              <w:pStyle w:val="9"/>
              <w:jc w:val="center"/>
              <w:rPr>
                <w:rFonts w:hint="default"/>
              </w:rPr>
            </w:pPr>
            <w:r>
              <w:rPr>
                <w:rFonts w:hint="default"/>
              </w:rPr>
              <w:t>指标</w:t>
            </w:r>
          </w:p>
        </w:tc>
        <w:tc>
          <w:tcPr>
            <w:tcW w:w="396" w:type="pct"/>
            <w:vMerge w:val="restart"/>
            <w:shd w:val="clear" w:color="auto" w:fill="auto"/>
            <w:vAlign w:val="center"/>
          </w:tcPr>
          <w:p w14:paraId="151B95D4">
            <w:pPr>
              <w:pStyle w:val="9"/>
              <w:jc w:val="center"/>
              <w:rPr>
                <w:rFonts w:hint="default"/>
              </w:rPr>
            </w:pPr>
            <w:r>
              <w:rPr>
                <w:rFonts w:hint="default"/>
              </w:rPr>
              <w:t>二级</w:t>
            </w:r>
          </w:p>
          <w:p w14:paraId="4F2FDAF5">
            <w:pPr>
              <w:pStyle w:val="9"/>
              <w:jc w:val="center"/>
              <w:rPr>
                <w:rFonts w:hint="default"/>
              </w:rPr>
            </w:pPr>
            <w:r>
              <w:rPr>
                <w:rFonts w:hint="default"/>
              </w:rPr>
              <w:t>指标</w:t>
            </w:r>
          </w:p>
        </w:tc>
        <w:tc>
          <w:tcPr>
            <w:tcW w:w="882" w:type="pct"/>
            <w:vMerge w:val="restart"/>
            <w:shd w:val="clear" w:color="auto" w:fill="auto"/>
            <w:vAlign w:val="center"/>
          </w:tcPr>
          <w:p w14:paraId="14CFE345">
            <w:pPr>
              <w:pStyle w:val="9"/>
              <w:jc w:val="center"/>
              <w:rPr>
                <w:rFonts w:hint="default"/>
              </w:rPr>
            </w:pPr>
            <w:r>
              <w:rPr>
                <w:rFonts w:hint="default"/>
              </w:rPr>
              <w:t>三级</w:t>
            </w:r>
          </w:p>
          <w:p w14:paraId="17943E43">
            <w:pPr>
              <w:pStyle w:val="9"/>
              <w:jc w:val="center"/>
              <w:rPr>
                <w:rFonts w:hint="default"/>
              </w:rPr>
            </w:pPr>
            <w:r>
              <w:rPr>
                <w:rFonts w:hint="default"/>
              </w:rPr>
              <w:t>指标</w:t>
            </w:r>
          </w:p>
        </w:tc>
        <w:tc>
          <w:tcPr>
            <w:tcW w:w="1206" w:type="pct"/>
            <w:vMerge w:val="restart"/>
            <w:shd w:val="clear" w:color="auto" w:fill="auto"/>
            <w:vAlign w:val="center"/>
          </w:tcPr>
          <w:p w14:paraId="2C5B43C0">
            <w:pPr>
              <w:pStyle w:val="9"/>
              <w:jc w:val="center"/>
              <w:rPr>
                <w:rFonts w:hint="default"/>
              </w:rPr>
            </w:pPr>
            <w:r>
              <w:rPr>
                <w:rFonts w:hint="default"/>
              </w:rPr>
              <w:t>评（扣）分标准</w:t>
            </w:r>
          </w:p>
        </w:tc>
        <w:tc>
          <w:tcPr>
            <w:tcW w:w="684" w:type="pct"/>
            <w:vMerge w:val="restart"/>
            <w:shd w:val="clear" w:color="auto" w:fill="auto"/>
            <w:vAlign w:val="center"/>
          </w:tcPr>
          <w:p w14:paraId="61B41AFD">
            <w:pPr>
              <w:pStyle w:val="9"/>
              <w:jc w:val="center"/>
              <w:rPr>
                <w:rFonts w:hint="default"/>
              </w:rPr>
            </w:pPr>
            <w:r>
              <w:rPr>
                <w:rFonts w:hint="default"/>
              </w:rPr>
              <w:t>绩效指标</w:t>
            </w:r>
          </w:p>
          <w:p w14:paraId="48A31FE1">
            <w:pPr>
              <w:pStyle w:val="9"/>
              <w:jc w:val="center"/>
              <w:rPr>
                <w:rFonts w:hint="default"/>
              </w:rPr>
            </w:pPr>
            <w:r>
              <w:rPr>
                <w:rFonts w:hint="default"/>
              </w:rPr>
              <w:t>描述</w:t>
            </w:r>
          </w:p>
        </w:tc>
        <w:tc>
          <w:tcPr>
            <w:tcW w:w="1152" w:type="pct"/>
            <w:gridSpan w:val="3"/>
            <w:shd w:val="clear" w:color="auto" w:fill="auto"/>
            <w:vAlign w:val="center"/>
          </w:tcPr>
          <w:p w14:paraId="09E33D2A">
            <w:pPr>
              <w:pStyle w:val="9"/>
              <w:jc w:val="center"/>
              <w:rPr>
                <w:rFonts w:hint="default"/>
              </w:rPr>
            </w:pPr>
            <w:r>
              <w:rPr>
                <w:rFonts w:hint="default"/>
              </w:rPr>
              <w:t>指标值</w:t>
            </w:r>
          </w:p>
        </w:tc>
        <w:tc>
          <w:tcPr>
            <w:tcW w:w="329" w:type="pct"/>
            <w:vMerge w:val="restart"/>
            <w:shd w:val="clear" w:color="auto" w:fill="auto"/>
            <w:vAlign w:val="center"/>
          </w:tcPr>
          <w:p w14:paraId="53B42D2D">
            <w:pPr>
              <w:pStyle w:val="9"/>
              <w:jc w:val="center"/>
              <w:rPr>
                <w:rFonts w:hint="default"/>
              </w:rPr>
            </w:pPr>
            <w:r>
              <w:rPr>
                <w:rFonts w:hint="default"/>
              </w:rPr>
              <w:t>指标值</w:t>
            </w:r>
          </w:p>
          <w:p w14:paraId="394C73C7">
            <w:pPr>
              <w:pStyle w:val="9"/>
              <w:jc w:val="center"/>
              <w:rPr>
                <w:rFonts w:hint="default"/>
              </w:rPr>
            </w:pPr>
            <w:r>
              <w:rPr>
                <w:rFonts w:hint="default"/>
              </w:rPr>
              <w:t>确定依据</w:t>
            </w:r>
          </w:p>
        </w:tc>
      </w:tr>
      <w:tr w14:paraId="52CCB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blHeader/>
        </w:trPr>
        <w:tc>
          <w:tcPr>
            <w:tcW w:w="347" w:type="pct"/>
            <w:vMerge w:val="continue"/>
            <w:shd w:val="clear" w:color="auto" w:fill="auto"/>
            <w:vAlign w:val="center"/>
          </w:tcPr>
          <w:p w14:paraId="2E1CEF8B">
            <w:pPr>
              <w:pStyle w:val="9"/>
              <w:rPr>
                <w:rFonts w:hint="default"/>
              </w:rPr>
            </w:pPr>
          </w:p>
        </w:tc>
        <w:tc>
          <w:tcPr>
            <w:tcW w:w="396" w:type="pct"/>
            <w:vMerge w:val="continue"/>
            <w:shd w:val="clear" w:color="auto" w:fill="auto"/>
            <w:vAlign w:val="center"/>
          </w:tcPr>
          <w:p w14:paraId="725FD88D">
            <w:pPr>
              <w:pStyle w:val="9"/>
              <w:rPr>
                <w:rFonts w:hint="default"/>
              </w:rPr>
            </w:pPr>
          </w:p>
        </w:tc>
        <w:tc>
          <w:tcPr>
            <w:tcW w:w="882" w:type="pct"/>
            <w:vMerge w:val="continue"/>
            <w:shd w:val="clear" w:color="auto" w:fill="auto"/>
            <w:vAlign w:val="center"/>
          </w:tcPr>
          <w:p w14:paraId="02BB1D41">
            <w:pPr>
              <w:pStyle w:val="9"/>
              <w:rPr>
                <w:rFonts w:hint="default"/>
              </w:rPr>
            </w:pPr>
          </w:p>
        </w:tc>
        <w:tc>
          <w:tcPr>
            <w:tcW w:w="1206" w:type="pct"/>
            <w:vMerge w:val="continue"/>
            <w:shd w:val="clear" w:color="auto" w:fill="auto"/>
            <w:vAlign w:val="center"/>
          </w:tcPr>
          <w:p w14:paraId="262E9E49">
            <w:pPr>
              <w:pStyle w:val="9"/>
              <w:rPr>
                <w:rFonts w:hint="default"/>
              </w:rPr>
            </w:pPr>
          </w:p>
        </w:tc>
        <w:tc>
          <w:tcPr>
            <w:tcW w:w="684" w:type="pct"/>
            <w:vMerge w:val="continue"/>
            <w:shd w:val="clear" w:color="auto" w:fill="auto"/>
            <w:vAlign w:val="center"/>
          </w:tcPr>
          <w:p w14:paraId="0AEA10FF">
            <w:pPr>
              <w:pStyle w:val="9"/>
              <w:rPr>
                <w:rFonts w:hint="default"/>
              </w:rPr>
            </w:pPr>
          </w:p>
        </w:tc>
        <w:tc>
          <w:tcPr>
            <w:tcW w:w="414" w:type="pct"/>
            <w:shd w:val="clear" w:color="auto" w:fill="auto"/>
            <w:vAlign w:val="center"/>
          </w:tcPr>
          <w:p w14:paraId="3543B542">
            <w:pPr>
              <w:pStyle w:val="9"/>
              <w:jc w:val="center"/>
              <w:rPr>
                <w:rFonts w:hint="default"/>
              </w:rPr>
            </w:pPr>
            <w:r>
              <w:rPr>
                <w:rFonts w:hint="default"/>
              </w:rPr>
              <w:t>符号</w:t>
            </w:r>
          </w:p>
        </w:tc>
        <w:tc>
          <w:tcPr>
            <w:tcW w:w="450" w:type="pct"/>
            <w:shd w:val="clear" w:color="auto" w:fill="auto"/>
            <w:vAlign w:val="center"/>
          </w:tcPr>
          <w:p w14:paraId="1ACD043F">
            <w:pPr>
              <w:pStyle w:val="9"/>
              <w:jc w:val="center"/>
              <w:rPr>
                <w:rFonts w:hint="default"/>
              </w:rPr>
            </w:pPr>
            <w:r>
              <w:rPr>
                <w:rFonts w:hint="default"/>
              </w:rPr>
              <w:t>值</w:t>
            </w:r>
          </w:p>
        </w:tc>
        <w:tc>
          <w:tcPr>
            <w:tcW w:w="288" w:type="pct"/>
            <w:shd w:val="clear" w:color="auto" w:fill="auto"/>
            <w:vAlign w:val="center"/>
          </w:tcPr>
          <w:p w14:paraId="62385DDC">
            <w:pPr>
              <w:pStyle w:val="9"/>
              <w:jc w:val="center"/>
              <w:rPr>
                <w:rFonts w:hint="default"/>
              </w:rPr>
            </w:pPr>
            <w:r>
              <w:rPr>
                <w:rFonts w:hint="default"/>
              </w:rPr>
              <w:t>单位</w:t>
            </w:r>
          </w:p>
        </w:tc>
        <w:tc>
          <w:tcPr>
            <w:tcW w:w="329" w:type="pct"/>
            <w:vMerge w:val="continue"/>
            <w:shd w:val="clear" w:color="auto" w:fill="auto"/>
            <w:vAlign w:val="center"/>
          </w:tcPr>
          <w:p w14:paraId="1F519488">
            <w:pPr>
              <w:pStyle w:val="9"/>
              <w:rPr>
                <w:rFonts w:hint="default"/>
              </w:rPr>
            </w:pPr>
          </w:p>
        </w:tc>
      </w:tr>
      <w:tr w14:paraId="345F6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009" w:hRule="atLeast"/>
        </w:trPr>
        <w:tc>
          <w:tcPr>
            <w:tcW w:w="347" w:type="pct"/>
            <w:vMerge w:val="restart"/>
            <w:shd w:val="clear" w:color="auto" w:fill="auto"/>
            <w:vAlign w:val="center"/>
          </w:tcPr>
          <w:p w14:paraId="171F9E20">
            <w:pPr>
              <w:pStyle w:val="9"/>
              <w:jc w:val="center"/>
              <w:rPr>
                <w:rFonts w:hint="default"/>
              </w:rPr>
            </w:pPr>
            <w:r>
              <w:rPr>
                <w:rFonts w:hint="default"/>
              </w:rPr>
              <w:t>部门</w:t>
            </w:r>
          </w:p>
          <w:p w14:paraId="10BA0119">
            <w:pPr>
              <w:pStyle w:val="9"/>
              <w:jc w:val="center"/>
              <w:rPr>
                <w:rFonts w:hint="default"/>
              </w:rPr>
            </w:pPr>
            <w:r>
              <w:rPr>
                <w:rFonts w:hint="default"/>
              </w:rPr>
              <w:t>产出</w:t>
            </w:r>
          </w:p>
        </w:tc>
        <w:tc>
          <w:tcPr>
            <w:tcW w:w="396" w:type="pct"/>
            <w:vMerge w:val="restart"/>
            <w:shd w:val="clear" w:color="auto" w:fill="auto"/>
            <w:vAlign w:val="center"/>
          </w:tcPr>
          <w:p w14:paraId="20A25934">
            <w:pPr>
              <w:pStyle w:val="9"/>
              <w:jc w:val="center"/>
              <w:rPr>
                <w:rFonts w:hint="default"/>
              </w:rPr>
            </w:pPr>
            <w:r>
              <w:rPr>
                <w:rFonts w:hint="default"/>
              </w:rPr>
              <w:t>数量</w:t>
            </w:r>
          </w:p>
        </w:tc>
        <w:tc>
          <w:tcPr>
            <w:tcW w:w="882" w:type="pct"/>
            <w:shd w:val="clear" w:color="auto" w:fill="auto"/>
            <w:vAlign w:val="center"/>
          </w:tcPr>
          <w:p w14:paraId="10CD7B80">
            <w:pPr>
              <w:pStyle w:val="9"/>
              <w:rPr>
                <w:rFonts w:hint="default"/>
                <w:lang w:eastAsia="zh-CN"/>
              </w:rPr>
            </w:pPr>
            <w:r>
              <w:rPr>
                <w:rFonts w:hint="default"/>
              </w:rPr>
              <w:t>网上宣传发稿</w:t>
            </w:r>
            <w:r>
              <w:rPr>
                <w:rFonts w:hint="default"/>
                <w:lang w:eastAsia="zh-CN"/>
              </w:rPr>
              <w:t>数量</w:t>
            </w:r>
          </w:p>
        </w:tc>
        <w:tc>
          <w:tcPr>
            <w:tcW w:w="1206" w:type="pct"/>
            <w:shd w:val="clear" w:color="auto" w:fill="auto"/>
            <w:vAlign w:val="center"/>
          </w:tcPr>
          <w:p w14:paraId="01D41A67">
            <w:pPr>
              <w:pStyle w:val="9"/>
              <w:rPr>
                <w:rFonts w:hint="default"/>
              </w:rPr>
            </w:pPr>
            <w:r>
              <w:rPr>
                <w:rFonts w:hint="default"/>
                <w:lang w:val="en-US" w:eastAsia="zh-CN"/>
              </w:rPr>
              <w:t>发布数量低于总数的10%扣除权重分值的10%</w:t>
            </w:r>
          </w:p>
        </w:tc>
        <w:tc>
          <w:tcPr>
            <w:tcW w:w="684" w:type="pct"/>
            <w:shd w:val="clear" w:color="auto" w:fill="auto"/>
            <w:vAlign w:val="center"/>
          </w:tcPr>
          <w:p w14:paraId="77778617">
            <w:pPr>
              <w:pStyle w:val="9"/>
              <w:rPr>
                <w:rFonts w:hint="default"/>
              </w:rPr>
            </w:pPr>
            <w:r>
              <w:rPr>
                <w:rFonts w:hint="default"/>
              </w:rPr>
              <w:t>在各网站推送发稿篇数</w:t>
            </w:r>
          </w:p>
        </w:tc>
        <w:tc>
          <w:tcPr>
            <w:tcW w:w="414" w:type="pct"/>
            <w:shd w:val="clear" w:color="auto" w:fill="auto"/>
            <w:vAlign w:val="center"/>
          </w:tcPr>
          <w:p w14:paraId="14552D48">
            <w:pPr>
              <w:pStyle w:val="9"/>
              <w:rPr>
                <w:rFonts w:hint="default"/>
              </w:rPr>
            </w:pPr>
            <w:r>
              <w:rPr>
                <w:rFonts w:hint="default"/>
              </w:rPr>
              <w:t>≥</w:t>
            </w:r>
          </w:p>
        </w:tc>
        <w:tc>
          <w:tcPr>
            <w:tcW w:w="450" w:type="pct"/>
            <w:shd w:val="clear" w:color="auto" w:fill="auto"/>
            <w:vAlign w:val="center"/>
          </w:tcPr>
          <w:p w14:paraId="39541620">
            <w:pPr>
              <w:pStyle w:val="9"/>
              <w:rPr>
                <w:rFonts w:hint="default"/>
              </w:rPr>
            </w:pPr>
            <w:r>
              <w:rPr>
                <w:rFonts w:hint="default"/>
                <w:lang w:val="en-US" w:eastAsia="zh-CN"/>
              </w:rPr>
              <w:t>4</w:t>
            </w:r>
            <w:r>
              <w:rPr>
                <w:rFonts w:hint="default"/>
              </w:rPr>
              <w:t>00</w:t>
            </w:r>
          </w:p>
        </w:tc>
        <w:tc>
          <w:tcPr>
            <w:tcW w:w="288" w:type="pct"/>
            <w:shd w:val="clear" w:color="auto" w:fill="auto"/>
            <w:vAlign w:val="center"/>
          </w:tcPr>
          <w:p w14:paraId="6D928F34">
            <w:pPr>
              <w:pStyle w:val="9"/>
              <w:rPr>
                <w:rFonts w:hint="default"/>
              </w:rPr>
            </w:pPr>
            <w:r>
              <w:rPr>
                <w:rFonts w:hint="default"/>
              </w:rPr>
              <w:t>篇</w:t>
            </w:r>
          </w:p>
        </w:tc>
        <w:tc>
          <w:tcPr>
            <w:tcW w:w="329" w:type="pct"/>
            <w:shd w:val="clear" w:color="auto" w:fill="auto"/>
            <w:vAlign w:val="center"/>
          </w:tcPr>
          <w:p w14:paraId="6353E667">
            <w:pPr>
              <w:pStyle w:val="9"/>
              <w:rPr>
                <w:rFonts w:hint="default"/>
              </w:rPr>
            </w:pPr>
            <w:r>
              <w:rPr>
                <w:rFonts w:hint="default"/>
              </w:rPr>
              <w:t>实际开展情况</w:t>
            </w:r>
          </w:p>
        </w:tc>
      </w:tr>
      <w:tr w14:paraId="6716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960" w:hRule="atLeast"/>
        </w:trPr>
        <w:tc>
          <w:tcPr>
            <w:tcW w:w="347" w:type="pct"/>
            <w:vMerge w:val="continue"/>
            <w:vAlign w:val="center"/>
          </w:tcPr>
          <w:p w14:paraId="1DAF967B">
            <w:pPr>
              <w:pStyle w:val="9"/>
              <w:rPr>
                <w:rFonts w:hint="default"/>
              </w:rPr>
            </w:pPr>
          </w:p>
        </w:tc>
        <w:tc>
          <w:tcPr>
            <w:tcW w:w="396" w:type="pct"/>
            <w:vMerge w:val="restart"/>
            <w:shd w:val="clear" w:color="auto" w:fill="auto"/>
            <w:vAlign w:val="center"/>
          </w:tcPr>
          <w:p w14:paraId="7932DE39">
            <w:pPr>
              <w:pStyle w:val="9"/>
              <w:jc w:val="center"/>
              <w:rPr>
                <w:rFonts w:hint="default"/>
              </w:rPr>
            </w:pPr>
            <w:r>
              <w:rPr>
                <w:rFonts w:hint="default"/>
              </w:rPr>
              <w:t>质量</w:t>
            </w:r>
          </w:p>
        </w:tc>
        <w:tc>
          <w:tcPr>
            <w:tcW w:w="882" w:type="pct"/>
            <w:shd w:val="clear" w:color="auto" w:fill="auto"/>
            <w:vAlign w:val="center"/>
          </w:tcPr>
          <w:p w14:paraId="57DE33D8">
            <w:pPr>
              <w:pStyle w:val="9"/>
              <w:rPr>
                <w:rFonts w:hint="default"/>
                <w:lang w:val="en-US" w:eastAsia="zh-CN"/>
              </w:rPr>
            </w:pPr>
            <w:r>
              <w:rPr>
                <w:rFonts w:hint="default"/>
                <w:lang w:val="en-US" w:eastAsia="zh-CN"/>
              </w:rPr>
              <w:t>政务外网服务中断率</w:t>
            </w:r>
          </w:p>
        </w:tc>
        <w:tc>
          <w:tcPr>
            <w:tcW w:w="1206" w:type="pct"/>
            <w:shd w:val="clear" w:color="auto" w:fill="auto"/>
            <w:vAlign w:val="center"/>
          </w:tcPr>
          <w:p w14:paraId="24B26F88">
            <w:pPr>
              <w:pStyle w:val="9"/>
              <w:rPr>
                <w:rFonts w:hint="default"/>
                <w:lang w:val="en-US" w:eastAsia="zh-CN"/>
              </w:rPr>
            </w:pPr>
            <w:r>
              <w:rPr>
                <w:rFonts w:hint="default"/>
                <w:lang w:val="en-US" w:eastAsia="zh-CN"/>
              </w:rPr>
              <w:t>如比值大于2%，每增大超过0.2%，扣除权重分值的10%。</w:t>
            </w:r>
          </w:p>
        </w:tc>
        <w:tc>
          <w:tcPr>
            <w:tcW w:w="684" w:type="pct"/>
            <w:shd w:val="clear" w:color="auto" w:fill="auto"/>
            <w:vAlign w:val="center"/>
          </w:tcPr>
          <w:p w14:paraId="27E10DB7">
            <w:pPr>
              <w:pStyle w:val="9"/>
              <w:rPr>
                <w:rFonts w:hint="default"/>
                <w:lang w:val="en-US" w:eastAsia="zh-CN"/>
              </w:rPr>
            </w:pPr>
            <w:r>
              <w:rPr>
                <w:rFonts w:hint="default"/>
                <w:lang w:val="en-US" w:eastAsia="zh-CN"/>
              </w:rPr>
              <w:t>累计中断时间与使用时间的比值。</w:t>
            </w:r>
          </w:p>
        </w:tc>
        <w:tc>
          <w:tcPr>
            <w:tcW w:w="414" w:type="pct"/>
            <w:shd w:val="clear" w:color="auto" w:fill="auto"/>
            <w:vAlign w:val="center"/>
          </w:tcPr>
          <w:p w14:paraId="36FBB757">
            <w:pPr>
              <w:pStyle w:val="9"/>
              <w:rPr>
                <w:rFonts w:hint="default"/>
                <w:lang w:val="en-US" w:eastAsia="zh-CN"/>
              </w:rPr>
            </w:pPr>
            <w:r>
              <w:rPr>
                <w:rFonts w:hint="default"/>
                <w:lang w:val="en-US" w:eastAsia="zh-CN"/>
              </w:rPr>
              <w:t>≦</w:t>
            </w:r>
          </w:p>
        </w:tc>
        <w:tc>
          <w:tcPr>
            <w:tcW w:w="450" w:type="pct"/>
            <w:shd w:val="clear" w:color="auto" w:fill="auto"/>
            <w:vAlign w:val="center"/>
          </w:tcPr>
          <w:p w14:paraId="27C216F7">
            <w:pPr>
              <w:pStyle w:val="9"/>
              <w:rPr>
                <w:rFonts w:hint="default"/>
                <w:lang w:val="en-US" w:eastAsia="zh-CN"/>
              </w:rPr>
            </w:pPr>
            <w:r>
              <w:rPr>
                <w:rFonts w:hint="default"/>
                <w:lang w:val="en-US" w:eastAsia="zh-CN"/>
              </w:rPr>
              <w:t>2</w:t>
            </w:r>
          </w:p>
        </w:tc>
        <w:tc>
          <w:tcPr>
            <w:tcW w:w="288" w:type="pct"/>
            <w:shd w:val="clear" w:color="auto" w:fill="auto"/>
            <w:vAlign w:val="center"/>
          </w:tcPr>
          <w:p w14:paraId="78D833DC">
            <w:pPr>
              <w:pStyle w:val="9"/>
              <w:rPr>
                <w:rFonts w:hint="default"/>
                <w:lang w:val="en-US" w:eastAsia="zh-CN"/>
              </w:rPr>
            </w:pPr>
            <w:r>
              <w:rPr>
                <w:rFonts w:hint="default"/>
                <w:lang w:val="en-US" w:eastAsia="zh-CN"/>
              </w:rPr>
              <w:t>%</w:t>
            </w:r>
          </w:p>
        </w:tc>
        <w:tc>
          <w:tcPr>
            <w:tcW w:w="329" w:type="pct"/>
            <w:shd w:val="clear" w:color="auto" w:fill="auto"/>
            <w:vAlign w:val="center"/>
          </w:tcPr>
          <w:p w14:paraId="3CF2908F">
            <w:pPr>
              <w:pStyle w:val="9"/>
              <w:rPr>
                <w:rFonts w:hint="default"/>
                <w:lang w:val="en-US" w:eastAsia="zh-CN"/>
              </w:rPr>
            </w:pPr>
            <w:r>
              <w:rPr>
                <w:rFonts w:hint="default"/>
                <w:lang w:val="en-US" w:eastAsia="zh-CN"/>
              </w:rPr>
              <w:t>根据实际运行数据统计测算。</w:t>
            </w:r>
          </w:p>
        </w:tc>
      </w:tr>
      <w:tr w14:paraId="055E5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963" w:hRule="atLeast"/>
        </w:trPr>
        <w:tc>
          <w:tcPr>
            <w:tcW w:w="347" w:type="pct"/>
            <w:vMerge w:val="continue"/>
            <w:vAlign w:val="center"/>
          </w:tcPr>
          <w:p w14:paraId="2C8E1EB7">
            <w:pPr>
              <w:pStyle w:val="9"/>
              <w:rPr>
                <w:rFonts w:hint="default"/>
              </w:rPr>
            </w:pPr>
          </w:p>
        </w:tc>
        <w:tc>
          <w:tcPr>
            <w:tcW w:w="396" w:type="pct"/>
            <w:vMerge w:val="continue"/>
            <w:vAlign w:val="center"/>
          </w:tcPr>
          <w:p w14:paraId="5B7E7EE5">
            <w:pPr>
              <w:pStyle w:val="9"/>
              <w:jc w:val="center"/>
              <w:rPr>
                <w:rFonts w:hint="default"/>
              </w:rPr>
            </w:pPr>
          </w:p>
        </w:tc>
        <w:tc>
          <w:tcPr>
            <w:tcW w:w="882" w:type="pct"/>
            <w:shd w:val="clear" w:color="auto" w:fill="auto"/>
            <w:vAlign w:val="center"/>
          </w:tcPr>
          <w:p w14:paraId="252CF3C3">
            <w:pPr>
              <w:pStyle w:val="9"/>
              <w:rPr>
                <w:rFonts w:hint="default"/>
                <w:lang w:val="en-US" w:eastAsia="zh-CN"/>
              </w:rPr>
            </w:pPr>
            <w:r>
              <w:rPr>
                <w:rFonts w:hint="default"/>
                <w:lang w:val="en-US" w:eastAsia="zh-CN"/>
              </w:rPr>
              <w:t>智能AI外呼服务平台故障时长</w:t>
            </w:r>
          </w:p>
        </w:tc>
        <w:tc>
          <w:tcPr>
            <w:tcW w:w="1206" w:type="pct"/>
            <w:shd w:val="clear" w:color="auto" w:fill="auto"/>
            <w:vAlign w:val="center"/>
          </w:tcPr>
          <w:p w14:paraId="4912A902">
            <w:pPr>
              <w:pStyle w:val="9"/>
              <w:rPr>
                <w:rFonts w:hint="default"/>
                <w:lang w:val="en-US" w:eastAsia="zh-CN"/>
              </w:rPr>
            </w:pPr>
            <w:r>
              <w:rPr>
                <w:rFonts w:hint="eastAsia"/>
                <w:lang w:val="en-US" w:eastAsia="zh-CN"/>
              </w:rPr>
              <w:t>每增加1小时</w:t>
            </w:r>
            <w:r>
              <w:rPr>
                <w:rFonts w:hint="default"/>
                <w:lang w:val="en-US" w:eastAsia="zh-CN"/>
              </w:rPr>
              <w:t>，扣除权重30%</w:t>
            </w:r>
          </w:p>
        </w:tc>
        <w:tc>
          <w:tcPr>
            <w:tcW w:w="684" w:type="pct"/>
            <w:shd w:val="clear" w:color="auto" w:fill="auto"/>
            <w:vAlign w:val="center"/>
          </w:tcPr>
          <w:p w14:paraId="43262EC0">
            <w:pPr>
              <w:pStyle w:val="9"/>
              <w:rPr>
                <w:rFonts w:hint="default"/>
                <w:lang w:val="en-US" w:eastAsia="zh-CN"/>
              </w:rPr>
            </w:pPr>
            <w:r>
              <w:rPr>
                <w:rFonts w:hint="default"/>
                <w:lang w:val="en-US" w:eastAsia="zh-CN"/>
              </w:rPr>
              <w:t>平台设备出现的故障时长</w:t>
            </w:r>
          </w:p>
        </w:tc>
        <w:tc>
          <w:tcPr>
            <w:tcW w:w="414" w:type="pct"/>
            <w:shd w:val="clear" w:color="auto" w:fill="auto"/>
            <w:vAlign w:val="center"/>
          </w:tcPr>
          <w:p w14:paraId="57084FCF">
            <w:pPr>
              <w:pStyle w:val="9"/>
              <w:rPr>
                <w:rFonts w:hint="default"/>
                <w:lang w:val="en-US" w:eastAsia="zh-CN"/>
              </w:rPr>
            </w:pPr>
            <w:r>
              <w:rPr>
                <w:rFonts w:hint="default"/>
                <w:lang w:val="en-US" w:eastAsia="zh-CN"/>
              </w:rPr>
              <w:t>≤</w:t>
            </w:r>
          </w:p>
        </w:tc>
        <w:tc>
          <w:tcPr>
            <w:tcW w:w="450" w:type="pct"/>
            <w:shd w:val="clear" w:color="auto" w:fill="auto"/>
            <w:vAlign w:val="center"/>
          </w:tcPr>
          <w:p w14:paraId="48F08FEA">
            <w:pPr>
              <w:pStyle w:val="9"/>
              <w:rPr>
                <w:rFonts w:hint="default"/>
                <w:lang w:val="en-US" w:eastAsia="zh-CN"/>
              </w:rPr>
            </w:pPr>
            <w:r>
              <w:rPr>
                <w:rFonts w:hint="default"/>
                <w:lang w:val="en-US" w:eastAsia="zh-CN"/>
              </w:rPr>
              <w:t>24</w:t>
            </w:r>
          </w:p>
        </w:tc>
        <w:tc>
          <w:tcPr>
            <w:tcW w:w="288" w:type="pct"/>
            <w:shd w:val="clear" w:color="auto" w:fill="auto"/>
            <w:vAlign w:val="center"/>
          </w:tcPr>
          <w:p w14:paraId="28DB655A">
            <w:pPr>
              <w:pStyle w:val="9"/>
              <w:rPr>
                <w:rFonts w:hint="default"/>
                <w:lang w:val="en-US" w:eastAsia="zh-CN"/>
              </w:rPr>
            </w:pPr>
            <w:r>
              <w:rPr>
                <w:rFonts w:hint="default"/>
                <w:lang w:val="en-US" w:eastAsia="zh-CN"/>
              </w:rPr>
              <w:t>小时</w:t>
            </w:r>
          </w:p>
        </w:tc>
        <w:tc>
          <w:tcPr>
            <w:tcW w:w="329" w:type="pct"/>
            <w:shd w:val="clear" w:color="auto" w:fill="auto"/>
            <w:vAlign w:val="center"/>
          </w:tcPr>
          <w:p w14:paraId="7E559954">
            <w:pPr>
              <w:pStyle w:val="9"/>
              <w:rPr>
                <w:rFonts w:hint="default"/>
                <w:lang w:val="en-US" w:eastAsia="zh-CN"/>
              </w:rPr>
            </w:pPr>
            <w:r>
              <w:rPr>
                <w:rFonts w:hint="default"/>
                <w:lang w:val="en-US" w:eastAsia="zh-CN"/>
              </w:rPr>
              <w:t>运行报告</w:t>
            </w:r>
          </w:p>
        </w:tc>
      </w:tr>
      <w:tr w14:paraId="7D82D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860" w:hRule="atLeast"/>
        </w:trPr>
        <w:tc>
          <w:tcPr>
            <w:tcW w:w="347" w:type="pct"/>
            <w:vMerge w:val="continue"/>
            <w:vAlign w:val="center"/>
          </w:tcPr>
          <w:p w14:paraId="7524AFB2">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仿宋_GB2312" w:cs="Times New Roman"/>
                <w:color w:val="000000" w:themeColor="text1"/>
                <w:kern w:val="0"/>
                <w:sz w:val="18"/>
                <w:szCs w:val="18"/>
                <w14:textFill>
                  <w14:solidFill>
                    <w14:schemeClr w14:val="tx1"/>
                  </w14:solidFill>
                </w14:textFill>
              </w:rPr>
            </w:pPr>
          </w:p>
        </w:tc>
        <w:tc>
          <w:tcPr>
            <w:tcW w:w="396" w:type="pct"/>
            <w:vMerge w:val="restart"/>
            <w:shd w:val="clear" w:color="auto" w:fill="auto"/>
            <w:vAlign w:val="center"/>
          </w:tcPr>
          <w:p w14:paraId="1051620D">
            <w:pPr>
              <w:keepNext w:val="0"/>
              <w:keepLines w:val="0"/>
              <w:pageBreakBefore w:val="0"/>
              <w:widowControl/>
              <w:kinsoku/>
              <w:wordWrap/>
              <w:overflowPunct/>
              <w:topLinePunct w:val="0"/>
              <w:autoSpaceDE/>
              <w:autoSpaceDN/>
              <w:bidi w:val="0"/>
              <w:adjustRightInd w:val="0"/>
              <w:snapToGrid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时效</w:t>
            </w:r>
          </w:p>
        </w:tc>
        <w:tc>
          <w:tcPr>
            <w:tcW w:w="882" w:type="pct"/>
            <w:shd w:val="clear" w:color="auto" w:fill="auto"/>
            <w:vAlign w:val="center"/>
          </w:tcPr>
          <w:p w14:paraId="02BF9CEE">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“廊坊发布”公众号及时性</w:t>
            </w:r>
          </w:p>
        </w:tc>
        <w:tc>
          <w:tcPr>
            <w:tcW w:w="1206" w:type="pct"/>
            <w:shd w:val="clear" w:color="auto" w:fill="auto"/>
            <w:vAlign w:val="center"/>
          </w:tcPr>
          <w:p w14:paraId="5DF0C9A1">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未按要求及时发布1次扣除权重分值的50%。</w:t>
            </w:r>
          </w:p>
        </w:tc>
        <w:tc>
          <w:tcPr>
            <w:tcW w:w="684" w:type="pct"/>
            <w:shd w:val="clear" w:color="auto" w:fill="auto"/>
            <w:vAlign w:val="center"/>
          </w:tcPr>
          <w:p w14:paraId="50FB1F6C">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“廊坊发布”公众号反映政务信息发布的及时情况</w:t>
            </w:r>
          </w:p>
        </w:tc>
        <w:tc>
          <w:tcPr>
            <w:tcW w:w="414" w:type="pct"/>
            <w:shd w:val="clear" w:color="auto" w:fill="auto"/>
            <w:vAlign w:val="center"/>
          </w:tcPr>
          <w:p w14:paraId="70820C67">
            <w:pPr>
              <w:keepNext w:val="0"/>
              <w:keepLines w:val="0"/>
              <w:pageBreakBefore w:val="0"/>
              <w:widowControl/>
              <w:kinsoku/>
              <w:wordWrap/>
              <w:overflowPunct/>
              <w:topLinePunct w:val="0"/>
              <w:autoSpaceDE/>
              <w:autoSpaceDN/>
              <w:bidi w:val="0"/>
              <w:jc w:val="center"/>
              <w:rPr>
                <w:rFonts w:hint="eastAsia" w:ascii="方正书宋_GBK" w:hAnsi="方正书宋_GBK" w:eastAsia="方正书宋_GBK" w:cs="方正书宋_GBK"/>
                <w:sz w:val="21"/>
                <w:szCs w:val="24"/>
                <w:lang w:val="en-US" w:eastAsia="zh-CN" w:bidi="ar-SA"/>
              </w:rPr>
            </w:pPr>
            <w:r>
              <w:rPr>
                <w:rFonts w:hint="eastAsia" w:ascii="方正书宋_GBK" w:hAnsi="方正书宋_GBK" w:eastAsia="方正书宋_GBK" w:cs="方正书宋_GBK"/>
                <w:sz w:val="21"/>
                <w:szCs w:val="24"/>
                <w:lang w:val="en-US" w:eastAsia="zh-CN" w:bidi="ar-SA"/>
              </w:rPr>
              <w:t>文字</w:t>
            </w:r>
          </w:p>
          <w:p w14:paraId="4B30A9C3">
            <w:pPr>
              <w:keepNext w:val="0"/>
              <w:keepLines w:val="0"/>
              <w:pageBreakBefore w:val="0"/>
              <w:widowControl/>
              <w:kinsoku/>
              <w:wordWrap/>
              <w:overflowPunct/>
              <w:topLinePunct w:val="0"/>
              <w:autoSpaceDE/>
              <w:autoSpaceDN/>
              <w:bidi w:val="0"/>
              <w:jc w:val="center"/>
              <w:rPr>
                <w:rFonts w:hint="eastAsia" w:ascii="方正书宋_GBK" w:hAnsi="方正书宋_GBK" w:eastAsia="方正书宋_GBK" w:cs="方正书宋_GBK"/>
                <w:sz w:val="21"/>
                <w:szCs w:val="24"/>
                <w:lang w:val="en-US" w:eastAsia="zh-CN" w:bidi="ar-SA"/>
              </w:rPr>
            </w:pPr>
            <w:r>
              <w:rPr>
                <w:rFonts w:hint="eastAsia" w:ascii="方正书宋_GBK" w:hAnsi="方正书宋_GBK" w:eastAsia="方正书宋_GBK" w:cs="方正书宋_GBK"/>
                <w:sz w:val="21"/>
                <w:szCs w:val="24"/>
                <w:lang w:val="en-US" w:eastAsia="zh-CN" w:bidi="ar-SA"/>
              </w:rPr>
              <w:t>描述</w:t>
            </w:r>
          </w:p>
        </w:tc>
        <w:tc>
          <w:tcPr>
            <w:tcW w:w="450" w:type="pct"/>
            <w:shd w:val="clear" w:color="auto" w:fill="auto"/>
            <w:vAlign w:val="center"/>
          </w:tcPr>
          <w:p w14:paraId="78A64200">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及时</w:t>
            </w:r>
          </w:p>
        </w:tc>
        <w:tc>
          <w:tcPr>
            <w:tcW w:w="288" w:type="pct"/>
            <w:shd w:val="clear" w:color="auto" w:fill="auto"/>
            <w:vAlign w:val="center"/>
          </w:tcPr>
          <w:p w14:paraId="154706D6">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p>
        </w:tc>
        <w:tc>
          <w:tcPr>
            <w:tcW w:w="329" w:type="pct"/>
            <w:shd w:val="clear" w:color="auto" w:fill="auto"/>
            <w:vAlign w:val="center"/>
          </w:tcPr>
          <w:p w14:paraId="5DA83393">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计划标准</w:t>
            </w:r>
          </w:p>
        </w:tc>
      </w:tr>
      <w:tr w14:paraId="1EFE0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35" w:hRule="atLeast"/>
        </w:trPr>
        <w:tc>
          <w:tcPr>
            <w:tcW w:w="347" w:type="pct"/>
            <w:vMerge w:val="continue"/>
            <w:vAlign w:val="center"/>
          </w:tcPr>
          <w:p w14:paraId="4E79B59B">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仿宋_GB2312" w:cs="Times New Roman"/>
                <w:color w:val="000000" w:themeColor="text1"/>
                <w:kern w:val="0"/>
                <w:sz w:val="18"/>
                <w:szCs w:val="18"/>
                <w14:textFill>
                  <w14:solidFill>
                    <w14:schemeClr w14:val="tx1"/>
                  </w14:solidFill>
                </w14:textFill>
              </w:rPr>
            </w:pPr>
          </w:p>
        </w:tc>
        <w:tc>
          <w:tcPr>
            <w:tcW w:w="396" w:type="pct"/>
            <w:vMerge w:val="continue"/>
            <w:vAlign w:val="center"/>
          </w:tcPr>
          <w:p w14:paraId="549A0E0E">
            <w:pPr>
              <w:keepNext w:val="0"/>
              <w:keepLines w:val="0"/>
              <w:pageBreakBefore w:val="0"/>
              <w:widowControl/>
              <w:kinsoku/>
              <w:wordWrap/>
              <w:overflowPunct/>
              <w:topLinePunct w:val="0"/>
              <w:autoSpaceDE/>
              <w:autoSpaceDN/>
              <w:bidi w:val="0"/>
              <w:adjustRightInd w:val="0"/>
              <w:snapToGrid w:val="0"/>
              <w:jc w:val="center"/>
              <w:rPr>
                <w:rFonts w:hint="default" w:ascii="方正书宋_GBK" w:hAnsi="方正书宋_GBK" w:eastAsia="方正书宋_GBK" w:cs="方正书宋_GBK"/>
                <w:sz w:val="21"/>
                <w:szCs w:val="24"/>
                <w:lang w:val="en-US" w:eastAsia="zh-CN" w:bidi="ar-SA"/>
              </w:rPr>
            </w:pPr>
          </w:p>
        </w:tc>
        <w:tc>
          <w:tcPr>
            <w:tcW w:w="882" w:type="pct"/>
            <w:shd w:val="clear" w:color="auto" w:fill="auto"/>
            <w:vAlign w:val="center"/>
          </w:tcPr>
          <w:p w14:paraId="2271E6DF">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政务外网线路故障修复效率</w:t>
            </w:r>
          </w:p>
        </w:tc>
        <w:tc>
          <w:tcPr>
            <w:tcW w:w="1206" w:type="pct"/>
            <w:shd w:val="clear" w:color="auto" w:fill="auto"/>
            <w:vAlign w:val="center"/>
          </w:tcPr>
          <w:p w14:paraId="5E7059D9">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如平均修复时间大于4小时，每增大超过0.4小时，扣除权重分值的10%。</w:t>
            </w:r>
          </w:p>
        </w:tc>
        <w:tc>
          <w:tcPr>
            <w:tcW w:w="684" w:type="pct"/>
            <w:shd w:val="clear" w:color="auto" w:fill="auto"/>
            <w:vAlign w:val="center"/>
          </w:tcPr>
          <w:p w14:paraId="79BF27E2">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各类线路故障修复平均时间</w:t>
            </w:r>
          </w:p>
        </w:tc>
        <w:tc>
          <w:tcPr>
            <w:tcW w:w="414" w:type="pct"/>
            <w:shd w:val="clear" w:color="auto" w:fill="auto"/>
            <w:vAlign w:val="center"/>
          </w:tcPr>
          <w:p w14:paraId="0AC0F371">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w:t>
            </w:r>
          </w:p>
        </w:tc>
        <w:tc>
          <w:tcPr>
            <w:tcW w:w="450" w:type="pct"/>
            <w:shd w:val="clear" w:color="auto" w:fill="auto"/>
            <w:vAlign w:val="center"/>
          </w:tcPr>
          <w:p w14:paraId="11D61A74">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4</w:t>
            </w:r>
          </w:p>
        </w:tc>
        <w:tc>
          <w:tcPr>
            <w:tcW w:w="288" w:type="pct"/>
            <w:shd w:val="clear" w:color="auto" w:fill="auto"/>
            <w:vAlign w:val="center"/>
          </w:tcPr>
          <w:p w14:paraId="2F51176A">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小时　</w:t>
            </w:r>
          </w:p>
        </w:tc>
        <w:tc>
          <w:tcPr>
            <w:tcW w:w="329" w:type="pct"/>
            <w:shd w:val="clear" w:color="auto" w:fill="auto"/>
            <w:vAlign w:val="center"/>
          </w:tcPr>
          <w:p w14:paraId="4B02A53B">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根据线路全市实际运行数据统计测算。</w:t>
            </w:r>
          </w:p>
        </w:tc>
      </w:tr>
      <w:tr w14:paraId="3FE48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881" w:hRule="atLeast"/>
        </w:trPr>
        <w:tc>
          <w:tcPr>
            <w:tcW w:w="347" w:type="pct"/>
            <w:vMerge w:val="continue"/>
            <w:vAlign w:val="center"/>
          </w:tcPr>
          <w:p w14:paraId="3EACF7C6">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仿宋_GB2312" w:cs="Times New Roman"/>
                <w:color w:val="000000" w:themeColor="text1"/>
                <w:kern w:val="0"/>
                <w:sz w:val="18"/>
                <w:szCs w:val="18"/>
                <w14:textFill>
                  <w14:solidFill>
                    <w14:schemeClr w14:val="tx1"/>
                  </w14:solidFill>
                </w14:textFill>
              </w:rPr>
            </w:pPr>
          </w:p>
        </w:tc>
        <w:tc>
          <w:tcPr>
            <w:tcW w:w="396" w:type="pct"/>
            <w:shd w:val="clear" w:color="auto" w:fill="auto"/>
            <w:vAlign w:val="center"/>
          </w:tcPr>
          <w:p w14:paraId="3F5C3001">
            <w:pPr>
              <w:keepNext w:val="0"/>
              <w:keepLines w:val="0"/>
              <w:pageBreakBefore w:val="0"/>
              <w:widowControl/>
              <w:kinsoku/>
              <w:wordWrap/>
              <w:overflowPunct/>
              <w:topLinePunct w:val="0"/>
              <w:autoSpaceDE/>
              <w:autoSpaceDN/>
              <w:bidi w:val="0"/>
              <w:adjustRightInd w:val="0"/>
              <w:snapToGrid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成本</w:t>
            </w:r>
          </w:p>
        </w:tc>
        <w:tc>
          <w:tcPr>
            <w:tcW w:w="882" w:type="pct"/>
            <w:shd w:val="clear" w:color="auto" w:fill="auto"/>
            <w:vAlign w:val="center"/>
          </w:tcPr>
          <w:p w14:paraId="1D83953B">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公务网络机房用电单价</w:t>
            </w:r>
          </w:p>
        </w:tc>
        <w:tc>
          <w:tcPr>
            <w:tcW w:w="1206" w:type="pct"/>
            <w:shd w:val="clear" w:color="auto" w:fill="auto"/>
            <w:vAlign w:val="center"/>
          </w:tcPr>
          <w:p w14:paraId="152D586F">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如超出成本预期，扣除权重分值50%</w:t>
            </w:r>
          </w:p>
        </w:tc>
        <w:tc>
          <w:tcPr>
            <w:tcW w:w="684" w:type="pct"/>
            <w:shd w:val="clear" w:color="auto" w:fill="auto"/>
            <w:vAlign w:val="center"/>
          </w:tcPr>
          <w:p w14:paraId="4765A534">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公务网络机房用电单价</w:t>
            </w:r>
          </w:p>
        </w:tc>
        <w:tc>
          <w:tcPr>
            <w:tcW w:w="414" w:type="pct"/>
            <w:shd w:val="clear" w:color="auto" w:fill="auto"/>
            <w:vAlign w:val="center"/>
          </w:tcPr>
          <w:p w14:paraId="15CDD079">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w:t>
            </w:r>
          </w:p>
        </w:tc>
        <w:tc>
          <w:tcPr>
            <w:tcW w:w="450" w:type="pct"/>
            <w:shd w:val="clear" w:color="auto" w:fill="auto"/>
            <w:vAlign w:val="center"/>
          </w:tcPr>
          <w:p w14:paraId="2F91BC55">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1.1</w:t>
            </w:r>
          </w:p>
        </w:tc>
        <w:tc>
          <w:tcPr>
            <w:tcW w:w="288" w:type="pct"/>
            <w:shd w:val="clear" w:color="auto" w:fill="auto"/>
            <w:vAlign w:val="center"/>
          </w:tcPr>
          <w:p w14:paraId="5C81D28D">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元/度</w:t>
            </w:r>
          </w:p>
        </w:tc>
        <w:tc>
          <w:tcPr>
            <w:tcW w:w="329" w:type="pct"/>
            <w:shd w:val="clear" w:color="auto" w:fill="auto"/>
            <w:vAlign w:val="center"/>
          </w:tcPr>
          <w:p w14:paraId="71DEA5CE">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实际执行情况</w:t>
            </w:r>
          </w:p>
        </w:tc>
      </w:tr>
      <w:tr w14:paraId="514C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2148" w:hRule="atLeast"/>
        </w:trPr>
        <w:tc>
          <w:tcPr>
            <w:tcW w:w="347" w:type="pct"/>
            <w:vMerge w:val="restart"/>
            <w:shd w:val="clear" w:color="auto" w:fill="auto"/>
            <w:vAlign w:val="center"/>
          </w:tcPr>
          <w:p w14:paraId="0186DCDB">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仿宋_GB2312" w:cs="Times New Roman"/>
                <w:color w:val="000000" w:themeColor="text1"/>
                <w:kern w:val="0"/>
                <w:sz w:val="18"/>
                <w:szCs w:val="18"/>
                <w14:textFill>
                  <w14:solidFill>
                    <w14:schemeClr w14:val="tx1"/>
                  </w14:solidFill>
                </w14:textFill>
              </w:rPr>
            </w:pPr>
            <w:r>
              <w:rPr>
                <w:rFonts w:hint="default" w:ascii="方正书宋_GBK" w:hAnsi="方正书宋_GBK" w:eastAsia="方正书宋_GBK" w:cs="方正书宋_GBK"/>
                <w:sz w:val="21"/>
                <w:szCs w:val="24"/>
                <w:lang w:val="en-US" w:eastAsia="zh-CN" w:bidi="ar-SA"/>
              </w:rPr>
              <w:t>部门效果</w:t>
            </w:r>
          </w:p>
        </w:tc>
        <w:tc>
          <w:tcPr>
            <w:tcW w:w="396" w:type="pct"/>
            <w:shd w:val="clear" w:color="auto" w:fill="auto"/>
            <w:vAlign w:val="center"/>
          </w:tcPr>
          <w:p w14:paraId="6AF87176">
            <w:pPr>
              <w:keepNext w:val="0"/>
              <w:keepLines w:val="0"/>
              <w:pageBreakBefore w:val="0"/>
              <w:widowControl/>
              <w:kinsoku/>
              <w:wordWrap/>
              <w:overflowPunct/>
              <w:topLinePunct w:val="0"/>
              <w:autoSpaceDE/>
              <w:autoSpaceDN/>
              <w:bidi w:val="0"/>
              <w:adjustRightInd w:val="0"/>
              <w:snapToGrid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社会</w:t>
            </w:r>
          </w:p>
          <w:p w14:paraId="29001CF6">
            <w:pPr>
              <w:keepNext w:val="0"/>
              <w:keepLines w:val="0"/>
              <w:pageBreakBefore w:val="0"/>
              <w:widowControl/>
              <w:kinsoku/>
              <w:wordWrap/>
              <w:overflowPunct/>
              <w:topLinePunct w:val="0"/>
              <w:autoSpaceDE/>
              <w:autoSpaceDN/>
              <w:bidi w:val="0"/>
              <w:adjustRightInd w:val="0"/>
              <w:snapToGrid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效益</w:t>
            </w:r>
          </w:p>
        </w:tc>
        <w:tc>
          <w:tcPr>
            <w:tcW w:w="882" w:type="pct"/>
            <w:shd w:val="clear" w:color="auto" w:fill="auto"/>
            <w:vAlign w:val="center"/>
          </w:tcPr>
          <w:p w14:paraId="28DA37AF">
            <w:pPr>
              <w:keepNext w:val="0"/>
              <w:keepLines w:val="0"/>
              <w:pageBreakBefore w:val="0"/>
              <w:widowControl/>
              <w:suppressLineNumbers w:val="0"/>
              <w:kinsoku/>
              <w:wordWrap/>
              <w:overflowPunct/>
              <w:topLinePunct w:val="0"/>
              <w:autoSpaceDE/>
              <w:autoSpaceDN/>
              <w:bidi w:val="0"/>
              <w:jc w:val="center"/>
              <w:textAlignment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维护</w:t>
            </w:r>
            <w:r>
              <w:rPr>
                <w:rFonts w:hint="eastAsia" w:ascii="方正书宋_GBK" w:hAnsi="方正书宋_GBK" w:eastAsia="方正书宋_GBK" w:cs="方正书宋_GBK"/>
                <w:sz w:val="21"/>
                <w:szCs w:val="24"/>
                <w:lang w:val="en-US" w:eastAsia="zh-CN" w:bidi="ar-SA"/>
              </w:rPr>
              <w:t>积极的网络环境</w:t>
            </w:r>
            <w:r>
              <w:rPr>
                <w:rFonts w:hint="default" w:ascii="方正书宋_GBK" w:hAnsi="方正书宋_GBK" w:eastAsia="方正书宋_GBK" w:cs="方正书宋_GBK"/>
                <w:sz w:val="21"/>
                <w:szCs w:val="24"/>
                <w:lang w:val="en-US" w:eastAsia="zh-CN" w:bidi="ar-SA"/>
              </w:rPr>
              <w:t>，促进网络空间清朗有序</w:t>
            </w:r>
          </w:p>
        </w:tc>
        <w:tc>
          <w:tcPr>
            <w:tcW w:w="1206" w:type="pct"/>
            <w:shd w:val="clear" w:color="auto" w:fill="auto"/>
            <w:vAlign w:val="center"/>
          </w:tcPr>
          <w:p w14:paraId="15E689F3">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eastAsia" w:ascii="方正书宋_GBK" w:hAnsi="方正书宋_GBK" w:eastAsia="方正书宋_GBK" w:cs="方正书宋_GBK"/>
                <w:sz w:val="21"/>
                <w:szCs w:val="24"/>
                <w:lang w:val="en-US" w:eastAsia="zh-CN" w:bidi="ar-SA"/>
              </w:rPr>
              <w:t>达标得满分，效果一般得权重分的60%，没有效果不得分。</w:t>
            </w:r>
          </w:p>
        </w:tc>
        <w:tc>
          <w:tcPr>
            <w:tcW w:w="684" w:type="pct"/>
            <w:shd w:val="clear" w:color="auto" w:fill="auto"/>
            <w:vAlign w:val="center"/>
          </w:tcPr>
          <w:p w14:paraId="02A6B4F5">
            <w:pPr>
              <w:keepNext w:val="0"/>
              <w:keepLines w:val="0"/>
              <w:pageBreakBefore w:val="0"/>
              <w:widowControl/>
              <w:kinsoku/>
              <w:wordWrap/>
              <w:overflowPunct/>
              <w:topLinePunct w:val="0"/>
              <w:autoSpaceDE/>
              <w:autoSpaceDN/>
              <w:bidi w:val="0"/>
              <w:jc w:val="center"/>
              <w:rPr>
                <w:rFonts w:hint="eastAsia" w:ascii="方正书宋_GBK" w:hAnsi="方正书宋_GBK" w:eastAsia="方正书宋_GBK" w:cs="方正书宋_GBK"/>
                <w:sz w:val="21"/>
                <w:szCs w:val="24"/>
                <w:lang w:val="en-US" w:eastAsia="zh-CN" w:bidi="ar-SA"/>
              </w:rPr>
            </w:pPr>
            <w:r>
              <w:rPr>
                <w:rFonts w:hint="eastAsia" w:ascii="方正书宋_GBK" w:hAnsi="方正书宋_GBK" w:eastAsia="方正书宋_GBK" w:cs="方正书宋_GBK"/>
                <w:sz w:val="21"/>
                <w:szCs w:val="24"/>
                <w:lang w:val="en-US" w:eastAsia="zh-CN" w:bidi="ar-SA"/>
              </w:rPr>
              <w:t>我市网上知名度不断提升，网上宣传取得成果，</w:t>
            </w:r>
            <w:r>
              <w:rPr>
                <w:rFonts w:hint="default" w:ascii="方正书宋_GBK" w:hAnsi="方正书宋_GBK" w:eastAsia="方正书宋_GBK" w:cs="方正书宋_GBK"/>
                <w:sz w:val="21"/>
                <w:szCs w:val="24"/>
                <w:lang w:val="en-US" w:eastAsia="zh-CN" w:bidi="ar-SA"/>
              </w:rPr>
              <w:t>确保全市网上</w:t>
            </w:r>
            <w:r>
              <w:rPr>
                <w:rFonts w:hint="eastAsia" w:ascii="方正书宋_GBK" w:hAnsi="方正书宋_GBK" w:eastAsia="方正书宋_GBK" w:cs="方正书宋_GBK"/>
                <w:sz w:val="21"/>
                <w:szCs w:val="24"/>
                <w:lang w:val="en-US" w:eastAsia="zh-CN" w:bidi="ar-SA"/>
              </w:rPr>
              <w:t>环境</w:t>
            </w:r>
            <w:r>
              <w:rPr>
                <w:rFonts w:hint="default" w:ascii="方正书宋_GBK" w:hAnsi="方正书宋_GBK" w:eastAsia="方正书宋_GBK" w:cs="方正书宋_GBK"/>
                <w:sz w:val="21"/>
                <w:szCs w:val="24"/>
                <w:lang w:val="en-US" w:eastAsia="zh-CN" w:bidi="ar-SA"/>
              </w:rPr>
              <w:t>有序</w:t>
            </w:r>
          </w:p>
        </w:tc>
        <w:tc>
          <w:tcPr>
            <w:tcW w:w="414" w:type="pct"/>
            <w:shd w:val="clear" w:color="auto" w:fill="auto"/>
            <w:vAlign w:val="center"/>
          </w:tcPr>
          <w:p w14:paraId="5A8DDC61">
            <w:pPr>
              <w:keepNext w:val="0"/>
              <w:keepLines w:val="0"/>
              <w:pageBreakBefore w:val="0"/>
              <w:widowControl/>
              <w:kinsoku/>
              <w:wordWrap/>
              <w:overflowPunct/>
              <w:topLinePunct w:val="0"/>
              <w:autoSpaceDE/>
              <w:autoSpaceDN/>
              <w:bidi w:val="0"/>
              <w:jc w:val="center"/>
              <w:rPr>
                <w:rFonts w:hint="eastAsia" w:ascii="方正书宋_GBK" w:hAnsi="方正书宋_GBK" w:eastAsia="方正书宋_GBK" w:cs="方正书宋_GBK"/>
                <w:sz w:val="21"/>
                <w:szCs w:val="24"/>
                <w:lang w:val="en-US" w:eastAsia="zh-CN" w:bidi="ar-SA"/>
              </w:rPr>
            </w:pPr>
            <w:r>
              <w:rPr>
                <w:rFonts w:hint="eastAsia" w:ascii="方正书宋_GBK" w:hAnsi="方正书宋_GBK" w:eastAsia="方正书宋_GBK" w:cs="方正书宋_GBK"/>
                <w:sz w:val="21"/>
                <w:szCs w:val="24"/>
                <w:lang w:val="en-US" w:eastAsia="zh-CN" w:bidi="ar-SA"/>
              </w:rPr>
              <w:t>文字</w:t>
            </w:r>
          </w:p>
          <w:p w14:paraId="2FCC5903">
            <w:pPr>
              <w:keepNext w:val="0"/>
              <w:keepLines w:val="0"/>
              <w:pageBreakBefore w:val="0"/>
              <w:widowControl/>
              <w:kinsoku/>
              <w:wordWrap/>
              <w:overflowPunct/>
              <w:topLinePunct w:val="0"/>
              <w:autoSpaceDE/>
              <w:autoSpaceDN/>
              <w:bidi w:val="0"/>
              <w:jc w:val="center"/>
              <w:rPr>
                <w:rFonts w:hint="eastAsia" w:ascii="方正书宋_GBK" w:hAnsi="方正书宋_GBK" w:eastAsia="方正书宋_GBK" w:cs="方正书宋_GBK"/>
                <w:sz w:val="21"/>
                <w:szCs w:val="24"/>
                <w:lang w:val="en-US" w:eastAsia="zh-CN" w:bidi="ar-SA"/>
              </w:rPr>
            </w:pPr>
            <w:r>
              <w:rPr>
                <w:rFonts w:hint="eastAsia" w:ascii="方正书宋_GBK" w:hAnsi="方正书宋_GBK" w:eastAsia="方正书宋_GBK" w:cs="方正书宋_GBK"/>
                <w:sz w:val="21"/>
                <w:szCs w:val="24"/>
                <w:lang w:val="en-US" w:eastAsia="zh-CN" w:bidi="ar-SA"/>
              </w:rPr>
              <w:t>描述</w:t>
            </w:r>
          </w:p>
        </w:tc>
        <w:tc>
          <w:tcPr>
            <w:tcW w:w="450" w:type="pct"/>
            <w:shd w:val="clear" w:color="auto" w:fill="auto"/>
            <w:vAlign w:val="center"/>
          </w:tcPr>
          <w:p w14:paraId="00A9C970">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达到目标效果</w:t>
            </w:r>
          </w:p>
        </w:tc>
        <w:tc>
          <w:tcPr>
            <w:tcW w:w="288" w:type="pct"/>
            <w:shd w:val="clear" w:color="auto" w:fill="auto"/>
            <w:vAlign w:val="center"/>
          </w:tcPr>
          <w:p w14:paraId="60E9821D">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p>
        </w:tc>
        <w:tc>
          <w:tcPr>
            <w:tcW w:w="329" w:type="pct"/>
            <w:shd w:val="clear" w:color="auto" w:fill="auto"/>
            <w:vAlign w:val="center"/>
          </w:tcPr>
          <w:p w14:paraId="7296998E">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工作总结</w:t>
            </w:r>
          </w:p>
        </w:tc>
      </w:tr>
      <w:tr w14:paraId="49ADC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293" w:hRule="atLeast"/>
        </w:trPr>
        <w:tc>
          <w:tcPr>
            <w:tcW w:w="347" w:type="pct"/>
            <w:vMerge w:val="continue"/>
            <w:vAlign w:val="center"/>
          </w:tcPr>
          <w:p w14:paraId="4D85CA6D">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仿宋_GB2312" w:cs="Times New Roman"/>
                <w:color w:val="000000" w:themeColor="text1"/>
                <w:kern w:val="0"/>
                <w:sz w:val="18"/>
                <w:szCs w:val="18"/>
                <w14:textFill>
                  <w14:solidFill>
                    <w14:schemeClr w14:val="tx1"/>
                  </w14:solidFill>
                </w14:textFill>
              </w:rPr>
            </w:pPr>
          </w:p>
        </w:tc>
        <w:tc>
          <w:tcPr>
            <w:tcW w:w="396" w:type="pct"/>
            <w:vMerge w:val="restart"/>
            <w:shd w:val="clear" w:color="auto" w:fill="auto"/>
            <w:vAlign w:val="center"/>
          </w:tcPr>
          <w:p w14:paraId="01486243">
            <w:pPr>
              <w:keepNext w:val="0"/>
              <w:keepLines w:val="0"/>
              <w:pageBreakBefore w:val="0"/>
              <w:widowControl/>
              <w:kinsoku/>
              <w:wordWrap/>
              <w:overflowPunct/>
              <w:topLinePunct w:val="0"/>
              <w:autoSpaceDE/>
              <w:autoSpaceDN/>
              <w:bidi w:val="0"/>
              <w:adjustRightInd w:val="0"/>
              <w:snapToGrid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满意度</w:t>
            </w:r>
          </w:p>
        </w:tc>
        <w:tc>
          <w:tcPr>
            <w:tcW w:w="882" w:type="pct"/>
            <w:shd w:val="clear" w:color="auto" w:fill="auto"/>
            <w:vAlign w:val="center"/>
          </w:tcPr>
          <w:p w14:paraId="5E72FE1C">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“廊坊发布”公众号群众满意度情况　</w:t>
            </w:r>
          </w:p>
        </w:tc>
        <w:tc>
          <w:tcPr>
            <w:tcW w:w="1206" w:type="pct"/>
            <w:shd w:val="clear" w:color="auto" w:fill="auto"/>
            <w:vAlign w:val="center"/>
          </w:tcPr>
          <w:p w14:paraId="4C52E2E4">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满意度低于目标百分比10%扣除权重分值的10%。</w:t>
            </w:r>
          </w:p>
        </w:tc>
        <w:tc>
          <w:tcPr>
            <w:tcW w:w="684" w:type="pct"/>
            <w:shd w:val="clear" w:color="auto" w:fill="auto"/>
            <w:vAlign w:val="center"/>
          </w:tcPr>
          <w:p w14:paraId="6BE96881">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反映群众对公众号运维满意度　</w:t>
            </w:r>
          </w:p>
        </w:tc>
        <w:tc>
          <w:tcPr>
            <w:tcW w:w="414" w:type="pct"/>
            <w:shd w:val="clear" w:color="auto" w:fill="auto"/>
            <w:vAlign w:val="center"/>
          </w:tcPr>
          <w:p w14:paraId="43F03D5A">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w:t>
            </w:r>
          </w:p>
        </w:tc>
        <w:tc>
          <w:tcPr>
            <w:tcW w:w="450" w:type="pct"/>
            <w:shd w:val="clear" w:color="auto" w:fill="auto"/>
            <w:vAlign w:val="center"/>
          </w:tcPr>
          <w:p w14:paraId="13EAE026">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80</w:t>
            </w:r>
          </w:p>
        </w:tc>
        <w:tc>
          <w:tcPr>
            <w:tcW w:w="288" w:type="pct"/>
            <w:shd w:val="clear" w:color="auto" w:fill="auto"/>
            <w:vAlign w:val="center"/>
          </w:tcPr>
          <w:p w14:paraId="64A1572B">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w:t>
            </w:r>
          </w:p>
        </w:tc>
        <w:tc>
          <w:tcPr>
            <w:tcW w:w="329" w:type="pct"/>
            <w:shd w:val="clear" w:color="auto" w:fill="auto"/>
            <w:vAlign w:val="center"/>
          </w:tcPr>
          <w:p w14:paraId="56C0D150">
            <w:pPr>
              <w:keepNext w:val="0"/>
              <w:keepLines w:val="0"/>
              <w:pageBreakBefore w:val="0"/>
              <w:widowControl/>
              <w:kinsoku/>
              <w:wordWrap/>
              <w:overflowPunct/>
              <w:topLinePunct w:val="0"/>
              <w:autoSpaceDE/>
              <w:autoSpaceDN/>
              <w:bidi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问卷调查</w:t>
            </w:r>
          </w:p>
        </w:tc>
      </w:tr>
      <w:tr w14:paraId="03A98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1350" w:hRule="atLeast"/>
        </w:trPr>
        <w:tc>
          <w:tcPr>
            <w:tcW w:w="347" w:type="pct"/>
            <w:vMerge w:val="continue"/>
            <w:vAlign w:val="center"/>
          </w:tcPr>
          <w:p w14:paraId="1D62D5CF">
            <w:pPr>
              <w:keepNext w:val="0"/>
              <w:keepLines w:val="0"/>
              <w:pageBreakBefore w:val="0"/>
              <w:widowControl/>
              <w:kinsoku/>
              <w:wordWrap/>
              <w:overflowPunct/>
              <w:topLinePunct w:val="0"/>
              <w:autoSpaceDE/>
              <w:autoSpaceDN/>
              <w:bidi w:val="0"/>
              <w:adjustRightInd w:val="0"/>
              <w:snapToGrid w:val="0"/>
              <w:jc w:val="center"/>
              <w:rPr>
                <w:rFonts w:hint="default" w:ascii="Times New Roman" w:hAnsi="Times New Roman" w:eastAsia="仿宋_GB2312" w:cs="Times New Roman"/>
                <w:color w:val="000000" w:themeColor="text1"/>
                <w:kern w:val="0"/>
                <w:sz w:val="18"/>
                <w:szCs w:val="18"/>
                <w14:textFill>
                  <w14:solidFill>
                    <w14:schemeClr w14:val="tx1"/>
                  </w14:solidFill>
                </w14:textFill>
              </w:rPr>
            </w:pPr>
          </w:p>
        </w:tc>
        <w:tc>
          <w:tcPr>
            <w:tcW w:w="396" w:type="pct"/>
            <w:vMerge w:val="continue"/>
            <w:vAlign w:val="center"/>
          </w:tcPr>
          <w:p w14:paraId="6D5958A6">
            <w:pPr>
              <w:keepNext w:val="0"/>
              <w:keepLines w:val="0"/>
              <w:pageBreakBefore w:val="0"/>
              <w:widowControl/>
              <w:kinsoku/>
              <w:wordWrap/>
              <w:overflowPunct/>
              <w:topLinePunct w:val="0"/>
              <w:autoSpaceDE/>
              <w:autoSpaceDN/>
              <w:bidi w:val="0"/>
              <w:adjustRightInd w:val="0"/>
              <w:snapToGrid w:val="0"/>
              <w:jc w:val="center"/>
              <w:rPr>
                <w:rFonts w:hint="default" w:ascii="方正书宋_GBK" w:hAnsi="方正书宋_GBK" w:eastAsia="方正书宋_GBK" w:cs="方正书宋_GBK"/>
                <w:sz w:val="21"/>
                <w:szCs w:val="24"/>
                <w:lang w:val="en-US" w:eastAsia="zh-CN" w:bidi="ar-SA"/>
              </w:rPr>
            </w:pPr>
          </w:p>
        </w:tc>
        <w:tc>
          <w:tcPr>
            <w:tcW w:w="882" w:type="pct"/>
            <w:shd w:val="clear" w:color="auto" w:fill="auto"/>
            <w:noWrap/>
            <w:vAlign w:val="center"/>
          </w:tcPr>
          <w:p w14:paraId="08C430E3">
            <w:pPr>
              <w:keepNext w:val="0"/>
              <w:keepLines w:val="0"/>
              <w:pageBreakBefore w:val="0"/>
              <w:widowControl/>
              <w:kinsoku/>
              <w:wordWrap/>
              <w:overflowPunct/>
              <w:topLinePunct w:val="0"/>
              <w:autoSpaceDE/>
              <w:autoSpaceDN/>
              <w:bidi w:val="0"/>
              <w:adjustRightInd w:val="0"/>
              <w:snapToGrid w:val="0"/>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公务网络服务满意度</w:t>
            </w:r>
          </w:p>
        </w:tc>
        <w:tc>
          <w:tcPr>
            <w:tcW w:w="1206" w:type="pct"/>
            <w:shd w:val="clear" w:color="auto" w:fill="auto"/>
            <w:noWrap/>
            <w:vAlign w:val="center"/>
          </w:tcPr>
          <w:p w14:paraId="289A1A12">
            <w:pPr>
              <w:keepNext w:val="0"/>
              <w:keepLines w:val="0"/>
              <w:pageBreakBefore w:val="0"/>
              <w:widowControl/>
              <w:kinsoku/>
              <w:wordWrap/>
              <w:overflowPunct/>
              <w:topLinePunct w:val="0"/>
              <w:autoSpaceDE/>
              <w:autoSpaceDN/>
              <w:bidi w:val="0"/>
              <w:adjustRightInd w:val="0"/>
              <w:snapToGrid w:val="0"/>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如满意度不足90%，每降低5%，扣除权重分值的10%，当满意度低于60%，直接扣除该项目全部分值。</w:t>
            </w:r>
          </w:p>
        </w:tc>
        <w:tc>
          <w:tcPr>
            <w:tcW w:w="684" w:type="pct"/>
            <w:shd w:val="clear" w:color="auto" w:fill="auto"/>
            <w:noWrap/>
            <w:vAlign w:val="center"/>
          </w:tcPr>
          <w:p w14:paraId="351EE0D4">
            <w:pPr>
              <w:keepNext w:val="0"/>
              <w:keepLines w:val="0"/>
              <w:pageBreakBefore w:val="0"/>
              <w:widowControl/>
              <w:kinsoku/>
              <w:wordWrap/>
              <w:overflowPunct/>
              <w:topLinePunct w:val="0"/>
              <w:autoSpaceDE/>
              <w:autoSpaceDN/>
              <w:bidi w:val="0"/>
              <w:adjustRightInd w:val="0"/>
              <w:snapToGrid w:val="0"/>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接入单位服务满意度</w:t>
            </w:r>
          </w:p>
        </w:tc>
        <w:tc>
          <w:tcPr>
            <w:tcW w:w="414" w:type="pct"/>
            <w:shd w:val="clear" w:color="auto" w:fill="auto"/>
            <w:vAlign w:val="center"/>
          </w:tcPr>
          <w:p w14:paraId="77506149">
            <w:pPr>
              <w:keepNext w:val="0"/>
              <w:keepLines w:val="0"/>
              <w:pageBreakBefore w:val="0"/>
              <w:widowControl/>
              <w:kinsoku/>
              <w:wordWrap/>
              <w:overflowPunct/>
              <w:topLinePunct w:val="0"/>
              <w:autoSpaceDE/>
              <w:autoSpaceDN/>
              <w:bidi w:val="0"/>
              <w:adjustRightInd w:val="0"/>
              <w:snapToGrid w:val="0"/>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w:t>
            </w:r>
          </w:p>
        </w:tc>
        <w:tc>
          <w:tcPr>
            <w:tcW w:w="450" w:type="pct"/>
            <w:shd w:val="clear" w:color="auto" w:fill="auto"/>
            <w:vAlign w:val="center"/>
          </w:tcPr>
          <w:p w14:paraId="172B740A">
            <w:pPr>
              <w:keepNext w:val="0"/>
              <w:keepLines w:val="0"/>
              <w:pageBreakBefore w:val="0"/>
              <w:widowControl/>
              <w:kinsoku/>
              <w:wordWrap/>
              <w:overflowPunct/>
              <w:topLinePunct w:val="0"/>
              <w:autoSpaceDE/>
              <w:autoSpaceDN/>
              <w:bidi w:val="0"/>
              <w:adjustRightInd w:val="0"/>
              <w:snapToGrid w:val="0"/>
              <w:jc w:val="center"/>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90</w:t>
            </w:r>
          </w:p>
        </w:tc>
        <w:tc>
          <w:tcPr>
            <w:tcW w:w="288" w:type="pct"/>
            <w:shd w:val="clear" w:color="auto" w:fill="auto"/>
            <w:vAlign w:val="center"/>
          </w:tcPr>
          <w:p w14:paraId="5DCB56C7">
            <w:pPr>
              <w:keepNext w:val="0"/>
              <w:keepLines w:val="0"/>
              <w:pageBreakBefore w:val="0"/>
              <w:widowControl/>
              <w:kinsoku/>
              <w:wordWrap/>
              <w:overflowPunct/>
              <w:topLinePunct w:val="0"/>
              <w:autoSpaceDE/>
              <w:autoSpaceDN/>
              <w:bidi w:val="0"/>
              <w:adjustRightInd w:val="0"/>
              <w:snapToGrid w:val="0"/>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w:t>
            </w:r>
          </w:p>
        </w:tc>
        <w:tc>
          <w:tcPr>
            <w:tcW w:w="329" w:type="pct"/>
            <w:shd w:val="clear" w:color="auto" w:fill="auto"/>
            <w:vAlign w:val="center"/>
          </w:tcPr>
          <w:p w14:paraId="6CAF25FA">
            <w:pPr>
              <w:keepNext w:val="0"/>
              <w:keepLines w:val="0"/>
              <w:pageBreakBefore w:val="0"/>
              <w:widowControl/>
              <w:kinsoku/>
              <w:wordWrap/>
              <w:overflowPunct/>
              <w:topLinePunct w:val="0"/>
              <w:autoSpaceDE/>
              <w:autoSpaceDN/>
              <w:bidi w:val="0"/>
              <w:adjustRightInd w:val="0"/>
              <w:snapToGrid w:val="0"/>
              <w:rPr>
                <w:rFonts w:hint="default" w:ascii="方正书宋_GBK" w:hAnsi="方正书宋_GBK" w:eastAsia="方正书宋_GBK" w:cs="方正书宋_GBK"/>
                <w:sz w:val="21"/>
                <w:szCs w:val="24"/>
                <w:lang w:val="en-US" w:eastAsia="zh-CN" w:bidi="ar-SA"/>
              </w:rPr>
            </w:pPr>
            <w:r>
              <w:rPr>
                <w:rFonts w:hint="default" w:ascii="方正书宋_GBK" w:hAnsi="方正书宋_GBK" w:eastAsia="方正书宋_GBK" w:cs="方正书宋_GBK"/>
                <w:sz w:val="21"/>
                <w:szCs w:val="24"/>
                <w:lang w:val="en-US" w:eastAsia="zh-CN" w:bidi="ar-SA"/>
              </w:rPr>
              <w:t>调查问卷</w:t>
            </w:r>
          </w:p>
        </w:tc>
      </w:tr>
    </w:tbl>
    <w:p w14:paraId="59A916BB">
      <w:pPr>
        <w:pStyle w:val="14"/>
      </w:pPr>
    </w:p>
    <w:p w14:paraId="7467D417">
      <w:pPr>
        <w:spacing w:before="10" w:after="10" w:line="360" w:lineRule="auto"/>
        <w:ind w:firstLine="640"/>
        <w:outlineLvl w:val="2"/>
        <w:rPr>
          <w:rFonts w:ascii="黑体" w:hAnsi="黑体" w:eastAsia="黑体" w:cs="黑体"/>
          <w:color w:val="000000"/>
          <w:sz w:val="32"/>
          <w:szCs w:val="32"/>
        </w:rPr>
      </w:pPr>
      <w:r>
        <w:rPr>
          <w:rFonts w:ascii="黑体" w:hAnsi="黑体" w:eastAsia="黑体" w:cs="黑体"/>
          <w:color w:val="000000"/>
          <w:sz w:val="32"/>
          <w:szCs w:val="32"/>
        </w:rPr>
        <w:t>第</w:t>
      </w:r>
      <w:r>
        <w:rPr>
          <w:rFonts w:hint="eastAsia" w:ascii="黑体" w:hAnsi="黑体" w:eastAsia="黑体" w:cs="黑体"/>
          <w:color w:val="000000"/>
          <w:sz w:val="32"/>
          <w:szCs w:val="32"/>
          <w:lang w:eastAsia="zh-CN"/>
        </w:rPr>
        <w:t>二</w:t>
      </w:r>
      <w:r>
        <w:rPr>
          <w:rFonts w:ascii="黑体" w:hAnsi="黑体" w:eastAsia="黑体" w:cs="黑体"/>
          <w:color w:val="000000"/>
          <w:sz w:val="32"/>
          <w:szCs w:val="32"/>
        </w:rPr>
        <w:t>部分  预算项目绩效目标</w:t>
      </w:r>
    </w:p>
    <w:p w14:paraId="187EF863">
      <w:pPr>
        <w:pStyle w:val="15"/>
        <w:ind w:firstLine="560"/>
        <w:rPr>
          <w:rFonts w:ascii="黑体" w:hAnsi="黑体" w:eastAsia="黑体" w:cs="黑体"/>
          <w:color w:val="000000"/>
          <w:sz w:val="32"/>
          <w:szCs w:val="32"/>
          <w:lang w:val="en-US" w:eastAsia="uk-UA" w:bidi="ar-SA"/>
        </w:rPr>
      </w:pPr>
      <w:r>
        <w:rPr>
          <w:rFonts w:ascii="黑体" w:hAnsi="黑体" w:eastAsia="黑体" w:cs="黑体"/>
          <w:color w:val="000000"/>
          <w:sz w:val="32"/>
          <w:szCs w:val="32"/>
          <w:lang w:val="en-US" w:eastAsia="uk-UA" w:bidi="ar-SA"/>
        </w:rPr>
        <w:t>1、网信业务保障经费绩效目标表</w:t>
      </w:r>
    </w:p>
    <w:p w14:paraId="78329434">
      <w:pPr>
        <w:pStyle w:val="15"/>
        <w:spacing w:line="2" w:lineRule="exact"/>
        <w:jc w:val="center"/>
      </w:pPr>
      <w:r>
        <w:rPr>
          <w:rFonts w:ascii="方正书宋_GBK" w:hAnsi="方正书宋_GBK" w:eastAsia="方正书宋_GBK" w:cs="方正书宋_GBK"/>
          <w:color w:val="000000"/>
          <w:sz w:val="18"/>
        </w:rPr>
        <w:t xml:space="preserve"> </w:t>
      </w: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5C1F8CC4">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3D72B29C">
            <w:pPr>
              <w:pStyle w:val="8"/>
            </w:pPr>
            <w:r>
              <w:t>绩效目标</w:t>
            </w:r>
          </w:p>
        </w:tc>
        <w:tc>
          <w:tcPr>
            <w:tcW w:w="7399" w:type="dxa"/>
            <w:tcBorders>
              <w:bottom w:val="single" w:color="FFFFFF" w:sz="6" w:space="0"/>
            </w:tcBorders>
            <w:vAlign w:val="center"/>
          </w:tcPr>
          <w:p w14:paraId="59A34B58">
            <w:pPr>
              <w:pStyle w:val="9"/>
            </w:pPr>
            <w:r>
              <w:t>1.通过开展此项目，更好地发挥互联网宣传管理职能，全面保障廊坊市网信工作正常开展。</w:t>
            </w:r>
          </w:p>
          <w:p w14:paraId="6F1DE148">
            <w:pPr>
              <w:pStyle w:val="9"/>
            </w:pPr>
            <w:r>
              <w:t>2.保障廊坊网信办的指挥便捷、调度顺畅，为各项网信工作提供保障。</w:t>
            </w:r>
          </w:p>
        </w:tc>
      </w:tr>
    </w:tbl>
    <w:p w14:paraId="1B0D99CA">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3211E0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0FF507D1">
            <w:pPr>
              <w:pStyle w:val="8"/>
            </w:pPr>
            <w:r>
              <w:t>一级指标</w:t>
            </w:r>
          </w:p>
        </w:tc>
        <w:tc>
          <w:tcPr>
            <w:tcW w:w="2466" w:type="dxa"/>
            <w:vAlign w:val="center"/>
          </w:tcPr>
          <w:p w14:paraId="36B9645F">
            <w:pPr>
              <w:pStyle w:val="8"/>
            </w:pPr>
            <w:r>
              <w:t>二级指标</w:t>
            </w:r>
          </w:p>
        </w:tc>
        <w:tc>
          <w:tcPr>
            <w:tcW w:w="2466" w:type="dxa"/>
            <w:vAlign w:val="center"/>
          </w:tcPr>
          <w:p w14:paraId="152AB430">
            <w:pPr>
              <w:pStyle w:val="8"/>
            </w:pPr>
            <w:r>
              <w:t>三级指标</w:t>
            </w:r>
          </w:p>
        </w:tc>
        <w:tc>
          <w:tcPr>
            <w:tcW w:w="2466" w:type="dxa"/>
            <w:vAlign w:val="center"/>
          </w:tcPr>
          <w:p w14:paraId="634938F6">
            <w:pPr>
              <w:pStyle w:val="8"/>
            </w:pPr>
            <w:r>
              <w:t>绩效指标描述</w:t>
            </w:r>
          </w:p>
        </w:tc>
        <w:tc>
          <w:tcPr>
            <w:tcW w:w="2466" w:type="dxa"/>
            <w:vAlign w:val="center"/>
          </w:tcPr>
          <w:p w14:paraId="643B6228">
            <w:pPr>
              <w:pStyle w:val="8"/>
            </w:pPr>
            <w:r>
              <w:t>指标值</w:t>
            </w:r>
          </w:p>
        </w:tc>
        <w:tc>
          <w:tcPr>
            <w:tcW w:w="2466" w:type="dxa"/>
            <w:vAlign w:val="center"/>
          </w:tcPr>
          <w:p w14:paraId="0F53B7CE">
            <w:pPr>
              <w:pStyle w:val="8"/>
            </w:pPr>
            <w:r>
              <w:t>指标值确定依据</w:t>
            </w:r>
          </w:p>
        </w:tc>
      </w:tr>
      <w:tr w14:paraId="757E38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65E76BB9">
            <w:pPr>
              <w:pStyle w:val="10"/>
            </w:pPr>
            <w:r>
              <w:t>产出指标</w:t>
            </w:r>
          </w:p>
        </w:tc>
        <w:tc>
          <w:tcPr>
            <w:tcW w:w="2466" w:type="dxa"/>
            <w:vAlign w:val="center"/>
          </w:tcPr>
          <w:p w14:paraId="5C7F3D82">
            <w:pPr>
              <w:pStyle w:val="9"/>
            </w:pPr>
            <w:r>
              <w:t>数量指标</w:t>
            </w:r>
          </w:p>
        </w:tc>
        <w:tc>
          <w:tcPr>
            <w:tcW w:w="2466" w:type="dxa"/>
            <w:vAlign w:val="center"/>
          </w:tcPr>
          <w:p w14:paraId="489FD34D">
            <w:pPr>
              <w:pStyle w:val="9"/>
            </w:pPr>
            <w:r>
              <w:t>视频会议系统租赁数量</w:t>
            </w:r>
          </w:p>
        </w:tc>
        <w:tc>
          <w:tcPr>
            <w:tcW w:w="2466" w:type="dxa"/>
            <w:vAlign w:val="center"/>
          </w:tcPr>
          <w:p w14:paraId="4024BDD1">
            <w:pPr>
              <w:pStyle w:val="9"/>
            </w:pPr>
            <w:r>
              <w:t>2023年视频会议系统租赁数量</w:t>
            </w:r>
          </w:p>
        </w:tc>
        <w:tc>
          <w:tcPr>
            <w:tcW w:w="2466" w:type="dxa"/>
            <w:vAlign w:val="center"/>
          </w:tcPr>
          <w:p w14:paraId="4000CDB6">
            <w:pPr>
              <w:pStyle w:val="9"/>
            </w:pPr>
            <w:r>
              <w:t>1套</w:t>
            </w:r>
          </w:p>
        </w:tc>
        <w:tc>
          <w:tcPr>
            <w:tcW w:w="2466" w:type="dxa"/>
            <w:vAlign w:val="center"/>
          </w:tcPr>
          <w:p w14:paraId="52290235">
            <w:pPr>
              <w:pStyle w:val="9"/>
            </w:pPr>
            <w:r>
              <w:t>实际租赁情况</w:t>
            </w:r>
          </w:p>
        </w:tc>
      </w:tr>
      <w:tr w14:paraId="2D51A7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9536B5C"/>
        </w:tc>
        <w:tc>
          <w:tcPr>
            <w:tcW w:w="2466" w:type="dxa"/>
            <w:vAlign w:val="center"/>
          </w:tcPr>
          <w:p w14:paraId="48EDC86E">
            <w:pPr>
              <w:pStyle w:val="9"/>
            </w:pPr>
            <w:r>
              <w:t>质量指标</w:t>
            </w:r>
          </w:p>
        </w:tc>
        <w:tc>
          <w:tcPr>
            <w:tcW w:w="2466" w:type="dxa"/>
            <w:vAlign w:val="center"/>
          </w:tcPr>
          <w:p w14:paraId="35AD9101">
            <w:pPr>
              <w:pStyle w:val="9"/>
            </w:pPr>
            <w:r>
              <w:t>安全保卫人员出勤率</w:t>
            </w:r>
          </w:p>
        </w:tc>
        <w:tc>
          <w:tcPr>
            <w:tcW w:w="2466" w:type="dxa"/>
            <w:vAlign w:val="center"/>
          </w:tcPr>
          <w:p w14:paraId="796181AA">
            <w:pPr>
              <w:pStyle w:val="9"/>
            </w:pPr>
            <w:r>
              <w:t>安全保卫人员全年出勤率率</w:t>
            </w:r>
          </w:p>
        </w:tc>
        <w:tc>
          <w:tcPr>
            <w:tcW w:w="2466" w:type="dxa"/>
            <w:vAlign w:val="center"/>
          </w:tcPr>
          <w:p w14:paraId="2019CAB8">
            <w:pPr>
              <w:pStyle w:val="9"/>
            </w:pPr>
            <w:r>
              <w:t>≥95%</w:t>
            </w:r>
          </w:p>
        </w:tc>
        <w:tc>
          <w:tcPr>
            <w:tcW w:w="2466" w:type="dxa"/>
            <w:vAlign w:val="center"/>
          </w:tcPr>
          <w:p w14:paraId="471CAC3E">
            <w:pPr>
              <w:pStyle w:val="9"/>
            </w:pPr>
            <w:r>
              <w:t>工作记录表</w:t>
            </w:r>
          </w:p>
        </w:tc>
      </w:tr>
      <w:tr w14:paraId="4C2DBE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29" w:hRule="atLeast"/>
          <w:jc w:val="center"/>
        </w:trPr>
        <w:tc>
          <w:tcPr>
            <w:tcW w:w="2466" w:type="dxa"/>
            <w:vMerge w:val="continue"/>
            <w:vAlign w:val="center"/>
          </w:tcPr>
          <w:p w14:paraId="2EDE1A29"/>
        </w:tc>
        <w:tc>
          <w:tcPr>
            <w:tcW w:w="2466" w:type="dxa"/>
            <w:vAlign w:val="center"/>
          </w:tcPr>
          <w:p w14:paraId="460BF04F">
            <w:pPr>
              <w:pStyle w:val="9"/>
            </w:pPr>
            <w:r>
              <w:t>成本指标</w:t>
            </w:r>
          </w:p>
        </w:tc>
        <w:tc>
          <w:tcPr>
            <w:tcW w:w="2466" w:type="dxa"/>
            <w:vAlign w:val="center"/>
          </w:tcPr>
          <w:p w14:paraId="46012CF1">
            <w:pPr>
              <w:pStyle w:val="9"/>
            </w:pPr>
            <w:r>
              <w:t>文印服务成本</w:t>
            </w:r>
          </w:p>
        </w:tc>
        <w:tc>
          <w:tcPr>
            <w:tcW w:w="2466" w:type="dxa"/>
            <w:vAlign w:val="center"/>
          </w:tcPr>
          <w:p w14:paraId="13CF5ED5">
            <w:pPr>
              <w:pStyle w:val="9"/>
            </w:pPr>
            <w:r>
              <w:t>全年文印服务费用</w:t>
            </w:r>
          </w:p>
        </w:tc>
        <w:tc>
          <w:tcPr>
            <w:tcW w:w="2466" w:type="dxa"/>
            <w:vAlign w:val="center"/>
          </w:tcPr>
          <w:p w14:paraId="41752A62">
            <w:pPr>
              <w:pStyle w:val="9"/>
            </w:pPr>
            <w:r>
              <w:t>≤20万元</w:t>
            </w:r>
          </w:p>
        </w:tc>
        <w:tc>
          <w:tcPr>
            <w:tcW w:w="2466" w:type="dxa"/>
            <w:vAlign w:val="center"/>
          </w:tcPr>
          <w:p w14:paraId="3011AFEE">
            <w:pPr>
              <w:pStyle w:val="9"/>
            </w:pPr>
            <w:r>
              <w:t>实际支付情况</w:t>
            </w:r>
          </w:p>
        </w:tc>
      </w:tr>
      <w:tr w14:paraId="4C247E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3" w:hRule="atLeast"/>
          <w:jc w:val="center"/>
        </w:trPr>
        <w:tc>
          <w:tcPr>
            <w:tcW w:w="2466" w:type="dxa"/>
            <w:vAlign w:val="center"/>
          </w:tcPr>
          <w:p w14:paraId="60F93FC9">
            <w:pPr>
              <w:pStyle w:val="10"/>
            </w:pPr>
            <w:r>
              <w:t>效益指标</w:t>
            </w:r>
          </w:p>
        </w:tc>
        <w:tc>
          <w:tcPr>
            <w:tcW w:w="2466" w:type="dxa"/>
            <w:vAlign w:val="center"/>
          </w:tcPr>
          <w:p w14:paraId="2C0416FF">
            <w:pPr>
              <w:pStyle w:val="9"/>
            </w:pPr>
            <w:r>
              <w:t>社会效益指标</w:t>
            </w:r>
          </w:p>
        </w:tc>
        <w:tc>
          <w:tcPr>
            <w:tcW w:w="2466" w:type="dxa"/>
            <w:vAlign w:val="center"/>
          </w:tcPr>
          <w:p w14:paraId="650AFCF5">
            <w:pPr>
              <w:pStyle w:val="9"/>
            </w:pPr>
            <w:r>
              <w:t>营造安全稳定的网络空间和良好网上舆论氛围</w:t>
            </w:r>
          </w:p>
        </w:tc>
        <w:tc>
          <w:tcPr>
            <w:tcW w:w="2466" w:type="dxa"/>
            <w:vAlign w:val="center"/>
          </w:tcPr>
          <w:p w14:paraId="7090F0AF">
            <w:pPr>
              <w:pStyle w:val="9"/>
            </w:pPr>
            <w:r>
              <w:t>是否营造安全稳定繁荣的网络空间和良好网上舆论氛围</w:t>
            </w:r>
          </w:p>
        </w:tc>
        <w:tc>
          <w:tcPr>
            <w:tcW w:w="2466" w:type="dxa"/>
            <w:vAlign w:val="center"/>
          </w:tcPr>
          <w:p w14:paraId="5B043DBB">
            <w:pPr>
              <w:pStyle w:val="9"/>
            </w:pPr>
            <w:r>
              <w:t>是</w:t>
            </w:r>
          </w:p>
        </w:tc>
        <w:tc>
          <w:tcPr>
            <w:tcW w:w="2466" w:type="dxa"/>
            <w:vAlign w:val="center"/>
          </w:tcPr>
          <w:p w14:paraId="1E10E88D">
            <w:pPr>
              <w:pStyle w:val="9"/>
            </w:pPr>
            <w:r>
              <w:t>工作总结</w:t>
            </w:r>
          </w:p>
        </w:tc>
      </w:tr>
      <w:tr w14:paraId="3CA172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184F9332">
            <w:pPr>
              <w:pStyle w:val="10"/>
            </w:pPr>
            <w:r>
              <w:t>满意度指标</w:t>
            </w:r>
          </w:p>
        </w:tc>
        <w:tc>
          <w:tcPr>
            <w:tcW w:w="2466" w:type="dxa"/>
            <w:vAlign w:val="center"/>
          </w:tcPr>
          <w:p w14:paraId="38C152FE">
            <w:pPr>
              <w:pStyle w:val="9"/>
            </w:pPr>
            <w:r>
              <w:t>服务对象满意度指标</w:t>
            </w:r>
          </w:p>
        </w:tc>
        <w:tc>
          <w:tcPr>
            <w:tcW w:w="2466" w:type="dxa"/>
            <w:vAlign w:val="center"/>
          </w:tcPr>
          <w:p w14:paraId="50026668">
            <w:pPr>
              <w:pStyle w:val="9"/>
            </w:pPr>
            <w:r>
              <w:t>视频会议系统使用人员满意度　</w:t>
            </w:r>
          </w:p>
        </w:tc>
        <w:tc>
          <w:tcPr>
            <w:tcW w:w="2466" w:type="dxa"/>
            <w:vAlign w:val="center"/>
          </w:tcPr>
          <w:p w14:paraId="188DD048">
            <w:pPr>
              <w:pStyle w:val="9"/>
            </w:pPr>
            <w:r>
              <w:t>视频会议系统使用人员满意率</w:t>
            </w:r>
          </w:p>
        </w:tc>
        <w:tc>
          <w:tcPr>
            <w:tcW w:w="2466" w:type="dxa"/>
            <w:vAlign w:val="center"/>
          </w:tcPr>
          <w:p w14:paraId="2A1EB782">
            <w:pPr>
              <w:pStyle w:val="9"/>
            </w:pPr>
            <w:r>
              <w:t>≥90%　</w:t>
            </w:r>
          </w:p>
        </w:tc>
        <w:tc>
          <w:tcPr>
            <w:tcW w:w="2466" w:type="dxa"/>
            <w:vAlign w:val="center"/>
          </w:tcPr>
          <w:p w14:paraId="72D9E9A6">
            <w:pPr>
              <w:pStyle w:val="9"/>
            </w:pPr>
            <w:r>
              <w:t>问卷调查　</w:t>
            </w:r>
          </w:p>
        </w:tc>
      </w:tr>
    </w:tbl>
    <w:p w14:paraId="2A93999A">
      <w:pPr>
        <w:pStyle w:val="2"/>
        <w:rPr>
          <w:rFonts w:ascii="方正仿宋_GBK" w:hAnsi="方正仿宋_GBK" w:eastAsia="方正仿宋_GBK" w:cs="方正仿宋_GBK"/>
          <w:b/>
          <w:color w:val="000000"/>
          <w:sz w:val="28"/>
        </w:rPr>
      </w:pPr>
    </w:p>
    <w:p w14:paraId="0B13CB37">
      <w:pPr>
        <w:pStyle w:val="2"/>
        <w:rPr>
          <w:rFonts w:ascii="方正仿宋_GBK" w:hAnsi="方正仿宋_GBK" w:eastAsia="方正仿宋_GBK" w:cs="方正仿宋_GBK"/>
          <w:b/>
          <w:color w:val="000000"/>
          <w:sz w:val="28"/>
        </w:rPr>
      </w:pPr>
    </w:p>
    <w:p w14:paraId="5FE39FE9">
      <w:pPr>
        <w:spacing w:before="0" w:after="0"/>
        <w:ind w:firstLine="560"/>
        <w:jc w:val="left"/>
        <w:outlineLvl w:val="9"/>
        <w:rPr>
          <w:rFonts w:ascii="方正仿宋_GBK" w:hAnsi="方正仿宋_GBK" w:eastAsia="方正仿宋_GBK" w:cs="方正仿宋_GBK"/>
          <w:b/>
          <w:color w:val="000000"/>
          <w:sz w:val="28"/>
        </w:rPr>
      </w:pPr>
    </w:p>
    <w:p w14:paraId="57115314">
      <w:pPr>
        <w:pStyle w:val="15"/>
        <w:ind w:firstLine="560"/>
        <w:rPr>
          <w:rFonts w:ascii="黑体" w:hAnsi="黑体" w:eastAsia="黑体" w:cs="黑体"/>
          <w:color w:val="000000"/>
          <w:sz w:val="32"/>
          <w:szCs w:val="32"/>
          <w:lang w:val="en-US" w:eastAsia="uk-UA" w:bidi="ar-SA"/>
        </w:rPr>
      </w:pPr>
      <w:r>
        <w:rPr>
          <w:rFonts w:ascii="黑体" w:hAnsi="黑体" w:eastAsia="黑体" w:cs="黑体"/>
          <w:color w:val="000000"/>
          <w:sz w:val="32"/>
          <w:szCs w:val="32"/>
          <w:lang w:val="en-US" w:eastAsia="uk-UA" w:bidi="ar-SA"/>
        </w:rPr>
        <w:t>2、公务网络机房维护经费绩效目标表</w:t>
      </w:r>
    </w:p>
    <w:p w14:paraId="4302AD85">
      <w:pPr>
        <w:pStyle w:val="15"/>
        <w:ind w:firstLine="560"/>
        <w:rPr>
          <w:rFonts w:ascii="黑体" w:hAnsi="黑体" w:eastAsia="黑体" w:cs="黑体"/>
          <w:color w:val="000000"/>
          <w:sz w:val="32"/>
          <w:szCs w:val="32"/>
          <w:lang w:val="en-US" w:eastAsia="uk-UA" w:bidi="ar-SA"/>
        </w:rPr>
      </w:pP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6A3CD0EE">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46A42EC0">
            <w:pPr>
              <w:pStyle w:val="8"/>
            </w:pPr>
            <w:r>
              <w:t>绩效目标</w:t>
            </w:r>
          </w:p>
        </w:tc>
        <w:tc>
          <w:tcPr>
            <w:tcW w:w="7399" w:type="dxa"/>
            <w:tcBorders>
              <w:bottom w:val="single" w:color="FFFFFF" w:sz="6" w:space="0"/>
            </w:tcBorders>
            <w:vAlign w:val="center"/>
          </w:tcPr>
          <w:p w14:paraId="4D5B0043">
            <w:pPr>
              <w:pStyle w:val="9"/>
            </w:pPr>
            <w:r>
              <w:t>1.通过项目的开展，确保机房各类设备安全稳定运行，保障电子政务外网、办公资源网、财政、GIS等专网畅通；确保电子政务外网畅通，各业务专网稳定；实时监测各个托管政务信息化系统，保障公务云计算中心稳定运行；</w:t>
            </w:r>
          </w:p>
          <w:p w14:paraId="337957B3">
            <w:pPr>
              <w:pStyle w:val="9"/>
            </w:pPr>
            <w:r>
              <w:t>2.通过项目的开展，确保信息资源中心公务网络机房各类设备稳定运行，保障公务网络畅通。</w:t>
            </w:r>
          </w:p>
        </w:tc>
      </w:tr>
    </w:tbl>
    <w:p w14:paraId="59899AD5">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513D34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6275198B">
            <w:pPr>
              <w:pStyle w:val="8"/>
            </w:pPr>
            <w:r>
              <w:t>一级指标</w:t>
            </w:r>
          </w:p>
        </w:tc>
        <w:tc>
          <w:tcPr>
            <w:tcW w:w="2466" w:type="dxa"/>
            <w:vAlign w:val="center"/>
          </w:tcPr>
          <w:p w14:paraId="28C729F9">
            <w:pPr>
              <w:pStyle w:val="8"/>
            </w:pPr>
            <w:r>
              <w:t>二级指标</w:t>
            </w:r>
          </w:p>
        </w:tc>
        <w:tc>
          <w:tcPr>
            <w:tcW w:w="2466" w:type="dxa"/>
            <w:vAlign w:val="center"/>
          </w:tcPr>
          <w:p w14:paraId="0532623D">
            <w:pPr>
              <w:pStyle w:val="8"/>
            </w:pPr>
            <w:r>
              <w:t>三级指标</w:t>
            </w:r>
          </w:p>
        </w:tc>
        <w:tc>
          <w:tcPr>
            <w:tcW w:w="2466" w:type="dxa"/>
            <w:vAlign w:val="center"/>
          </w:tcPr>
          <w:p w14:paraId="789CBBEC">
            <w:pPr>
              <w:pStyle w:val="8"/>
            </w:pPr>
            <w:r>
              <w:t>绩效指标描述</w:t>
            </w:r>
          </w:p>
        </w:tc>
        <w:tc>
          <w:tcPr>
            <w:tcW w:w="2466" w:type="dxa"/>
            <w:vAlign w:val="center"/>
          </w:tcPr>
          <w:p w14:paraId="5900560A">
            <w:pPr>
              <w:pStyle w:val="8"/>
            </w:pPr>
            <w:r>
              <w:t>指标值</w:t>
            </w:r>
          </w:p>
        </w:tc>
        <w:tc>
          <w:tcPr>
            <w:tcW w:w="2466" w:type="dxa"/>
            <w:vAlign w:val="center"/>
          </w:tcPr>
          <w:p w14:paraId="21B7C78C">
            <w:pPr>
              <w:pStyle w:val="8"/>
            </w:pPr>
            <w:r>
              <w:t>指标值确定依据</w:t>
            </w:r>
          </w:p>
        </w:tc>
      </w:tr>
      <w:tr w14:paraId="215F3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22493005">
            <w:pPr>
              <w:pStyle w:val="10"/>
            </w:pPr>
            <w:r>
              <w:t>产出指标</w:t>
            </w:r>
          </w:p>
        </w:tc>
        <w:tc>
          <w:tcPr>
            <w:tcW w:w="2466" w:type="dxa"/>
            <w:vAlign w:val="center"/>
          </w:tcPr>
          <w:p w14:paraId="54D185E1">
            <w:pPr>
              <w:pStyle w:val="9"/>
            </w:pPr>
            <w:r>
              <w:t>数量指标</w:t>
            </w:r>
          </w:p>
        </w:tc>
        <w:tc>
          <w:tcPr>
            <w:tcW w:w="2466" w:type="dxa"/>
            <w:vAlign w:val="center"/>
          </w:tcPr>
          <w:p w14:paraId="4BEDE37F">
            <w:pPr>
              <w:pStyle w:val="9"/>
            </w:pPr>
            <w:r>
              <w:t>运维市级接入单位互连线路数量</w:t>
            </w:r>
          </w:p>
        </w:tc>
        <w:tc>
          <w:tcPr>
            <w:tcW w:w="2466" w:type="dxa"/>
            <w:vAlign w:val="center"/>
          </w:tcPr>
          <w:p w14:paraId="2849A051">
            <w:pPr>
              <w:pStyle w:val="9"/>
            </w:pPr>
            <w:r>
              <w:t>运维市级接入单位互连线路并能保证稳定俺去运行的总体数量</w:t>
            </w:r>
          </w:p>
        </w:tc>
        <w:tc>
          <w:tcPr>
            <w:tcW w:w="2466" w:type="dxa"/>
            <w:vAlign w:val="center"/>
          </w:tcPr>
          <w:p w14:paraId="3B128663">
            <w:pPr>
              <w:pStyle w:val="9"/>
            </w:pPr>
            <w:r>
              <w:t>≥200条</w:t>
            </w:r>
          </w:p>
        </w:tc>
        <w:tc>
          <w:tcPr>
            <w:tcW w:w="2466" w:type="dxa"/>
            <w:vAlign w:val="center"/>
          </w:tcPr>
          <w:p w14:paraId="25317C5D">
            <w:pPr>
              <w:pStyle w:val="9"/>
            </w:pPr>
            <w:r>
              <w:t>根据实际运行数据统计测算。</w:t>
            </w:r>
          </w:p>
        </w:tc>
      </w:tr>
      <w:tr w14:paraId="536FED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6924336"/>
        </w:tc>
        <w:tc>
          <w:tcPr>
            <w:tcW w:w="2466" w:type="dxa"/>
            <w:vAlign w:val="center"/>
          </w:tcPr>
          <w:p w14:paraId="725581C0">
            <w:pPr>
              <w:pStyle w:val="9"/>
            </w:pPr>
            <w:r>
              <w:t>质量指标</w:t>
            </w:r>
          </w:p>
        </w:tc>
        <w:tc>
          <w:tcPr>
            <w:tcW w:w="2466" w:type="dxa"/>
            <w:vAlign w:val="center"/>
          </w:tcPr>
          <w:p w14:paraId="3DC3C65B">
            <w:pPr>
              <w:pStyle w:val="9"/>
            </w:pPr>
            <w:r>
              <w:t>政务外网服务中断率</w:t>
            </w:r>
          </w:p>
        </w:tc>
        <w:tc>
          <w:tcPr>
            <w:tcW w:w="2466" w:type="dxa"/>
            <w:vAlign w:val="center"/>
          </w:tcPr>
          <w:p w14:paraId="71A5FCA8">
            <w:pPr>
              <w:pStyle w:val="9"/>
            </w:pPr>
            <w:r>
              <w:t>累计中断时间与使用时间的比值。</w:t>
            </w:r>
          </w:p>
        </w:tc>
        <w:tc>
          <w:tcPr>
            <w:tcW w:w="2466" w:type="dxa"/>
            <w:vAlign w:val="center"/>
          </w:tcPr>
          <w:p w14:paraId="66BE53E5">
            <w:pPr>
              <w:pStyle w:val="9"/>
            </w:pPr>
            <w:r>
              <w:t>≤2%</w:t>
            </w:r>
          </w:p>
        </w:tc>
        <w:tc>
          <w:tcPr>
            <w:tcW w:w="2466" w:type="dxa"/>
            <w:vAlign w:val="center"/>
          </w:tcPr>
          <w:p w14:paraId="45D13631">
            <w:pPr>
              <w:pStyle w:val="9"/>
            </w:pPr>
            <w:r>
              <w:t>根据实际运行数据统计测算。</w:t>
            </w:r>
          </w:p>
        </w:tc>
      </w:tr>
      <w:tr w14:paraId="187BE8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D131A29"/>
        </w:tc>
        <w:tc>
          <w:tcPr>
            <w:tcW w:w="2466" w:type="dxa"/>
            <w:vAlign w:val="center"/>
          </w:tcPr>
          <w:p w14:paraId="46CFFE5D">
            <w:pPr>
              <w:pStyle w:val="9"/>
            </w:pPr>
            <w:r>
              <w:t>时效指标</w:t>
            </w:r>
          </w:p>
        </w:tc>
        <w:tc>
          <w:tcPr>
            <w:tcW w:w="2466" w:type="dxa"/>
            <w:vAlign w:val="center"/>
          </w:tcPr>
          <w:p w14:paraId="0249B510">
            <w:pPr>
              <w:pStyle w:val="9"/>
            </w:pPr>
            <w:r>
              <w:t>政务外网线路故障修复效率</w:t>
            </w:r>
          </w:p>
        </w:tc>
        <w:tc>
          <w:tcPr>
            <w:tcW w:w="2466" w:type="dxa"/>
            <w:vAlign w:val="center"/>
          </w:tcPr>
          <w:p w14:paraId="56C2CFC4">
            <w:pPr>
              <w:pStyle w:val="9"/>
            </w:pPr>
            <w:r>
              <w:t>各类线路故障修复平均时间</w:t>
            </w:r>
          </w:p>
        </w:tc>
        <w:tc>
          <w:tcPr>
            <w:tcW w:w="2466" w:type="dxa"/>
            <w:vAlign w:val="center"/>
          </w:tcPr>
          <w:p w14:paraId="11DB52DC">
            <w:pPr>
              <w:pStyle w:val="9"/>
            </w:pPr>
            <w:r>
              <w:t>≤4小时　</w:t>
            </w:r>
          </w:p>
        </w:tc>
        <w:tc>
          <w:tcPr>
            <w:tcW w:w="2466" w:type="dxa"/>
            <w:vAlign w:val="center"/>
          </w:tcPr>
          <w:p w14:paraId="2BD2F7D9">
            <w:pPr>
              <w:pStyle w:val="9"/>
            </w:pPr>
            <w:r>
              <w:t>根据线路全市实际运行数据统计测算。</w:t>
            </w:r>
          </w:p>
        </w:tc>
      </w:tr>
      <w:tr w14:paraId="5A2DEE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66B917B"/>
        </w:tc>
        <w:tc>
          <w:tcPr>
            <w:tcW w:w="2466" w:type="dxa"/>
            <w:vAlign w:val="center"/>
          </w:tcPr>
          <w:p w14:paraId="068B0A94">
            <w:pPr>
              <w:pStyle w:val="9"/>
            </w:pPr>
            <w:r>
              <w:t>成本指标</w:t>
            </w:r>
          </w:p>
        </w:tc>
        <w:tc>
          <w:tcPr>
            <w:tcW w:w="2466" w:type="dxa"/>
            <w:vAlign w:val="center"/>
          </w:tcPr>
          <w:p w14:paraId="0914F16D">
            <w:pPr>
              <w:pStyle w:val="9"/>
            </w:pPr>
            <w:r>
              <w:t>公务网络机房用电单价</w:t>
            </w:r>
          </w:p>
        </w:tc>
        <w:tc>
          <w:tcPr>
            <w:tcW w:w="2466" w:type="dxa"/>
            <w:vAlign w:val="center"/>
          </w:tcPr>
          <w:p w14:paraId="36D4337D">
            <w:pPr>
              <w:pStyle w:val="9"/>
            </w:pPr>
            <w:r>
              <w:t>公务网络机房用电单价</w:t>
            </w:r>
          </w:p>
        </w:tc>
        <w:tc>
          <w:tcPr>
            <w:tcW w:w="2466" w:type="dxa"/>
            <w:vAlign w:val="center"/>
          </w:tcPr>
          <w:p w14:paraId="43E5CD2E">
            <w:pPr>
              <w:pStyle w:val="9"/>
            </w:pPr>
            <w:r>
              <w:t>1.1元/度</w:t>
            </w:r>
          </w:p>
        </w:tc>
        <w:tc>
          <w:tcPr>
            <w:tcW w:w="2466" w:type="dxa"/>
            <w:vAlign w:val="center"/>
          </w:tcPr>
          <w:p w14:paraId="6195B68C">
            <w:pPr>
              <w:pStyle w:val="9"/>
            </w:pPr>
            <w:r>
              <w:t>实际执行情况</w:t>
            </w:r>
          </w:p>
        </w:tc>
      </w:tr>
      <w:tr w14:paraId="75C1D7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146E682D">
            <w:pPr>
              <w:pStyle w:val="10"/>
            </w:pPr>
            <w:r>
              <w:t>效益指标</w:t>
            </w:r>
          </w:p>
        </w:tc>
        <w:tc>
          <w:tcPr>
            <w:tcW w:w="2466" w:type="dxa"/>
            <w:vAlign w:val="center"/>
          </w:tcPr>
          <w:p w14:paraId="0FB5919E">
            <w:pPr>
              <w:pStyle w:val="9"/>
            </w:pPr>
            <w:r>
              <w:t>社会效益指标</w:t>
            </w:r>
          </w:p>
        </w:tc>
        <w:tc>
          <w:tcPr>
            <w:tcW w:w="2466" w:type="dxa"/>
            <w:vAlign w:val="center"/>
          </w:tcPr>
          <w:p w14:paraId="64C2E1BC">
            <w:pPr>
              <w:pStyle w:val="9"/>
            </w:pPr>
            <w:r>
              <w:t>妥善保障公务云平台上各政务系统稳定运行</w:t>
            </w:r>
          </w:p>
        </w:tc>
        <w:tc>
          <w:tcPr>
            <w:tcW w:w="2466" w:type="dxa"/>
            <w:vAlign w:val="center"/>
          </w:tcPr>
          <w:p w14:paraId="34F0BE99">
            <w:pPr>
              <w:pStyle w:val="9"/>
            </w:pPr>
            <w:r>
              <w:t>是否能够稳定运行公务云平台上的政务系统，为相关市直单位施政履职提供信息化支撑</w:t>
            </w:r>
          </w:p>
        </w:tc>
        <w:tc>
          <w:tcPr>
            <w:tcW w:w="2466" w:type="dxa"/>
            <w:vAlign w:val="center"/>
          </w:tcPr>
          <w:p w14:paraId="053E1FCA">
            <w:pPr>
              <w:pStyle w:val="9"/>
            </w:pPr>
            <w:r>
              <w:t>能够稳定运行</w:t>
            </w:r>
          </w:p>
        </w:tc>
        <w:tc>
          <w:tcPr>
            <w:tcW w:w="2466" w:type="dxa"/>
            <w:vAlign w:val="center"/>
          </w:tcPr>
          <w:p w14:paraId="3730C553">
            <w:pPr>
              <w:pStyle w:val="9"/>
            </w:pPr>
            <w:r>
              <w:t>工作总结。</w:t>
            </w:r>
          </w:p>
        </w:tc>
      </w:tr>
      <w:tr w14:paraId="74EE86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592CDB15">
            <w:pPr>
              <w:pStyle w:val="10"/>
            </w:pPr>
            <w:r>
              <w:t>满意度指标</w:t>
            </w:r>
          </w:p>
        </w:tc>
        <w:tc>
          <w:tcPr>
            <w:tcW w:w="2466" w:type="dxa"/>
            <w:vAlign w:val="center"/>
          </w:tcPr>
          <w:p w14:paraId="01E64ED2">
            <w:pPr>
              <w:pStyle w:val="9"/>
            </w:pPr>
            <w:r>
              <w:t>服务对象满意度指标</w:t>
            </w:r>
          </w:p>
        </w:tc>
        <w:tc>
          <w:tcPr>
            <w:tcW w:w="2466" w:type="dxa"/>
            <w:vAlign w:val="center"/>
          </w:tcPr>
          <w:p w14:paraId="7A363608">
            <w:pPr>
              <w:pStyle w:val="9"/>
            </w:pPr>
            <w:r>
              <w:t>公务网络服务满意度</w:t>
            </w:r>
          </w:p>
        </w:tc>
        <w:tc>
          <w:tcPr>
            <w:tcW w:w="2466" w:type="dxa"/>
            <w:vAlign w:val="center"/>
          </w:tcPr>
          <w:p w14:paraId="1B683722">
            <w:pPr>
              <w:pStyle w:val="9"/>
            </w:pPr>
            <w:r>
              <w:t>接入单位服务满意度</w:t>
            </w:r>
          </w:p>
        </w:tc>
        <w:tc>
          <w:tcPr>
            <w:tcW w:w="2466" w:type="dxa"/>
            <w:vAlign w:val="center"/>
          </w:tcPr>
          <w:p w14:paraId="089040CC">
            <w:pPr>
              <w:pStyle w:val="9"/>
            </w:pPr>
            <w:r>
              <w:t>≥90%</w:t>
            </w:r>
          </w:p>
        </w:tc>
        <w:tc>
          <w:tcPr>
            <w:tcW w:w="2466" w:type="dxa"/>
            <w:vAlign w:val="center"/>
          </w:tcPr>
          <w:p w14:paraId="77DB2A62">
            <w:pPr>
              <w:pStyle w:val="9"/>
            </w:pPr>
            <w:r>
              <w:t>调查问卷</w:t>
            </w:r>
          </w:p>
        </w:tc>
      </w:tr>
    </w:tbl>
    <w:p w14:paraId="27AE29E1">
      <w:pPr>
        <w:pStyle w:val="15"/>
        <w:rPr>
          <w:rFonts w:hint="eastAsia" w:eastAsia="宋体"/>
          <w:lang w:val="en-US" w:eastAsia="zh-CN"/>
        </w:rPr>
      </w:pPr>
      <w:r>
        <w:rPr>
          <w:rFonts w:hint="eastAsia" w:eastAsia="宋体"/>
          <w:lang w:val="en-US" w:eastAsia="zh-CN"/>
        </w:rPr>
        <w:t xml:space="preserve">   </w:t>
      </w:r>
    </w:p>
    <w:p w14:paraId="15A1EF9D">
      <w:pPr>
        <w:spacing w:before="0" w:after="0"/>
        <w:ind w:firstLine="560"/>
        <w:jc w:val="left"/>
        <w:outlineLvl w:val="9"/>
        <w:rPr>
          <w:rFonts w:ascii="方正仿宋_GBK" w:hAnsi="方正仿宋_GBK" w:eastAsia="方正仿宋_GBK" w:cs="方正仿宋_GBK"/>
          <w:b/>
          <w:color w:val="000000"/>
          <w:sz w:val="28"/>
        </w:rPr>
      </w:pPr>
    </w:p>
    <w:p w14:paraId="6C100F91">
      <w:pPr>
        <w:spacing w:before="0" w:after="0"/>
        <w:ind w:firstLine="560"/>
        <w:jc w:val="left"/>
        <w:outlineLvl w:val="9"/>
        <w:rPr>
          <w:rFonts w:ascii="方正仿宋_GBK" w:hAnsi="方正仿宋_GBK" w:eastAsia="方正仿宋_GBK" w:cs="方正仿宋_GBK"/>
          <w:b/>
          <w:color w:val="000000"/>
          <w:sz w:val="28"/>
        </w:rPr>
      </w:pPr>
    </w:p>
    <w:p w14:paraId="3B328B63">
      <w:pPr>
        <w:spacing w:before="0" w:after="0"/>
        <w:jc w:val="left"/>
        <w:outlineLvl w:val="9"/>
        <w:rPr>
          <w:rFonts w:ascii="方正仿宋_GBK" w:hAnsi="方正仿宋_GBK" w:eastAsia="方正仿宋_GBK" w:cs="方正仿宋_GBK"/>
          <w:b/>
          <w:color w:val="000000"/>
          <w:sz w:val="28"/>
        </w:rPr>
      </w:pPr>
    </w:p>
    <w:p w14:paraId="6F9314C2">
      <w:pPr>
        <w:spacing w:before="0" w:after="0"/>
        <w:ind w:firstLine="560"/>
        <w:jc w:val="left"/>
        <w:outlineLvl w:val="9"/>
        <w:rPr>
          <w:rFonts w:ascii="黑体" w:hAnsi="黑体" w:eastAsia="黑体" w:cs="黑体"/>
          <w:color w:val="000000"/>
          <w:sz w:val="32"/>
          <w:szCs w:val="32"/>
          <w:lang w:val="en-US" w:eastAsia="uk-UA" w:bidi="ar-SA"/>
        </w:rPr>
      </w:pPr>
      <w:r>
        <w:rPr>
          <w:rFonts w:ascii="黑体" w:hAnsi="黑体" w:eastAsia="黑体" w:cs="黑体"/>
          <w:color w:val="000000"/>
          <w:sz w:val="32"/>
          <w:szCs w:val="32"/>
          <w:lang w:val="en-US" w:eastAsia="uk-UA" w:bidi="ar-SA"/>
        </w:rPr>
        <w:t>3、河北健康码与身份证绑定查验廊坊平台运行维护经费绩效目标表</w:t>
      </w:r>
    </w:p>
    <w:p w14:paraId="7F598224">
      <w:pPr>
        <w:pStyle w:val="15"/>
        <w:rPr>
          <w:rFonts w:hint="default" w:eastAsia="宋体"/>
          <w:lang w:val="en-US" w:eastAsia="zh-CN"/>
        </w:rPr>
      </w:pP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1CCB8A46">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285A3A90">
            <w:pPr>
              <w:pStyle w:val="8"/>
            </w:pPr>
            <w:r>
              <w:t>绩效目标</w:t>
            </w:r>
          </w:p>
        </w:tc>
        <w:tc>
          <w:tcPr>
            <w:tcW w:w="7399" w:type="dxa"/>
            <w:tcBorders>
              <w:bottom w:val="single" w:color="FFFFFF" w:sz="6" w:space="0"/>
            </w:tcBorders>
            <w:vAlign w:val="center"/>
          </w:tcPr>
          <w:p w14:paraId="3D963EAC">
            <w:pPr>
              <w:pStyle w:val="9"/>
            </w:pPr>
            <w:r>
              <w:t>1.通过实施此项目，确保平台安全性和稳定性，保持我市刷身份证同步查验健康码工作稳定，实现数据的安全管理和高效利用。</w:t>
            </w:r>
          </w:p>
          <w:p w14:paraId="74125F06">
            <w:pPr>
              <w:pStyle w:val="9"/>
            </w:pPr>
            <w:r>
              <w:t>2.过实施此项目，保证全市15242台测温设备刷身份证同步查验健康码工作，保障系统满足等级保护三级要求，确保平台安全性和稳定性，实现数据的安全管理和高效利用。</w:t>
            </w:r>
          </w:p>
        </w:tc>
      </w:tr>
    </w:tbl>
    <w:p w14:paraId="37ADC661">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6FD99A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2E804ABA">
            <w:pPr>
              <w:pStyle w:val="8"/>
            </w:pPr>
            <w:r>
              <w:t>一级指标</w:t>
            </w:r>
          </w:p>
        </w:tc>
        <w:tc>
          <w:tcPr>
            <w:tcW w:w="2466" w:type="dxa"/>
            <w:vAlign w:val="center"/>
          </w:tcPr>
          <w:p w14:paraId="08A0491F">
            <w:pPr>
              <w:pStyle w:val="8"/>
            </w:pPr>
            <w:r>
              <w:t>二级指标</w:t>
            </w:r>
          </w:p>
        </w:tc>
        <w:tc>
          <w:tcPr>
            <w:tcW w:w="2466" w:type="dxa"/>
            <w:vAlign w:val="center"/>
          </w:tcPr>
          <w:p w14:paraId="764641E0">
            <w:pPr>
              <w:pStyle w:val="8"/>
            </w:pPr>
            <w:r>
              <w:t>三级指标</w:t>
            </w:r>
          </w:p>
        </w:tc>
        <w:tc>
          <w:tcPr>
            <w:tcW w:w="2466" w:type="dxa"/>
            <w:vAlign w:val="center"/>
          </w:tcPr>
          <w:p w14:paraId="68E01274">
            <w:pPr>
              <w:pStyle w:val="8"/>
            </w:pPr>
            <w:r>
              <w:t>绩效指标描述</w:t>
            </w:r>
          </w:p>
        </w:tc>
        <w:tc>
          <w:tcPr>
            <w:tcW w:w="2466" w:type="dxa"/>
            <w:vAlign w:val="center"/>
          </w:tcPr>
          <w:p w14:paraId="07B75748">
            <w:pPr>
              <w:pStyle w:val="8"/>
            </w:pPr>
            <w:r>
              <w:t>指标值</w:t>
            </w:r>
          </w:p>
        </w:tc>
        <w:tc>
          <w:tcPr>
            <w:tcW w:w="2466" w:type="dxa"/>
            <w:vAlign w:val="center"/>
          </w:tcPr>
          <w:p w14:paraId="4CC2E693">
            <w:pPr>
              <w:pStyle w:val="8"/>
            </w:pPr>
            <w:r>
              <w:t>指标值确定依据</w:t>
            </w:r>
          </w:p>
        </w:tc>
      </w:tr>
      <w:tr w14:paraId="5AB26D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33210BC6">
            <w:pPr>
              <w:pStyle w:val="10"/>
            </w:pPr>
            <w:r>
              <w:t>产出指标</w:t>
            </w:r>
          </w:p>
        </w:tc>
        <w:tc>
          <w:tcPr>
            <w:tcW w:w="2466" w:type="dxa"/>
            <w:vAlign w:val="center"/>
          </w:tcPr>
          <w:p w14:paraId="51686625">
            <w:pPr>
              <w:pStyle w:val="9"/>
            </w:pPr>
            <w:r>
              <w:t>数量指标</w:t>
            </w:r>
          </w:p>
        </w:tc>
        <w:tc>
          <w:tcPr>
            <w:tcW w:w="2466" w:type="dxa"/>
            <w:vAlign w:val="center"/>
          </w:tcPr>
          <w:p w14:paraId="08B1FDB8">
            <w:pPr>
              <w:pStyle w:val="9"/>
            </w:pPr>
            <w:r>
              <w:t>等保测评情况</w:t>
            </w:r>
          </w:p>
        </w:tc>
        <w:tc>
          <w:tcPr>
            <w:tcW w:w="2466" w:type="dxa"/>
            <w:vAlign w:val="center"/>
          </w:tcPr>
          <w:p w14:paraId="4B755473">
            <w:pPr>
              <w:pStyle w:val="9"/>
            </w:pPr>
            <w:r>
              <w:t>系统的等保测评数量</w:t>
            </w:r>
          </w:p>
        </w:tc>
        <w:tc>
          <w:tcPr>
            <w:tcW w:w="2466" w:type="dxa"/>
            <w:vAlign w:val="center"/>
          </w:tcPr>
          <w:p w14:paraId="069A02FE">
            <w:pPr>
              <w:pStyle w:val="9"/>
            </w:pPr>
            <w:r>
              <w:t>≥2份</w:t>
            </w:r>
          </w:p>
        </w:tc>
        <w:tc>
          <w:tcPr>
            <w:tcW w:w="2466" w:type="dxa"/>
            <w:vAlign w:val="center"/>
          </w:tcPr>
          <w:p w14:paraId="3A79CF0C">
            <w:pPr>
              <w:pStyle w:val="9"/>
            </w:pPr>
            <w:r>
              <w:t>工作实际、测评报告</w:t>
            </w:r>
          </w:p>
        </w:tc>
      </w:tr>
      <w:tr w14:paraId="2A97A3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CDBED25"/>
        </w:tc>
        <w:tc>
          <w:tcPr>
            <w:tcW w:w="2466" w:type="dxa"/>
            <w:vAlign w:val="center"/>
          </w:tcPr>
          <w:p w14:paraId="5F85E477">
            <w:pPr>
              <w:pStyle w:val="9"/>
            </w:pPr>
            <w:r>
              <w:t>质量指标</w:t>
            </w:r>
          </w:p>
        </w:tc>
        <w:tc>
          <w:tcPr>
            <w:tcW w:w="2466" w:type="dxa"/>
            <w:vAlign w:val="center"/>
          </w:tcPr>
          <w:p w14:paraId="333FF8CD">
            <w:pPr>
              <w:pStyle w:val="9"/>
            </w:pPr>
            <w:r>
              <w:t>全年接口故障时长</w:t>
            </w:r>
          </w:p>
        </w:tc>
        <w:tc>
          <w:tcPr>
            <w:tcW w:w="2466" w:type="dxa"/>
            <w:vAlign w:val="center"/>
          </w:tcPr>
          <w:p w14:paraId="21E08B24">
            <w:pPr>
              <w:pStyle w:val="9"/>
            </w:pPr>
            <w:r>
              <w:t>全年接口出现的故障时长</w:t>
            </w:r>
          </w:p>
        </w:tc>
        <w:tc>
          <w:tcPr>
            <w:tcW w:w="2466" w:type="dxa"/>
            <w:vAlign w:val="center"/>
          </w:tcPr>
          <w:p w14:paraId="3D12A940">
            <w:pPr>
              <w:pStyle w:val="9"/>
            </w:pPr>
            <w:r>
              <w:t>≤24小时</w:t>
            </w:r>
          </w:p>
        </w:tc>
        <w:tc>
          <w:tcPr>
            <w:tcW w:w="2466" w:type="dxa"/>
            <w:vAlign w:val="center"/>
          </w:tcPr>
          <w:p w14:paraId="42539CF4">
            <w:pPr>
              <w:pStyle w:val="9"/>
            </w:pPr>
            <w:r>
              <w:t>平台报告</w:t>
            </w:r>
          </w:p>
        </w:tc>
      </w:tr>
      <w:tr w14:paraId="63A57DE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8CA4338"/>
        </w:tc>
        <w:tc>
          <w:tcPr>
            <w:tcW w:w="2466" w:type="dxa"/>
            <w:vAlign w:val="center"/>
          </w:tcPr>
          <w:p w14:paraId="62841E15">
            <w:pPr>
              <w:pStyle w:val="9"/>
            </w:pPr>
            <w:r>
              <w:t>时效指标</w:t>
            </w:r>
          </w:p>
        </w:tc>
        <w:tc>
          <w:tcPr>
            <w:tcW w:w="2466" w:type="dxa"/>
            <w:vAlign w:val="center"/>
          </w:tcPr>
          <w:p w14:paraId="50D54FBD">
            <w:pPr>
              <w:pStyle w:val="9"/>
            </w:pPr>
            <w:r>
              <w:t>等保测评完成时长</w:t>
            </w:r>
          </w:p>
        </w:tc>
        <w:tc>
          <w:tcPr>
            <w:tcW w:w="2466" w:type="dxa"/>
            <w:vAlign w:val="center"/>
          </w:tcPr>
          <w:p w14:paraId="716B61EB">
            <w:pPr>
              <w:pStyle w:val="9"/>
            </w:pPr>
            <w:r>
              <w:t>等保测评完成时长不超过60天</w:t>
            </w:r>
          </w:p>
        </w:tc>
        <w:tc>
          <w:tcPr>
            <w:tcW w:w="2466" w:type="dxa"/>
            <w:vAlign w:val="center"/>
          </w:tcPr>
          <w:p w14:paraId="2A41C59D">
            <w:pPr>
              <w:pStyle w:val="9"/>
            </w:pPr>
            <w:r>
              <w:t>≤60天</w:t>
            </w:r>
          </w:p>
        </w:tc>
        <w:tc>
          <w:tcPr>
            <w:tcW w:w="2466" w:type="dxa"/>
            <w:vAlign w:val="center"/>
          </w:tcPr>
          <w:p w14:paraId="3719DDAD">
            <w:pPr>
              <w:pStyle w:val="9"/>
            </w:pPr>
            <w:r>
              <w:t>工作总结</w:t>
            </w:r>
          </w:p>
        </w:tc>
      </w:tr>
      <w:tr w14:paraId="158FAB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7E7EA945"/>
        </w:tc>
        <w:tc>
          <w:tcPr>
            <w:tcW w:w="2466" w:type="dxa"/>
            <w:vAlign w:val="center"/>
          </w:tcPr>
          <w:p w14:paraId="0714E308">
            <w:pPr>
              <w:pStyle w:val="9"/>
            </w:pPr>
            <w:r>
              <w:t>成本指标</w:t>
            </w:r>
          </w:p>
        </w:tc>
        <w:tc>
          <w:tcPr>
            <w:tcW w:w="2466" w:type="dxa"/>
            <w:vAlign w:val="center"/>
          </w:tcPr>
          <w:p w14:paraId="53B4CD97">
            <w:pPr>
              <w:pStyle w:val="9"/>
            </w:pPr>
            <w:r>
              <w:t>项目成本控制</w:t>
            </w:r>
          </w:p>
        </w:tc>
        <w:tc>
          <w:tcPr>
            <w:tcW w:w="2466" w:type="dxa"/>
            <w:vAlign w:val="center"/>
          </w:tcPr>
          <w:p w14:paraId="3154E537">
            <w:pPr>
              <w:pStyle w:val="9"/>
            </w:pPr>
            <w:r>
              <w:t>平台运维服务</w:t>
            </w:r>
          </w:p>
        </w:tc>
        <w:tc>
          <w:tcPr>
            <w:tcW w:w="2466" w:type="dxa"/>
            <w:vAlign w:val="center"/>
          </w:tcPr>
          <w:p w14:paraId="5A173748">
            <w:pPr>
              <w:pStyle w:val="9"/>
            </w:pPr>
            <w:r>
              <w:t>≤30万元</w:t>
            </w:r>
          </w:p>
        </w:tc>
        <w:tc>
          <w:tcPr>
            <w:tcW w:w="2466" w:type="dxa"/>
            <w:vAlign w:val="center"/>
          </w:tcPr>
          <w:p w14:paraId="762C013D">
            <w:pPr>
              <w:pStyle w:val="9"/>
            </w:pPr>
            <w:r>
              <w:t>合同及支出情况</w:t>
            </w:r>
          </w:p>
        </w:tc>
      </w:tr>
      <w:tr w14:paraId="264196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0C712E0E">
            <w:pPr>
              <w:pStyle w:val="10"/>
            </w:pPr>
            <w:r>
              <w:t>效益指标</w:t>
            </w:r>
          </w:p>
        </w:tc>
        <w:tc>
          <w:tcPr>
            <w:tcW w:w="2466" w:type="dxa"/>
            <w:vAlign w:val="center"/>
          </w:tcPr>
          <w:p w14:paraId="5F700C1A">
            <w:pPr>
              <w:pStyle w:val="9"/>
            </w:pPr>
            <w:r>
              <w:t>社会效益指标</w:t>
            </w:r>
          </w:p>
        </w:tc>
        <w:tc>
          <w:tcPr>
            <w:tcW w:w="2466" w:type="dxa"/>
            <w:vAlign w:val="center"/>
          </w:tcPr>
          <w:p w14:paraId="53E4BBB6">
            <w:pPr>
              <w:pStyle w:val="9"/>
            </w:pPr>
            <w:r>
              <w:t>保障平台数据精准</w:t>
            </w:r>
          </w:p>
        </w:tc>
        <w:tc>
          <w:tcPr>
            <w:tcW w:w="2466" w:type="dxa"/>
            <w:vAlign w:val="center"/>
          </w:tcPr>
          <w:p w14:paraId="34C228D6">
            <w:pPr>
              <w:pStyle w:val="9"/>
            </w:pPr>
            <w:r>
              <w:t>保障平台数据精准</w:t>
            </w:r>
          </w:p>
        </w:tc>
        <w:tc>
          <w:tcPr>
            <w:tcW w:w="2466" w:type="dxa"/>
            <w:vAlign w:val="center"/>
          </w:tcPr>
          <w:p w14:paraId="1F3B7319">
            <w:pPr>
              <w:pStyle w:val="9"/>
            </w:pPr>
            <w:r>
              <w:t>可以保障</w:t>
            </w:r>
          </w:p>
        </w:tc>
        <w:tc>
          <w:tcPr>
            <w:tcW w:w="2466" w:type="dxa"/>
            <w:vAlign w:val="center"/>
          </w:tcPr>
          <w:p w14:paraId="2D97C4E2">
            <w:pPr>
              <w:pStyle w:val="9"/>
            </w:pPr>
            <w:r>
              <w:t>工作总结</w:t>
            </w:r>
          </w:p>
        </w:tc>
      </w:tr>
      <w:tr w14:paraId="414832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57AA0797">
            <w:pPr>
              <w:pStyle w:val="10"/>
            </w:pPr>
            <w:r>
              <w:t>满意度指标</w:t>
            </w:r>
          </w:p>
        </w:tc>
        <w:tc>
          <w:tcPr>
            <w:tcW w:w="2466" w:type="dxa"/>
            <w:vAlign w:val="center"/>
          </w:tcPr>
          <w:p w14:paraId="6E459293">
            <w:pPr>
              <w:pStyle w:val="9"/>
            </w:pPr>
            <w:r>
              <w:t>服务对象满意度指标</w:t>
            </w:r>
          </w:p>
        </w:tc>
        <w:tc>
          <w:tcPr>
            <w:tcW w:w="2466" w:type="dxa"/>
            <w:vAlign w:val="center"/>
          </w:tcPr>
          <w:p w14:paraId="664817DA">
            <w:pPr>
              <w:pStyle w:val="9"/>
            </w:pPr>
            <w:r>
              <w:t>相关行业主管部门满意度</w:t>
            </w:r>
          </w:p>
        </w:tc>
        <w:tc>
          <w:tcPr>
            <w:tcW w:w="2466" w:type="dxa"/>
            <w:vAlign w:val="center"/>
          </w:tcPr>
          <w:p w14:paraId="6A8F9708">
            <w:pPr>
              <w:pStyle w:val="9"/>
            </w:pPr>
            <w:r>
              <w:t>相关行业主管部门满意度</w:t>
            </w:r>
          </w:p>
        </w:tc>
        <w:tc>
          <w:tcPr>
            <w:tcW w:w="2466" w:type="dxa"/>
            <w:vAlign w:val="center"/>
          </w:tcPr>
          <w:p w14:paraId="747AD65D">
            <w:pPr>
              <w:pStyle w:val="9"/>
            </w:pPr>
            <w:r>
              <w:t>≥90%</w:t>
            </w:r>
          </w:p>
        </w:tc>
        <w:tc>
          <w:tcPr>
            <w:tcW w:w="2466" w:type="dxa"/>
            <w:vAlign w:val="center"/>
          </w:tcPr>
          <w:p w14:paraId="3548C214">
            <w:pPr>
              <w:pStyle w:val="9"/>
            </w:pPr>
            <w:r>
              <w:t>出具行业主管部门意见</w:t>
            </w:r>
          </w:p>
        </w:tc>
      </w:tr>
    </w:tbl>
    <w:p w14:paraId="7B050E5B">
      <w:pPr>
        <w:pStyle w:val="15"/>
      </w:pPr>
    </w:p>
    <w:p w14:paraId="319A753D">
      <w:pPr>
        <w:spacing w:before="0" w:after="0"/>
        <w:ind w:firstLine="560"/>
        <w:jc w:val="left"/>
        <w:outlineLvl w:val="9"/>
        <w:rPr>
          <w:rFonts w:ascii="方正仿宋_GBK" w:hAnsi="方正仿宋_GBK" w:eastAsia="方正仿宋_GBK" w:cs="方正仿宋_GBK"/>
          <w:b/>
          <w:color w:val="000000"/>
          <w:sz w:val="28"/>
        </w:rPr>
      </w:pPr>
    </w:p>
    <w:p w14:paraId="633D50E7">
      <w:pPr>
        <w:spacing w:before="0" w:after="0"/>
        <w:ind w:firstLine="560"/>
        <w:jc w:val="left"/>
        <w:outlineLvl w:val="9"/>
        <w:rPr>
          <w:rFonts w:ascii="方正仿宋_GBK" w:hAnsi="方正仿宋_GBK" w:eastAsia="方正仿宋_GBK" w:cs="方正仿宋_GBK"/>
          <w:b/>
          <w:color w:val="000000"/>
          <w:sz w:val="28"/>
        </w:rPr>
      </w:pPr>
    </w:p>
    <w:p w14:paraId="2A2076EF">
      <w:pPr>
        <w:spacing w:before="0" w:after="0"/>
        <w:ind w:firstLine="560"/>
        <w:jc w:val="left"/>
        <w:outlineLvl w:val="9"/>
        <w:rPr>
          <w:rFonts w:ascii="方正仿宋_GBK" w:hAnsi="方正仿宋_GBK" w:eastAsia="方正仿宋_GBK" w:cs="方正仿宋_GBK"/>
          <w:b/>
          <w:color w:val="000000"/>
          <w:sz w:val="28"/>
        </w:rPr>
      </w:pPr>
    </w:p>
    <w:p w14:paraId="61D158CC">
      <w:pPr>
        <w:spacing w:before="0" w:after="0"/>
        <w:ind w:firstLine="560"/>
        <w:jc w:val="left"/>
        <w:outlineLvl w:val="9"/>
        <w:rPr>
          <w:rFonts w:ascii="方正仿宋_GBK" w:hAnsi="方正仿宋_GBK" w:eastAsia="方正仿宋_GBK" w:cs="方正仿宋_GBK"/>
          <w:b/>
          <w:color w:val="000000"/>
          <w:sz w:val="28"/>
        </w:rPr>
      </w:pPr>
    </w:p>
    <w:p w14:paraId="13B8E942">
      <w:pPr>
        <w:spacing w:before="0" w:after="0"/>
        <w:ind w:firstLine="560"/>
        <w:jc w:val="left"/>
        <w:outlineLvl w:val="9"/>
        <w:rPr>
          <w:rFonts w:ascii="方正仿宋_GBK" w:hAnsi="方正仿宋_GBK" w:eastAsia="方正仿宋_GBK" w:cs="方正仿宋_GBK"/>
          <w:b/>
          <w:color w:val="000000"/>
          <w:sz w:val="28"/>
        </w:rPr>
      </w:pPr>
    </w:p>
    <w:p w14:paraId="1410F965">
      <w:pPr>
        <w:spacing w:before="0" w:after="0"/>
        <w:ind w:firstLine="560"/>
        <w:jc w:val="left"/>
        <w:outlineLvl w:val="9"/>
        <w:rPr>
          <w:rFonts w:ascii="方正仿宋_GBK" w:hAnsi="方正仿宋_GBK" w:eastAsia="方正仿宋_GBK" w:cs="方正仿宋_GBK"/>
          <w:b/>
          <w:color w:val="000000"/>
          <w:sz w:val="28"/>
        </w:rPr>
      </w:pPr>
    </w:p>
    <w:p w14:paraId="18E0EB21">
      <w:pPr>
        <w:spacing w:before="0" w:after="0"/>
        <w:jc w:val="left"/>
        <w:outlineLvl w:val="9"/>
        <w:rPr>
          <w:rFonts w:ascii="方正仿宋_GBK" w:hAnsi="方正仿宋_GBK" w:eastAsia="方正仿宋_GBK" w:cs="方正仿宋_GBK"/>
          <w:b/>
          <w:color w:val="000000"/>
          <w:sz w:val="28"/>
        </w:rPr>
      </w:pPr>
    </w:p>
    <w:p w14:paraId="5B392DD8">
      <w:pPr>
        <w:spacing w:before="0" w:after="0"/>
        <w:ind w:firstLine="560"/>
        <w:jc w:val="left"/>
        <w:outlineLvl w:val="9"/>
        <w:rPr>
          <w:rFonts w:ascii="黑体" w:hAnsi="黑体" w:eastAsia="黑体" w:cs="黑体"/>
          <w:color w:val="000000"/>
          <w:sz w:val="32"/>
          <w:szCs w:val="32"/>
          <w:lang w:val="en-US" w:eastAsia="uk-UA" w:bidi="ar-SA"/>
        </w:rPr>
      </w:pPr>
      <w:r>
        <w:rPr>
          <w:rFonts w:ascii="黑体" w:hAnsi="黑体" w:eastAsia="黑体" w:cs="黑体"/>
          <w:color w:val="000000"/>
          <w:sz w:val="32"/>
          <w:szCs w:val="32"/>
          <w:lang w:val="en-US" w:eastAsia="uk-UA" w:bidi="ar-SA"/>
        </w:rPr>
        <w:t>4、河北健康码与身份证绑定查验廊坊平台政务云资源服务经费绩效目标表</w:t>
      </w:r>
    </w:p>
    <w:p w14:paraId="5DDEDA0A">
      <w:pPr>
        <w:pStyle w:val="2"/>
        <w:rPr>
          <w:lang w:val="en-US" w:eastAsia="uk-UA"/>
        </w:rPr>
      </w:pP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7501FE0A">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0E55938C">
            <w:pPr>
              <w:pStyle w:val="8"/>
            </w:pPr>
            <w:r>
              <w:t>绩效目标</w:t>
            </w:r>
          </w:p>
        </w:tc>
        <w:tc>
          <w:tcPr>
            <w:tcW w:w="7399" w:type="dxa"/>
            <w:tcBorders>
              <w:bottom w:val="single" w:color="FFFFFF" w:sz="6" w:space="0"/>
            </w:tcBorders>
            <w:vAlign w:val="center"/>
          </w:tcPr>
          <w:p w14:paraId="757304BB">
            <w:pPr>
              <w:pStyle w:val="9"/>
            </w:pPr>
            <w:r>
              <w:t>1.通过实施此项目为河北健康码与身份证绑定查验廊坊平台提供满足系统数据要求的云资源和云安全租用服务，确保健康码查验平台工作稳定运行。</w:t>
            </w:r>
          </w:p>
          <w:p w14:paraId="225E0F53">
            <w:pPr>
              <w:pStyle w:val="9"/>
            </w:pPr>
            <w:r>
              <w:t>2.通过实施此项目，提供系统数据的政务云资源环境，保证服务器数量不低于20台，全年接口故障出现时长不大于24小时，提供的日志审计存储时间不少于6个月以备查验，且保证健康码查验平台工作稳定运行。</w:t>
            </w:r>
          </w:p>
        </w:tc>
      </w:tr>
    </w:tbl>
    <w:p w14:paraId="1955053F">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5F1897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3B98F74A">
            <w:pPr>
              <w:pStyle w:val="8"/>
            </w:pPr>
            <w:r>
              <w:t>一级指标</w:t>
            </w:r>
          </w:p>
        </w:tc>
        <w:tc>
          <w:tcPr>
            <w:tcW w:w="2466" w:type="dxa"/>
            <w:vAlign w:val="center"/>
          </w:tcPr>
          <w:p w14:paraId="2F7C4010">
            <w:pPr>
              <w:pStyle w:val="8"/>
            </w:pPr>
            <w:r>
              <w:t>二级指标</w:t>
            </w:r>
          </w:p>
        </w:tc>
        <w:tc>
          <w:tcPr>
            <w:tcW w:w="2466" w:type="dxa"/>
            <w:vAlign w:val="center"/>
          </w:tcPr>
          <w:p w14:paraId="40378FB2">
            <w:pPr>
              <w:pStyle w:val="8"/>
            </w:pPr>
            <w:r>
              <w:t>三级指标</w:t>
            </w:r>
          </w:p>
        </w:tc>
        <w:tc>
          <w:tcPr>
            <w:tcW w:w="2466" w:type="dxa"/>
            <w:vAlign w:val="center"/>
          </w:tcPr>
          <w:p w14:paraId="41BE01B0">
            <w:pPr>
              <w:pStyle w:val="8"/>
            </w:pPr>
            <w:r>
              <w:t>绩效指标描述</w:t>
            </w:r>
          </w:p>
        </w:tc>
        <w:tc>
          <w:tcPr>
            <w:tcW w:w="2466" w:type="dxa"/>
            <w:vAlign w:val="center"/>
          </w:tcPr>
          <w:p w14:paraId="14335D1F">
            <w:pPr>
              <w:pStyle w:val="8"/>
            </w:pPr>
            <w:r>
              <w:t>指标值</w:t>
            </w:r>
          </w:p>
        </w:tc>
        <w:tc>
          <w:tcPr>
            <w:tcW w:w="2466" w:type="dxa"/>
            <w:vAlign w:val="center"/>
          </w:tcPr>
          <w:p w14:paraId="4FF35FE8">
            <w:pPr>
              <w:pStyle w:val="8"/>
            </w:pPr>
            <w:r>
              <w:t>指标值确定依据</w:t>
            </w:r>
          </w:p>
        </w:tc>
      </w:tr>
      <w:tr w14:paraId="2B5F31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501B43CF">
            <w:pPr>
              <w:pStyle w:val="10"/>
            </w:pPr>
            <w:r>
              <w:t>产出指标</w:t>
            </w:r>
          </w:p>
        </w:tc>
        <w:tc>
          <w:tcPr>
            <w:tcW w:w="2466" w:type="dxa"/>
            <w:vAlign w:val="center"/>
          </w:tcPr>
          <w:p w14:paraId="292DA215">
            <w:pPr>
              <w:pStyle w:val="9"/>
            </w:pPr>
            <w:r>
              <w:t>数量指标</w:t>
            </w:r>
          </w:p>
        </w:tc>
        <w:tc>
          <w:tcPr>
            <w:tcW w:w="2466" w:type="dxa"/>
            <w:vAlign w:val="center"/>
          </w:tcPr>
          <w:p w14:paraId="2607C181">
            <w:pPr>
              <w:pStyle w:val="9"/>
            </w:pPr>
            <w:r>
              <w:t>租用云服务器数量　</w:t>
            </w:r>
          </w:p>
        </w:tc>
        <w:tc>
          <w:tcPr>
            <w:tcW w:w="2466" w:type="dxa"/>
            <w:vAlign w:val="center"/>
          </w:tcPr>
          <w:p w14:paraId="0FEA10DC">
            <w:pPr>
              <w:pStyle w:val="9"/>
            </w:pPr>
            <w:r>
              <w:t>服务期间租用服务器数量</w:t>
            </w:r>
          </w:p>
        </w:tc>
        <w:tc>
          <w:tcPr>
            <w:tcW w:w="2466" w:type="dxa"/>
            <w:vAlign w:val="center"/>
          </w:tcPr>
          <w:p w14:paraId="1E334DBD">
            <w:pPr>
              <w:pStyle w:val="9"/>
            </w:pPr>
            <w:r>
              <w:t>20台</w:t>
            </w:r>
          </w:p>
        </w:tc>
        <w:tc>
          <w:tcPr>
            <w:tcW w:w="2466" w:type="dxa"/>
            <w:vAlign w:val="center"/>
          </w:tcPr>
          <w:p w14:paraId="1C01DD34">
            <w:pPr>
              <w:pStyle w:val="9"/>
            </w:pPr>
            <w:r>
              <w:t>合同签订内容</w:t>
            </w:r>
          </w:p>
        </w:tc>
      </w:tr>
      <w:tr w14:paraId="03350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731326E7"/>
        </w:tc>
        <w:tc>
          <w:tcPr>
            <w:tcW w:w="2466" w:type="dxa"/>
            <w:vAlign w:val="center"/>
          </w:tcPr>
          <w:p w14:paraId="61DBCDE3">
            <w:pPr>
              <w:pStyle w:val="9"/>
            </w:pPr>
            <w:r>
              <w:t>质量指标</w:t>
            </w:r>
          </w:p>
        </w:tc>
        <w:tc>
          <w:tcPr>
            <w:tcW w:w="2466" w:type="dxa"/>
            <w:vAlign w:val="center"/>
          </w:tcPr>
          <w:p w14:paraId="275EB983">
            <w:pPr>
              <w:pStyle w:val="9"/>
            </w:pPr>
            <w:r>
              <w:t>接口故障时长</w:t>
            </w:r>
          </w:p>
        </w:tc>
        <w:tc>
          <w:tcPr>
            <w:tcW w:w="2466" w:type="dxa"/>
            <w:vAlign w:val="center"/>
          </w:tcPr>
          <w:p w14:paraId="70C62D22">
            <w:pPr>
              <w:pStyle w:val="9"/>
            </w:pPr>
            <w:r>
              <w:t>全年接口出现的故障时长</w:t>
            </w:r>
          </w:p>
        </w:tc>
        <w:tc>
          <w:tcPr>
            <w:tcW w:w="2466" w:type="dxa"/>
            <w:vAlign w:val="center"/>
          </w:tcPr>
          <w:p w14:paraId="38858C7F">
            <w:pPr>
              <w:pStyle w:val="9"/>
            </w:pPr>
            <w:r>
              <w:t>≤24小时</w:t>
            </w:r>
          </w:p>
        </w:tc>
        <w:tc>
          <w:tcPr>
            <w:tcW w:w="2466" w:type="dxa"/>
            <w:vAlign w:val="center"/>
          </w:tcPr>
          <w:p w14:paraId="7AD7ECEE">
            <w:pPr>
              <w:pStyle w:val="9"/>
            </w:pPr>
            <w:r>
              <w:t>工作总结</w:t>
            </w:r>
          </w:p>
        </w:tc>
      </w:tr>
      <w:tr w14:paraId="2000D4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8636BA3"/>
        </w:tc>
        <w:tc>
          <w:tcPr>
            <w:tcW w:w="2466" w:type="dxa"/>
            <w:vAlign w:val="center"/>
          </w:tcPr>
          <w:p w14:paraId="7D89F245">
            <w:pPr>
              <w:pStyle w:val="9"/>
            </w:pPr>
            <w:r>
              <w:t>时效指标</w:t>
            </w:r>
          </w:p>
        </w:tc>
        <w:tc>
          <w:tcPr>
            <w:tcW w:w="2466" w:type="dxa"/>
            <w:vAlign w:val="center"/>
          </w:tcPr>
          <w:p w14:paraId="20180396">
            <w:pPr>
              <w:pStyle w:val="9"/>
            </w:pPr>
            <w:r>
              <w:t>日志审计留存时间　</w:t>
            </w:r>
          </w:p>
        </w:tc>
        <w:tc>
          <w:tcPr>
            <w:tcW w:w="2466" w:type="dxa"/>
            <w:vAlign w:val="center"/>
          </w:tcPr>
          <w:p w14:paraId="2CEA0828">
            <w:pPr>
              <w:pStyle w:val="9"/>
            </w:pPr>
            <w:r>
              <w:t>日志审计留存时间不低于6个月</w:t>
            </w:r>
          </w:p>
        </w:tc>
        <w:tc>
          <w:tcPr>
            <w:tcW w:w="2466" w:type="dxa"/>
            <w:vAlign w:val="center"/>
          </w:tcPr>
          <w:p w14:paraId="148AA611">
            <w:pPr>
              <w:pStyle w:val="9"/>
            </w:pPr>
            <w:r>
              <w:t>≥6个月</w:t>
            </w:r>
          </w:p>
        </w:tc>
        <w:tc>
          <w:tcPr>
            <w:tcW w:w="2466" w:type="dxa"/>
            <w:vAlign w:val="center"/>
          </w:tcPr>
          <w:p w14:paraId="31886EED">
            <w:pPr>
              <w:pStyle w:val="9"/>
            </w:pPr>
            <w:r>
              <w:t>工作总结</w:t>
            </w:r>
          </w:p>
        </w:tc>
      </w:tr>
      <w:tr w14:paraId="2685CC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3161AB9"/>
        </w:tc>
        <w:tc>
          <w:tcPr>
            <w:tcW w:w="2466" w:type="dxa"/>
            <w:vAlign w:val="center"/>
          </w:tcPr>
          <w:p w14:paraId="3FC83F15">
            <w:pPr>
              <w:pStyle w:val="9"/>
            </w:pPr>
            <w:r>
              <w:t>成本指标</w:t>
            </w:r>
          </w:p>
        </w:tc>
        <w:tc>
          <w:tcPr>
            <w:tcW w:w="2466" w:type="dxa"/>
            <w:vAlign w:val="center"/>
          </w:tcPr>
          <w:p w14:paraId="61693E94">
            <w:pPr>
              <w:pStyle w:val="9"/>
            </w:pPr>
            <w:r>
              <w:t>项目成本控制</w:t>
            </w:r>
          </w:p>
        </w:tc>
        <w:tc>
          <w:tcPr>
            <w:tcW w:w="2466" w:type="dxa"/>
            <w:vAlign w:val="center"/>
          </w:tcPr>
          <w:p w14:paraId="20565153">
            <w:pPr>
              <w:pStyle w:val="9"/>
            </w:pPr>
            <w:r>
              <w:t>租用省级政务云资源</w:t>
            </w:r>
          </w:p>
        </w:tc>
        <w:tc>
          <w:tcPr>
            <w:tcW w:w="2466" w:type="dxa"/>
            <w:vAlign w:val="center"/>
          </w:tcPr>
          <w:p w14:paraId="718B613F">
            <w:pPr>
              <w:pStyle w:val="9"/>
            </w:pPr>
            <w:r>
              <w:t>≤30万元</w:t>
            </w:r>
          </w:p>
        </w:tc>
        <w:tc>
          <w:tcPr>
            <w:tcW w:w="2466" w:type="dxa"/>
            <w:vAlign w:val="center"/>
          </w:tcPr>
          <w:p w14:paraId="60D58E88">
            <w:pPr>
              <w:pStyle w:val="9"/>
            </w:pPr>
            <w:r>
              <w:t>合同及支出情况</w:t>
            </w:r>
          </w:p>
        </w:tc>
      </w:tr>
      <w:tr w14:paraId="60C67E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3B3BCA5D">
            <w:pPr>
              <w:pStyle w:val="10"/>
            </w:pPr>
            <w:r>
              <w:t>效益指标</w:t>
            </w:r>
          </w:p>
        </w:tc>
        <w:tc>
          <w:tcPr>
            <w:tcW w:w="2466" w:type="dxa"/>
            <w:vAlign w:val="center"/>
          </w:tcPr>
          <w:p w14:paraId="12D01445">
            <w:pPr>
              <w:pStyle w:val="9"/>
            </w:pPr>
            <w:r>
              <w:t>社会效益指标</w:t>
            </w:r>
          </w:p>
        </w:tc>
        <w:tc>
          <w:tcPr>
            <w:tcW w:w="2466" w:type="dxa"/>
            <w:vAlign w:val="center"/>
          </w:tcPr>
          <w:p w14:paraId="4BDCCC5A">
            <w:pPr>
              <w:pStyle w:val="9"/>
            </w:pPr>
            <w:r>
              <w:t>保障健康码查验平台稳定运行</w:t>
            </w:r>
          </w:p>
        </w:tc>
        <w:tc>
          <w:tcPr>
            <w:tcW w:w="2466" w:type="dxa"/>
            <w:vAlign w:val="center"/>
          </w:tcPr>
          <w:p w14:paraId="15CB32D9">
            <w:pPr>
              <w:pStyle w:val="9"/>
            </w:pPr>
            <w:r>
              <w:t>保障健康码查验工作的精准性和通行效率</w:t>
            </w:r>
          </w:p>
        </w:tc>
        <w:tc>
          <w:tcPr>
            <w:tcW w:w="2466" w:type="dxa"/>
            <w:vAlign w:val="center"/>
          </w:tcPr>
          <w:p w14:paraId="35DC881F">
            <w:pPr>
              <w:pStyle w:val="9"/>
            </w:pPr>
            <w:r>
              <w:t>可以保障</w:t>
            </w:r>
          </w:p>
        </w:tc>
        <w:tc>
          <w:tcPr>
            <w:tcW w:w="2466" w:type="dxa"/>
            <w:vAlign w:val="center"/>
          </w:tcPr>
          <w:p w14:paraId="3557DD4A">
            <w:pPr>
              <w:pStyle w:val="9"/>
            </w:pPr>
            <w:r>
              <w:t>工作总结</w:t>
            </w:r>
          </w:p>
        </w:tc>
      </w:tr>
      <w:tr w14:paraId="3F36B0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7F710D10">
            <w:pPr>
              <w:pStyle w:val="10"/>
            </w:pPr>
            <w:r>
              <w:t>满意度指标</w:t>
            </w:r>
          </w:p>
        </w:tc>
        <w:tc>
          <w:tcPr>
            <w:tcW w:w="2466" w:type="dxa"/>
            <w:vAlign w:val="center"/>
          </w:tcPr>
          <w:p w14:paraId="3A2E1CE5">
            <w:pPr>
              <w:pStyle w:val="9"/>
            </w:pPr>
            <w:r>
              <w:t>服务对象满意度指标</w:t>
            </w:r>
          </w:p>
        </w:tc>
        <w:tc>
          <w:tcPr>
            <w:tcW w:w="2466" w:type="dxa"/>
            <w:vAlign w:val="center"/>
          </w:tcPr>
          <w:p w14:paraId="7EA2DB18">
            <w:pPr>
              <w:pStyle w:val="9"/>
            </w:pPr>
            <w:r>
              <w:t>相关使用部门满意度</w:t>
            </w:r>
          </w:p>
        </w:tc>
        <w:tc>
          <w:tcPr>
            <w:tcW w:w="2466" w:type="dxa"/>
            <w:vAlign w:val="center"/>
          </w:tcPr>
          <w:p w14:paraId="0B5FC1DB">
            <w:pPr>
              <w:pStyle w:val="9"/>
            </w:pPr>
            <w:r>
              <w:t>相关使用部门满意度</w:t>
            </w:r>
          </w:p>
        </w:tc>
        <w:tc>
          <w:tcPr>
            <w:tcW w:w="2466" w:type="dxa"/>
            <w:vAlign w:val="center"/>
          </w:tcPr>
          <w:p w14:paraId="737BC947">
            <w:pPr>
              <w:pStyle w:val="9"/>
            </w:pPr>
            <w:r>
              <w:t>≥90%</w:t>
            </w:r>
          </w:p>
        </w:tc>
        <w:tc>
          <w:tcPr>
            <w:tcW w:w="2466" w:type="dxa"/>
            <w:vAlign w:val="center"/>
          </w:tcPr>
          <w:p w14:paraId="6E1E43B3">
            <w:pPr>
              <w:pStyle w:val="9"/>
            </w:pPr>
            <w:r>
              <w:t>出具相关使用部门意见</w:t>
            </w:r>
          </w:p>
        </w:tc>
      </w:tr>
    </w:tbl>
    <w:p w14:paraId="222A5B75">
      <w:pPr>
        <w:sectPr>
          <w:pgSz w:w="16840" w:h="11900" w:orient="landscape"/>
          <w:pgMar w:top="1361" w:right="1020" w:bottom="1134" w:left="1020" w:header="720" w:footer="720" w:gutter="0"/>
          <w:cols w:space="720" w:num="1"/>
        </w:sectPr>
      </w:pPr>
    </w:p>
    <w:p w14:paraId="57359B4F">
      <w:pPr>
        <w:spacing w:before="0" w:after="0"/>
        <w:jc w:val="left"/>
        <w:outlineLvl w:val="9"/>
        <w:rPr>
          <w:rFonts w:ascii="黑体" w:hAnsi="黑体" w:eastAsia="黑体" w:cs="黑体"/>
          <w:color w:val="000000"/>
          <w:sz w:val="32"/>
          <w:szCs w:val="32"/>
          <w:lang w:val="en-US" w:eastAsia="uk-UA" w:bidi="ar-SA"/>
        </w:rPr>
      </w:pPr>
      <w:r>
        <w:rPr>
          <w:rFonts w:ascii="黑体" w:hAnsi="黑体" w:eastAsia="黑体" w:cs="黑体"/>
          <w:color w:val="000000"/>
          <w:sz w:val="32"/>
          <w:szCs w:val="32"/>
          <w:lang w:val="en-US" w:eastAsia="uk-UA" w:bidi="ar-SA"/>
        </w:rPr>
        <w:t>5、接诉即办留言板建设资金绩效目标表</w:t>
      </w: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3DA32A6A">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4B42122F">
            <w:pPr>
              <w:pStyle w:val="8"/>
            </w:pPr>
            <w:r>
              <w:t>绩效目标</w:t>
            </w:r>
          </w:p>
        </w:tc>
        <w:tc>
          <w:tcPr>
            <w:tcW w:w="7399" w:type="dxa"/>
            <w:tcBorders>
              <w:bottom w:val="single" w:color="FFFFFF" w:sz="6" w:space="0"/>
            </w:tcBorders>
            <w:vAlign w:val="center"/>
          </w:tcPr>
          <w:p w14:paraId="76A1DD56">
            <w:pPr>
              <w:pStyle w:val="9"/>
            </w:pPr>
            <w:r>
              <w:t>1.在廊坊市官方政务新媒体“廊坊发布”微信公众号投放“接诉即办”问题收集专栏（暨原“疫情防控‘九不准’”公众留言板），进一步畅通我市群众投诉举报渠道，及时收集、核实、办理我市群众投诉举报的相关问题线索，第一时间将群众提出的问题转办到各级各部门，督促整改，及时高效解决存在的问题，最大限度为市民提供优质服务，营造平稳的舆论环境。</w:t>
            </w:r>
          </w:p>
          <w:p w14:paraId="29E6387E">
            <w:pPr>
              <w:pStyle w:val="9"/>
            </w:pPr>
            <w:r>
              <w:t>2.搭建平台系统，实现用户注册、手机验证、身份证实名验证、用户填报、后台管理等功能建设，以及日常平稳运行维护等内容。建成后将面向全市公众开放，收集、核实、办理、答复网民相关投诉举报，切实解决群众实际问题，营造平稳的舆论环境</w:t>
            </w:r>
          </w:p>
        </w:tc>
      </w:tr>
    </w:tbl>
    <w:p w14:paraId="4CA9CF5E">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278C5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22173530">
            <w:pPr>
              <w:pStyle w:val="8"/>
            </w:pPr>
            <w:r>
              <w:t>一级指标</w:t>
            </w:r>
          </w:p>
        </w:tc>
        <w:tc>
          <w:tcPr>
            <w:tcW w:w="2466" w:type="dxa"/>
            <w:vAlign w:val="center"/>
          </w:tcPr>
          <w:p w14:paraId="456B0140">
            <w:pPr>
              <w:pStyle w:val="8"/>
            </w:pPr>
            <w:r>
              <w:t>二级指标</w:t>
            </w:r>
          </w:p>
        </w:tc>
        <w:tc>
          <w:tcPr>
            <w:tcW w:w="2466" w:type="dxa"/>
            <w:vAlign w:val="center"/>
          </w:tcPr>
          <w:p w14:paraId="6A8AC37B">
            <w:pPr>
              <w:pStyle w:val="8"/>
            </w:pPr>
            <w:r>
              <w:t>三级指标</w:t>
            </w:r>
          </w:p>
        </w:tc>
        <w:tc>
          <w:tcPr>
            <w:tcW w:w="2466" w:type="dxa"/>
            <w:vAlign w:val="center"/>
          </w:tcPr>
          <w:p w14:paraId="48E9B1F0">
            <w:pPr>
              <w:pStyle w:val="8"/>
            </w:pPr>
            <w:r>
              <w:t>绩效指标描述</w:t>
            </w:r>
          </w:p>
        </w:tc>
        <w:tc>
          <w:tcPr>
            <w:tcW w:w="2466" w:type="dxa"/>
            <w:vAlign w:val="center"/>
          </w:tcPr>
          <w:p w14:paraId="0B5BD31F">
            <w:pPr>
              <w:pStyle w:val="8"/>
            </w:pPr>
            <w:r>
              <w:t>指标值</w:t>
            </w:r>
          </w:p>
        </w:tc>
        <w:tc>
          <w:tcPr>
            <w:tcW w:w="2466" w:type="dxa"/>
            <w:vAlign w:val="center"/>
          </w:tcPr>
          <w:p w14:paraId="476D53A8">
            <w:pPr>
              <w:pStyle w:val="8"/>
            </w:pPr>
            <w:r>
              <w:t>指标值确定依据</w:t>
            </w:r>
          </w:p>
        </w:tc>
      </w:tr>
      <w:tr w14:paraId="55539F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6E3481ED">
            <w:pPr>
              <w:pStyle w:val="10"/>
            </w:pPr>
            <w:r>
              <w:t>产出指标</w:t>
            </w:r>
          </w:p>
        </w:tc>
        <w:tc>
          <w:tcPr>
            <w:tcW w:w="2466" w:type="dxa"/>
            <w:vAlign w:val="center"/>
          </w:tcPr>
          <w:p w14:paraId="262067D2">
            <w:pPr>
              <w:pStyle w:val="9"/>
            </w:pPr>
            <w:r>
              <w:t>数量指标</w:t>
            </w:r>
          </w:p>
        </w:tc>
        <w:tc>
          <w:tcPr>
            <w:tcW w:w="2466" w:type="dxa"/>
            <w:vAlign w:val="center"/>
          </w:tcPr>
          <w:p w14:paraId="672CF6AE">
            <w:pPr>
              <w:pStyle w:val="9"/>
            </w:pPr>
            <w:r>
              <w:t>接收群众留言数量</w:t>
            </w:r>
          </w:p>
        </w:tc>
        <w:tc>
          <w:tcPr>
            <w:tcW w:w="2466" w:type="dxa"/>
            <w:vAlign w:val="center"/>
          </w:tcPr>
          <w:p w14:paraId="6BCD151B">
            <w:pPr>
              <w:pStyle w:val="9"/>
            </w:pPr>
            <w:r>
              <w:t>在后台接收群众留言数量</w:t>
            </w:r>
          </w:p>
        </w:tc>
        <w:tc>
          <w:tcPr>
            <w:tcW w:w="2466" w:type="dxa"/>
            <w:vAlign w:val="center"/>
          </w:tcPr>
          <w:p w14:paraId="651E3DA5">
            <w:pPr>
              <w:pStyle w:val="9"/>
            </w:pPr>
            <w:r>
              <w:t>≥500条</w:t>
            </w:r>
          </w:p>
        </w:tc>
        <w:tc>
          <w:tcPr>
            <w:tcW w:w="2466" w:type="dxa"/>
            <w:vAlign w:val="center"/>
          </w:tcPr>
          <w:p w14:paraId="60D6EFA7">
            <w:pPr>
              <w:pStyle w:val="9"/>
            </w:pPr>
            <w:r>
              <w:t>后台数据</w:t>
            </w:r>
          </w:p>
        </w:tc>
      </w:tr>
      <w:tr w14:paraId="648E20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5F6F491"/>
        </w:tc>
        <w:tc>
          <w:tcPr>
            <w:tcW w:w="2466" w:type="dxa"/>
            <w:vAlign w:val="center"/>
          </w:tcPr>
          <w:p w14:paraId="6903B41E">
            <w:pPr>
              <w:pStyle w:val="9"/>
            </w:pPr>
            <w:r>
              <w:t>质量指标</w:t>
            </w:r>
          </w:p>
        </w:tc>
        <w:tc>
          <w:tcPr>
            <w:tcW w:w="2466" w:type="dxa"/>
            <w:vAlign w:val="center"/>
          </w:tcPr>
          <w:p w14:paraId="1A1E2CAD">
            <w:pPr>
              <w:pStyle w:val="9"/>
            </w:pPr>
            <w:r>
              <w:t>群众留言受理率</w:t>
            </w:r>
          </w:p>
        </w:tc>
        <w:tc>
          <w:tcPr>
            <w:tcW w:w="2466" w:type="dxa"/>
            <w:vAlign w:val="center"/>
          </w:tcPr>
          <w:p w14:paraId="03C8056F">
            <w:pPr>
              <w:pStyle w:val="9"/>
            </w:pPr>
            <w:r>
              <w:t>群众留言受理百分比</w:t>
            </w:r>
          </w:p>
        </w:tc>
        <w:tc>
          <w:tcPr>
            <w:tcW w:w="2466" w:type="dxa"/>
            <w:vAlign w:val="center"/>
          </w:tcPr>
          <w:p w14:paraId="7AF20CDA">
            <w:pPr>
              <w:pStyle w:val="9"/>
            </w:pPr>
            <w:r>
              <w:t>≥95%</w:t>
            </w:r>
          </w:p>
        </w:tc>
        <w:tc>
          <w:tcPr>
            <w:tcW w:w="2466" w:type="dxa"/>
            <w:vAlign w:val="center"/>
          </w:tcPr>
          <w:p w14:paraId="61424E70">
            <w:pPr>
              <w:pStyle w:val="9"/>
            </w:pPr>
            <w:r>
              <w:t>实际开展情况</w:t>
            </w:r>
          </w:p>
        </w:tc>
      </w:tr>
      <w:tr w14:paraId="70632F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2B8F817"/>
        </w:tc>
        <w:tc>
          <w:tcPr>
            <w:tcW w:w="2466" w:type="dxa"/>
            <w:vAlign w:val="center"/>
          </w:tcPr>
          <w:p w14:paraId="312885C5">
            <w:pPr>
              <w:pStyle w:val="9"/>
            </w:pPr>
            <w:r>
              <w:t>时效指标</w:t>
            </w:r>
          </w:p>
        </w:tc>
        <w:tc>
          <w:tcPr>
            <w:tcW w:w="2466" w:type="dxa"/>
            <w:vAlign w:val="center"/>
          </w:tcPr>
          <w:p w14:paraId="1084F059">
            <w:pPr>
              <w:pStyle w:val="9"/>
            </w:pPr>
            <w:r>
              <w:t>及时性</w:t>
            </w:r>
          </w:p>
        </w:tc>
        <w:tc>
          <w:tcPr>
            <w:tcW w:w="2466" w:type="dxa"/>
            <w:vAlign w:val="center"/>
          </w:tcPr>
          <w:p w14:paraId="33092A4F">
            <w:pPr>
              <w:pStyle w:val="9"/>
            </w:pPr>
            <w:r>
              <w:t>反映办理群众留言的及时情况</w:t>
            </w:r>
          </w:p>
        </w:tc>
        <w:tc>
          <w:tcPr>
            <w:tcW w:w="2466" w:type="dxa"/>
            <w:vAlign w:val="center"/>
          </w:tcPr>
          <w:p w14:paraId="24220787">
            <w:pPr>
              <w:pStyle w:val="9"/>
            </w:pPr>
            <w:r>
              <w:t>及时</w:t>
            </w:r>
          </w:p>
        </w:tc>
        <w:tc>
          <w:tcPr>
            <w:tcW w:w="2466" w:type="dxa"/>
            <w:vAlign w:val="center"/>
          </w:tcPr>
          <w:p w14:paraId="7B2A8389">
            <w:pPr>
              <w:pStyle w:val="9"/>
            </w:pPr>
            <w:r>
              <w:t>计划标准</w:t>
            </w:r>
          </w:p>
        </w:tc>
      </w:tr>
      <w:tr w14:paraId="1986BA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0DE0AB3"/>
        </w:tc>
        <w:tc>
          <w:tcPr>
            <w:tcW w:w="2466" w:type="dxa"/>
            <w:vAlign w:val="center"/>
          </w:tcPr>
          <w:p w14:paraId="3AF3D5FF">
            <w:pPr>
              <w:pStyle w:val="9"/>
            </w:pPr>
            <w:r>
              <w:t>成本指标</w:t>
            </w:r>
          </w:p>
        </w:tc>
        <w:tc>
          <w:tcPr>
            <w:tcW w:w="2466" w:type="dxa"/>
            <w:vAlign w:val="center"/>
          </w:tcPr>
          <w:p w14:paraId="7EF832B1">
            <w:pPr>
              <w:pStyle w:val="9"/>
            </w:pPr>
            <w:r>
              <w:t>系统建设运行成本</w:t>
            </w:r>
          </w:p>
        </w:tc>
        <w:tc>
          <w:tcPr>
            <w:tcW w:w="2466" w:type="dxa"/>
            <w:vAlign w:val="center"/>
          </w:tcPr>
          <w:p w14:paraId="047F96B4">
            <w:pPr>
              <w:pStyle w:val="9"/>
            </w:pPr>
            <w:r>
              <w:t>一套系统建设运行成本</w:t>
            </w:r>
          </w:p>
        </w:tc>
        <w:tc>
          <w:tcPr>
            <w:tcW w:w="2466" w:type="dxa"/>
            <w:vAlign w:val="center"/>
          </w:tcPr>
          <w:p w14:paraId="2579EF49">
            <w:pPr>
              <w:pStyle w:val="9"/>
            </w:pPr>
            <w:r>
              <w:t>≤30万元</w:t>
            </w:r>
          </w:p>
        </w:tc>
        <w:tc>
          <w:tcPr>
            <w:tcW w:w="2466" w:type="dxa"/>
            <w:vAlign w:val="center"/>
          </w:tcPr>
          <w:p w14:paraId="7124DDE5">
            <w:pPr>
              <w:pStyle w:val="9"/>
            </w:pPr>
            <w:r>
              <w:t>项目合同</w:t>
            </w:r>
          </w:p>
        </w:tc>
      </w:tr>
      <w:tr w14:paraId="12C20F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6AEF3B0E">
            <w:pPr>
              <w:pStyle w:val="10"/>
            </w:pPr>
            <w:r>
              <w:t>效益指标</w:t>
            </w:r>
          </w:p>
        </w:tc>
        <w:tc>
          <w:tcPr>
            <w:tcW w:w="2466" w:type="dxa"/>
            <w:vAlign w:val="center"/>
          </w:tcPr>
          <w:p w14:paraId="261C5538">
            <w:pPr>
              <w:pStyle w:val="9"/>
            </w:pPr>
            <w:r>
              <w:t>社会效益指标</w:t>
            </w:r>
          </w:p>
        </w:tc>
        <w:tc>
          <w:tcPr>
            <w:tcW w:w="2466" w:type="dxa"/>
            <w:vAlign w:val="center"/>
          </w:tcPr>
          <w:p w14:paraId="5F50337A">
            <w:pPr>
              <w:pStyle w:val="9"/>
            </w:pPr>
            <w:r>
              <w:t>切实解决群众实际问题</w:t>
            </w:r>
          </w:p>
        </w:tc>
        <w:tc>
          <w:tcPr>
            <w:tcW w:w="2466" w:type="dxa"/>
            <w:vAlign w:val="center"/>
          </w:tcPr>
          <w:p w14:paraId="3682D8FA">
            <w:pPr>
              <w:pStyle w:val="9"/>
            </w:pPr>
            <w:r>
              <w:t>收集、核实、办理、答复网民相关投诉举报，切实解决群众实际问题情况</w:t>
            </w:r>
          </w:p>
        </w:tc>
        <w:tc>
          <w:tcPr>
            <w:tcW w:w="2466" w:type="dxa"/>
            <w:vAlign w:val="center"/>
          </w:tcPr>
          <w:p w14:paraId="28DD7A8E">
            <w:pPr>
              <w:pStyle w:val="9"/>
            </w:pPr>
            <w:r>
              <w:t>效果显著</w:t>
            </w:r>
          </w:p>
        </w:tc>
        <w:tc>
          <w:tcPr>
            <w:tcW w:w="2466" w:type="dxa"/>
            <w:vAlign w:val="center"/>
          </w:tcPr>
          <w:p w14:paraId="41F65B8A">
            <w:pPr>
              <w:pStyle w:val="9"/>
            </w:pPr>
            <w:r>
              <w:t>工作总结/报告</w:t>
            </w:r>
          </w:p>
        </w:tc>
      </w:tr>
      <w:tr w14:paraId="425D33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7F84C1D8">
            <w:pPr>
              <w:pStyle w:val="10"/>
            </w:pPr>
            <w:r>
              <w:t>满意度指标</w:t>
            </w:r>
          </w:p>
        </w:tc>
        <w:tc>
          <w:tcPr>
            <w:tcW w:w="2466" w:type="dxa"/>
            <w:vAlign w:val="center"/>
          </w:tcPr>
          <w:p w14:paraId="2BAF3AEE">
            <w:pPr>
              <w:pStyle w:val="9"/>
            </w:pPr>
            <w:r>
              <w:t>服务对象满意度指标</w:t>
            </w:r>
          </w:p>
        </w:tc>
        <w:tc>
          <w:tcPr>
            <w:tcW w:w="2466" w:type="dxa"/>
            <w:vAlign w:val="center"/>
          </w:tcPr>
          <w:p w14:paraId="739E3C86">
            <w:pPr>
              <w:pStyle w:val="9"/>
            </w:pPr>
            <w:r>
              <w:t>群众满意度情况</w:t>
            </w:r>
          </w:p>
        </w:tc>
        <w:tc>
          <w:tcPr>
            <w:tcW w:w="2466" w:type="dxa"/>
            <w:vAlign w:val="center"/>
          </w:tcPr>
          <w:p w14:paraId="1E879CDA">
            <w:pPr>
              <w:pStyle w:val="9"/>
            </w:pPr>
            <w:r>
              <w:t>反映群众对“接诉即办”问题收集专栏（暨原“疫情防控‘九不准’”公众留言板）满意度</w:t>
            </w:r>
          </w:p>
        </w:tc>
        <w:tc>
          <w:tcPr>
            <w:tcW w:w="2466" w:type="dxa"/>
            <w:vAlign w:val="center"/>
          </w:tcPr>
          <w:p w14:paraId="58799590">
            <w:pPr>
              <w:pStyle w:val="9"/>
            </w:pPr>
            <w:r>
              <w:t>≥85%</w:t>
            </w:r>
          </w:p>
        </w:tc>
        <w:tc>
          <w:tcPr>
            <w:tcW w:w="2466" w:type="dxa"/>
            <w:vAlign w:val="center"/>
          </w:tcPr>
          <w:p w14:paraId="5DA15CA6">
            <w:pPr>
              <w:pStyle w:val="9"/>
            </w:pPr>
            <w:r>
              <w:t>问卷调查</w:t>
            </w:r>
          </w:p>
        </w:tc>
      </w:tr>
    </w:tbl>
    <w:p w14:paraId="6320E873">
      <w:pPr>
        <w:pStyle w:val="15"/>
      </w:pPr>
    </w:p>
    <w:p w14:paraId="2CBFA024">
      <w:pPr>
        <w:spacing w:before="0" w:after="0"/>
        <w:jc w:val="left"/>
        <w:outlineLvl w:val="9"/>
        <w:rPr>
          <w:rFonts w:ascii="黑体" w:hAnsi="黑体" w:eastAsia="黑体" w:cs="黑体"/>
          <w:color w:val="000000"/>
          <w:sz w:val="32"/>
          <w:szCs w:val="32"/>
          <w:lang w:val="en-US" w:eastAsia="uk-UA" w:bidi="ar-SA"/>
        </w:rPr>
      </w:pPr>
      <w:r>
        <w:rPr>
          <w:rFonts w:ascii="黑体" w:hAnsi="黑体" w:eastAsia="黑体" w:cs="黑体"/>
          <w:color w:val="000000"/>
          <w:sz w:val="32"/>
          <w:szCs w:val="32"/>
          <w:lang w:val="en-US" w:eastAsia="uk-UA" w:bidi="ar-SA"/>
        </w:rPr>
        <w:t>6、廊坊市数字经济工作经费绩效目标表</w:t>
      </w: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11238E52">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61F78C4F">
            <w:pPr>
              <w:pStyle w:val="8"/>
            </w:pPr>
            <w:r>
              <w:t>绩效目标</w:t>
            </w:r>
          </w:p>
        </w:tc>
        <w:tc>
          <w:tcPr>
            <w:tcW w:w="7399" w:type="dxa"/>
            <w:tcBorders>
              <w:bottom w:val="single" w:color="FFFFFF" w:sz="6" w:space="0"/>
            </w:tcBorders>
            <w:vAlign w:val="center"/>
          </w:tcPr>
          <w:p w14:paraId="230A4F67">
            <w:pPr>
              <w:pStyle w:val="9"/>
            </w:pPr>
            <w:r>
              <w:t>1.全面反映会员企业诉求，维护会员权益，促进数字经济行业自律，协助和支撑政府开展行业管理工作，开展区域行业交流与合作，维护行业利益。</w:t>
            </w:r>
          </w:p>
          <w:p w14:paraId="6C34546C">
            <w:pPr>
              <w:pStyle w:val="9"/>
            </w:pPr>
            <w:r>
              <w:t>2.根据市场和行业发展需要承办或参与市内外数字经济领域相关会展、论坛、招商引资、文化交流等各类活动。2023年计划承办数字经济领域相关活动不少于1次。</w:t>
            </w:r>
          </w:p>
        </w:tc>
      </w:tr>
    </w:tbl>
    <w:p w14:paraId="66BD3C6E">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067B22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504963CB">
            <w:pPr>
              <w:pStyle w:val="8"/>
            </w:pPr>
            <w:r>
              <w:t>一级指标</w:t>
            </w:r>
          </w:p>
        </w:tc>
        <w:tc>
          <w:tcPr>
            <w:tcW w:w="2466" w:type="dxa"/>
            <w:vAlign w:val="center"/>
          </w:tcPr>
          <w:p w14:paraId="6D9A3B63">
            <w:pPr>
              <w:pStyle w:val="8"/>
            </w:pPr>
            <w:r>
              <w:t>二级指标</w:t>
            </w:r>
          </w:p>
        </w:tc>
        <w:tc>
          <w:tcPr>
            <w:tcW w:w="2466" w:type="dxa"/>
            <w:vAlign w:val="center"/>
          </w:tcPr>
          <w:p w14:paraId="21FDF16C">
            <w:pPr>
              <w:pStyle w:val="8"/>
            </w:pPr>
            <w:r>
              <w:t>三级指标</w:t>
            </w:r>
          </w:p>
        </w:tc>
        <w:tc>
          <w:tcPr>
            <w:tcW w:w="2466" w:type="dxa"/>
            <w:vAlign w:val="center"/>
          </w:tcPr>
          <w:p w14:paraId="5BD9580B">
            <w:pPr>
              <w:pStyle w:val="8"/>
            </w:pPr>
            <w:r>
              <w:t>绩效指标描述</w:t>
            </w:r>
          </w:p>
        </w:tc>
        <w:tc>
          <w:tcPr>
            <w:tcW w:w="2466" w:type="dxa"/>
            <w:vAlign w:val="center"/>
          </w:tcPr>
          <w:p w14:paraId="0D224A10">
            <w:pPr>
              <w:pStyle w:val="8"/>
            </w:pPr>
            <w:r>
              <w:t>指标值</w:t>
            </w:r>
          </w:p>
        </w:tc>
        <w:tc>
          <w:tcPr>
            <w:tcW w:w="2466" w:type="dxa"/>
            <w:vAlign w:val="center"/>
          </w:tcPr>
          <w:p w14:paraId="1627CC2E">
            <w:pPr>
              <w:pStyle w:val="8"/>
            </w:pPr>
            <w:r>
              <w:t>指标值确定依据</w:t>
            </w:r>
          </w:p>
        </w:tc>
      </w:tr>
      <w:tr w14:paraId="1DC141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4D9458BD">
            <w:pPr>
              <w:pStyle w:val="10"/>
            </w:pPr>
            <w:r>
              <w:t>产出指标</w:t>
            </w:r>
          </w:p>
        </w:tc>
        <w:tc>
          <w:tcPr>
            <w:tcW w:w="2466" w:type="dxa"/>
            <w:vAlign w:val="center"/>
          </w:tcPr>
          <w:p w14:paraId="7BD49503">
            <w:pPr>
              <w:pStyle w:val="9"/>
            </w:pPr>
            <w:r>
              <w:t>数量指标</w:t>
            </w:r>
          </w:p>
        </w:tc>
        <w:tc>
          <w:tcPr>
            <w:tcW w:w="2466" w:type="dxa"/>
            <w:vAlign w:val="center"/>
          </w:tcPr>
          <w:p w14:paraId="7E2DFCC2">
            <w:pPr>
              <w:pStyle w:val="9"/>
            </w:pPr>
            <w:r>
              <w:t>承办或参与数字经济领域相关活动</w:t>
            </w:r>
          </w:p>
        </w:tc>
        <w:tc>
          <w:tcPr>
            <w:tcW w:w="2466" w:type="dxa"/>
            <w:vAlign w:val="center"/>
          </w:tcPr>
          <w:p w14:paraId="65FAD1C7">
            <w:pPr>
              <w:pStyle w:val="9"/>
            </w:pPr>
            <w:r>
              <w:t>承办或参与市内外数字经济领域相关活动</w:t>
            </w:r>
          </w:p>
        </w:tc>
        <w:tc>
          <w:tcPr>
            <w:tcW w:w="2466" w:type="dxa"/>
            <w:vAlign w:val="center"/>
          </w:tcPr>
          <w:p w14:paraId="1B3BFA4E">
            <w:pPr>
              <w:pStyle w:val="9"/>
            </w:pPr>
            <w:r>
              <w:t>≥1次</w:t>
            </w:r>
          </w:p>
        </w:tc>
        <w:tc>
          <w:tcPr>
            <w:tcW w:w="2466" w:type="dxa"/>
            <w:vAlign w:val="center"/>
          </w:tcPr>
          <w:p w14:paraId="2C114881">
            <w:pPr>
              <w:pStyle w:val="9"/>
            </w:pPr>
            <w:r>
              <w:t>实际开展情况</w:t>
            </w:r>
          </w:p>
        </w:tc>
      </w:tr>
      <w:tr w14:paraId="16032B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4B8232F"/>
        </w:tc>
        <w:tc>
          <w:tcPr>
            <w:tcW w:w="2466" w:type="dxa"/>
            <w:vAlign w:val="center"/>
          </w:tcPr>
          <w:p w14:paraId="77361C7E">
            <w:pPr>
              <w:pStyle w:val="9"/>
            </w:pPr>
            <w:r>
              <w:t>质量指标</w:t>
            </w:r>
          </w:p>
        </w:tc>
        <w:tc>
          <w:tcPr>
            <w:tcW w:w="2466" w:type="dxa"/>
            <w:vAlign w:val="center"/>
          </w:tcPr>
          <w:p w14:paraId="194BFBE5">
            <w:pPr>
              <w:pStyle w:val="9"/>
            </w:pPr>
            <w:r>
              <w:t>承办活动验收情况</w:t>
            </w:r>
          </w:p>
        </w:tc>
        <w:tc>
          <w:tcPr>
            <w:tcW w:w="2466" w:type="dxa"/>
            <w:vAlign w:val="center"/>
          </w:tcPr>
          <w:p w14:paraId="73C5C3E6">
            <w:pPr>
              <w:pStyle w:val="9"/>
            </w:pPr>
            <w:r>
              <w:t>活动成果验收达标率</w:t>
            </w:r>
          </w:p>
        </w:tc>
        <w:tc>
          <w:tcPr>
            <w:tcW w:w="2466" w:type="dxa"/>
            <w:vAlign w:val="center"/>
          </w:tcPr>
          <w:p w14:paraId="2097E6B5">
            <w:pPr>
              <w:pStyle w:val="9"/>
            </w:pPr>
            <w:r>
              <w:t>100%</w:t>
            </w:r>
          </w:p>
        </w:tc>
        <w:tc>
          <w:tcPr>
            <w:tcW w:w="2466" w:type="dxa"/>
            <w:vAlign w:val="center"/>
          </w:tcPr>
          <w:p w14:paraId="6184E5E6">
            <w:pPr>
              <w:pStyle w:val="9"/>
            </w:pPr>
            <w:r>
              <w:t>验收报告</w:t>
            </w:r>
          </w:p>
        </w:tc>
      </w:tr>
      <w:tr w14:paraId="144D41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38AD4A43"/>
        </w:tc>
        <w:tc>
          <w:tcPr>
            <w:tcW w:w="2466" w:type="dxa"/>
            <w:vAlign w:val="center"/>
          </w:tcPr>
          <w:p w14:paraId="3F7F72FF">
            <w:pPr>
              <w:pStyle w:val="9"/>
            </w:pPr>
            <w:r>
              <w:t>时效指标</w:t>
            </w:r>
          </w:p>
        </w:tc>
        <w:tc>
          <w:tcPr>
            <w:tcW w:w="2466" w:type="dxa"/>
            <w:vAlign w:val="center"/>
          </w:tcPr>
          <w:p w14:paraId="7872D8C5">
            <w:pPr>
              <w:pStyle w:val="9"/>
            </w:pPr>
            <w:r>
              <w:t>活动开展及时性</w:t>
            </w:r>
          </w:p>
        </w:tc>
        <w:tc>
          <w:tcPr>
            <w:tcW w:w="2466" w:type="dxa"/>
            <w:vAlign w:val="center"/>
          </w:tcPr>
          <w:p w14:paraId="1E4CA152">
            <w:pPr>
              <w:pStyle w:val="9"/>
            </w:pPr>
            <w:r>
              <w:t>活动开展是否及时</w:t>
            </w:r>
          </w:p>
        </w:tc>
        <w:tc>
          <w:tcPr>
            <w:tcW w:w="2466" w:type="dxa"/>
            <w:vAlign w:val="center"/>
          </w:tcPr>
          <w:p w14:paraId="1B30395A">
            <w:pPr>
              <w:pStyle w:val="9"/>
            </w:pPr>
            <w:r>
              <w:t>及时开展</w:t>
            </w:r>
          </w:p>
        </w:tc>
        <w:tc>
          <w:tcPr>
            <w:tcW w:w="2466" w:type="dxa"/>
            <w:vAlign w:val="center"/>
          </w:tcPr>
          <w:p w14:paraId="36472805">
            <w:pPr>
              <w:pStyle w:val="9"/>
            </w:pPr>
            <w:r>
              <w:t>工作计划与工作总结</w:t>
            </w:r>
          </w:p>
        </w:tc>
      </w:tr>
      <w:tr w14:paraId="7311C7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0F3BE6DC"/>
        </w:tc>
        <w:tc>
          <w:tcPr>
            <w:tcW w:w="2466" w:type="dxa"/>
            <w:vAlign w:val="center"/>
          </w:tcPr>
          <w:p w14:paraId="1877D872">
            <w:pPr>
              <w:pStyle w:val="9"/>
            </w:pPr>
            <w:r>
              <w:t>成本指标</w:t>
            </w:r>
          </w:p>
        </w:tc>
        <w:tc>
          <w:tcPr>
            <w:tcW w:w="2466" w:type="dxa"/>
            <w:vAlign w:val="center"/>
          </w:tcPr>
          <w:p w14:paraId="702513CC">
            <w:pPr>
              <w:pStyle w:val="9"/>
            </w:pPr>
            <w:r>
              <w:t>整体支出成本控制</w:t>
            </w:r>
          </w:p>
        </w:tc>
        <w:tc>
          <w:tcPr>
            <w:tcW w:w="2466" w:type="dxa"/>
            <w:vAlign w:val="center"/>
          </w:tcPr>
          <w:p w14:paraId="576CB0AE">
            <w:pPr>
              <w:pStyle w:val="9"/>
            </w:pPr>
            <w:r>
              <w:t>整体支出是否超预算额度</w:t>
            </w:r>
          </w:p>
        </w:tc>
        <w:tc>
          <w:tcPr>
            <w:tcW w:w="2466" w:type="dxa"/>
            <w:vAlign w:val="center"/>
          </w:tcPr>
          <w:p w14:paraId="3B3DECE1">
            <w:pPr>
              <w:pStyle w:val="9"/>
            </w:pPr>
            <w:r>
              <w:t>不超预算额度</w:t>
            </w:r>
          </w:p>
        </w:tc>
        <w:tc>
          <w:tcPr>
            <w:tcW w:w="2466" w:type="dxa"/>
            <w:vAlign w:val="center"/>
          </w:tcPr>
          <w:p w14:paraId="5EB0D5EB">
            <w:pPr>
              <w:pStyle w:val="9"/>
            </w:pPr>
            <w:r>
              <w:t>实际支出情况</w:t>
            </w:r>
          </w:p>
        </w:tc>
      </w:tr>
      <w:tr w14:paraId="2BC5E3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596E5EF4">
            <w:pPr>
              <w:pStyle w:val="10"/>
            </w:pPr>
            <w:r>
              <w:t>效益指标</w:t>
            </w:r>
          </w:p>
        </w:tc>
        <w:tc>
          <w:tcPr>
            <w:tcW w:w="2466" w:type="dxa"/>
            <w:vAlign w:val="center"/>
          </w:tcPr>
          <w:p w14:paraId="03CB4342">
            <w:pPr>
              <w:pStyle w:val="9"/>
            </w:pPr>
            <w:r>
              <w:t>社会效益指标</w:t>
            </w:r>
          </w:p>
        </w:tc>
        <w:tc>
          <w:tcPr>
            <w:tcW w:w="2466" w:type="dxa"/>
            <w:vAlign w:val="center"/>
          </w:tcPr>
          <w:p w14:paraId="575CD40C">
            <w:pPr>
              <w:pStyle w:val="9"/>
            </w:pPr>
            <w:r>
              <w:t>促进廊坊市数字经济发展和产业创新发展</w:t>
            </w:r>
          </w:p>
        </w:tc>
        <w:tc>
          <w:tcPr>
            <w:tcW w:w="2466" w:type="dxa"/>
            <w:vAlign w:val="center"/>
          </w:tcPr>
          <w:p w14:paraId="66A963A7">
            <w:pPr>
              <w:pStyle w:val="9"/>
            </w:pPr>
            <w:r>
              <w:t>是否达到进一步促进、整合全市数字经济领域相关行业协会、科研单位、高等院校以及数字产业化、产业数字化领域重点企业资源</w:t>
            </w:r>
          </w:p>
        </w:tc>
        <w:tc>
          <w:tcPr>
            <w:tcW w:w="2466" w:type="dxa"/>
            <w:vAlign w:val="center"/>
          </w:tcPr>
          <w:p w14:paraId="5DA40E12">
            <w:pPr>
              <w:pStyle w:val="9"/>
            </w:pPr>
            <w:r>
              <w:t>达到效果</w:t>
            </w:r>
          </w:p>
        </w:tc>
        <w:tc>
          <w:tcPr>
            <w:tcW w:w="2466" w:type="dxa"/>
            <w:vAlign w:val="center"/>
          </w:tcPr>
          <w:p w14:paraId="7705EFF3">
            <w:pPr>
              <w:pStyle w:val="9"/>
            </w:pPr>
            <w:r>
              <w:t>工作总结</w:t>
            </w:r>
          </w:p>
        </w:tc>
      </w:tr>
      <w:tr w14:paraId="6A1D17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280ADFB"/>
        </w:tc>
        <w:tc>
          <w:tcPr>
            <w:tcW w:w="2466" w:type="dxa"/>
            <w:vAlign w:val="center"/>
          </w:tcPr>
          <w:p w14:paraId="321A6E7B">
            <w:pPr>
              <w:pStyle w:val="9"/>
            </w:pPr>
            <w:r>
              <w:t>经济效益指标</w:t>
            </w:r>
          </w:p>
        </w:tc>
        <w:tc>
          <w:tcPr>
            <w:tcW w:w="2466" w:type="dxa"/>
            <w:vAlign w:val="center"/>
          </w:tcPr>
          <w:p w14:paraId="5DF2E5F5">
            <w:pPr>
              <w:pStyle w:val="9"/>
            </w:pPr>
            <w:r>
              <w:t>促进全市数字经济发展</w:t>
            </w:r>
          </w:p>
        </w:tc>
        <w:tc>
          <w:tcPr>
            <w:tcW w:w="2466" w:type="dxa"/>
            <w:vAlign w:val="center"/>
          </w:tcPr>
          <w:p w14:paraId="29624E9F">
            <w:pPr>
              <w:pStyle w:val="9"/>
            </w:pPr>
            <w:r>
              <w:t>是否达到进一步促进全市数字经济发展效果</w:t>
            </w:r>
          </w:p>
        </w:tc>
        <w:tc>
          <w:tcPr>
            <w:tcW w:w="2466" w:type="dxa"/>
            <w:vAlign w:val="center"/>
          </w:tcPr>
          <w:p w14:paraId="1719E4A8">
            <w:pPr>
              <w:pStyle w:val="9"/>
            </w:pPr>
            <w:r>
              <w:t>达到效果</w:t>
            </w:r>
          </w:p>
        </w:tc>
        <w:tc>
          <w:tcPr>
            <w:tcW w:w="2466" w:type="dxa"/>
            <w:vAlign w:val="center"/>
          </w:tcPr>
          <w:p w14:paraId="52DE31EB">
            <w:pPr>
              <w:pStyle w:val="9"/>
            </w:pPr>
            <w:r>
              <w:t>工作总结</w:t>
            </w:r>
          </w:p>
        </w:tc>
      </w:tr>
      <w:tr w14:paraId="5CD82C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2C500AC4"/>
        </w:tc>
        <w:tc>
          <w:tcPr>
            <w:tcW w:w="2466" w:type="dxa"/>
            <w:vAlign w:val="center"/>
          </w:tcPr>
          <w:p w14:paraId="3A008A3F">
            <w:pPr>
              <w:pStyle w:val="9"/>
            </w:pPr>
            <w:r>
              <w:t>可持续影响指标</w:t>
            </w:r>
          </w:p>
        </w:tc>
        <w:tc>
          <w:tcPr>
            <w:tcW w:w="2466" w:type="dxa"/>
            <w:vAlign w:val="center"/>
          </w:tcPr>
          <w:p w14:paraId="4C9B35EA">
            <w:pPr>
              <w:pStyle w:val="9"/>
            </w:pPr>
            <w:r>
              <w:t>为全市数字经济持续发展提供良好辅助作用</w:t>
            </w:r>
          </w:p>
        </w:tc>
        <w:tc>
          <w:tcPr>
            <w:tcW w:w="2466" w:type="dxa"/>
            <w:vAlign w:val="center"/>
          </w:tcPr>
          <w:p w14:paraId="78BF4832">
            <w:pPr>
              <w:pStyle w:val="9"/>
            </w:pPr>
            <w:r>
              <w:t>是否达到为全市数字经济持续发展提供良好辅助作用成效</w:t>
            </w:r>
          </w:p>
        </w:tc>
        <w:tc>
          <w:tcPr>
            <w:tcW w:w="2466" w:type="dxa"/>
            <w:vAlign w:val="center"/>
          </w:tcPr>
          <w:p w14:paraId="1FEE7CF6">
            <w:pPr>
              <w:pStyle w:val="9"/>
            </w:pPr>
            <w:r>
              <w:t>达到效果</w:t>
            </w:r>
          </w:p>
        </w:tc>
        <w:tc>
          <w:tcPr>
            <w:tcW w:w="2466" w:type="dxa"/>
            <w:vAlign w:val="center"/>
          </w:tcPr>
          <w:p w14:paraId="79D13EF4">
            <w:pPr>
              <w:pStyle w:val="9"/>
            </w:pPr>
            <w:r>
              <w:t>工作总结</w:t>
            </w:r>
          </w:p>
        </w:tc>
      </w:tr>
      <w:tr w14:paraId="0D299B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7685A160">
            <w:pPr>
              <w:pStyle w:val="10"/>
            </w:pPr>
            <w:r>
              <w:t>满意度指标</w:t>
            </w:r>
          </w:p>
        </w:tc>
        <w:tc>
          <w:tcPr>
            <w:tcW w:w="2466" w:type="dxa"/>
            <w:vAlign w:val="center"/>
          </w:tcPr>
          <w:p w14:paraId="749E782E">
            <w:pPr>
              <w:pStyle w:val="9"/>
            </w:pPr>
            <w:r>
              <w:t>服务对象满意度指标</w:t>
            </w:r>
          </w:p>
        </w:tc>
        <w:tc>
          <w:tcPr>
            <w:tcW w:w="2466" w:type="dxa"/>
            <w:vAlign w:val="center"/>
          </w:tcPr>
          <w:p w14:paraId="34443748">
            <w:pPr>
              <w:pStyle w:val="9"/>
            </w:pPr>
            <w:r>
              <w:t>参加活动人员满意度</w:t>
            </w:r>
          </w:p>
        </w:tc>
        <w:tc>
          <w:tcPr>
            <w:tcW w:w="2466" w:type="dxa"/>
            <w:vAlign w:val="center"/>
          </w:tcPr>
          <w:p w14:paraId="5C2E37DB">
            <w:pPr>
              <w:pStyle w:val="9"/>
            </w:pPr>
            <w:r>
              <w:t>参加活动人员对活动举办情况满意率</w:t>
            </w:r>
          </w:p>
        </w:tc>
        <w:tc>
          <w:tcPr>
            <w:tcW w:w="2466" w:type="dxa"/>
            <w:vAlign w:val="center"/>
          </w:tcPr>
          <w:p w14:paraId="7D833492">
            <w:pPr>
              <w:pStyle w:val="9"/>
            </w:pPr>
            <w:r>
              <w:t>≥90%</w:t>
            </w:r>
          </w:p>
        </w:tc>
        <w:tc>
          <w:tcPr>
            <w:tcW w:w="2466" w:type="dxa"/>
            <w:vAlign w:val="center"/>
          </w:tcPr>
          <w:p w14:paraId="09D7244A">
            <w:pPr>
              <w:pStyle w:val="9"/>
            </w:pPr>
            <w:r>
              <w:t>调查问卷</w:t>
            </w:r>
          </w:p>
        </w:tc>
      </w:tr>
    </w:tbl>
    <w:p w14:paraId="399BBDB7">
      <w:pPr>
        <w:spacing w:before="0" w:after="0"/>
        <w:jc w:val="left"/>
        <w:outlineLvl w:val="9"/>
        <w:rPr>
          <w:rFonts w:ascii="黑体" w:hAnsi="黑体" w:eastAsia="黑体" w:cs="黑体"/>
          <w:color w:val="000000"/>
          <w:sz w:val="32"/>
          <w:szCs w:val="32"/>
          <w:lang w:val="en-US" w:eastAsia="uk-UA" w:bidi="ar-SA"/>
        </w:rPr>
      </w:pPr>
      <w:r>
        <w:rPr>
          <w:rFonts w:hint="eastAsia" w:ascii="黑体" w:hAnsi="黑体" w:eastAsia="黑体" w:cs="黑体"/>
          <w:color w:val="000000"/>
          <w:sz w:val="32"/>
          <w:szCs w:val="32"/>
          <w:lang w:val="en-US" w:eastAsia="zh-CN" w:bidi="ar-SA"/>
        </w:rPr>
        <w:t>7</w:t>
      </w:r>
      <w:r>
        <w:rPr>
          <w:rFonts w:ascii="黑体" w:hAnsi="黑体" w:eastAsia="黑体" w:cs="黑体"/>
          <w:color w:val="000000"/>
          <w:sz w:val="32"/>
          <w:szCs w:val="32"/>
          <w:lang w:val="en-US" w:eastAsia="uk-UA" w:bidi="ar-SA"/>
        </w:rPr>
        <w:t>、网络媒体宣传引导工作经费绩效目标表</w:t>
      </w: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29544A2C">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4EB7B747">
            <w:pPr>
              <w:pStyle w:val="8"/>
            </w:pPr>
            <w:r>
              <w:t>绩效目标</w:t>
            </w:r>
          </w:p>
        </w:tc>
        <w:tc>
          <w:tcPr>
            <w:tcW w:w="7399" w:type="dxa"/>
            <w:tcBorders>
              <w:bottom w:val="single" w:color="FFFFFF" w:sz="6" w:space="0"/>
            </w:tcBorders>
            <w:vAlign w:val="center"/>
          </w:tcPr>
          <w:p w14:paraId="03C64830">
            <w:pPr>
              <w:pStyle w:val="9"/>
            </w:pPr>
            <w:r>
              <w:t>1.通过项目开展实现重大活动、重大事件、重大主题、重要政策的网上宣传和评论引导。创新制作H5、海报、微视频等网络传播产品。及时发布权威信息，持续巩固壮大主流舆论强势，拓展政府与群众沟通交流渠道等战略，保障把“廊坊发布”官方微博微信等切实做成全市及时发布信息、引导舆论、服务民生的权威官方公众号的实现。加强网络新闻宣传，有效引导网络舆论。实现</w:t>
            </w:r>
            <w:r>
              <w:rPr>
                <w:rFonts w:hint="eastAsia"/>
                <w:lang w:eastAsia="zh-CN"/>
              </w:rPr>
              <w:t>传播</w:t>
            </w:r>
            <w:r>
              <w:t>队伍的指挥调度、量化考核及后台数据的有效管理，提升我市</w:t>
            </w:r>
            <w:r>
              <w:rPr>
                <w:rFonts w:hint="eastAsia"/>
                <w:lang w:eastAsia="zh-CN"/>
              </w:rPr>
              <w:t>传播</w:t>
            </w:r>
            <w:r>
              <w:t>队伍管理和</w:t>
            </w:r>
            <w:r>
              <w:rPr>
                <w:rFonts w:hint="eastAsia"/>
                <w:lang w:eastAsia="zh-CN"/>
              </w:rPr>
              <w:t>传播</w:t>
            </w:r>
            <w:r>
              <w:t>引导工作实效，及时、高效、稳妥完成中央和省、市各级</w:t>
            </w:r>
            <w:r>
              <w:rPr>
                <w:rFonts w:hint="eastAsia"/>
                <w:lang w:eastAsia="zh-CN"/>
              </w:rPr>
              <w:t>传播</w:t>
            </w:r>
            <w:r>
              <w:t>引导任务。确保我市网上舆论平稳有序，营造浓厚的网络舆论氛围，使网络空间风清气正，促进经济社会高质量发展的实现。</w:t>
            </w:r>
          </w:p>
          <w:p w14:paraId="6E169981">
            <w:pPr>
              <w:pStyle w:val="9"/>
            </w:pPr>
            <w:r>
              <w:t>2.通过项目的开展完与各网站合作中宣传我市经济社会发展亮点，有效提升我市</w:t>
            </w:r>
            <w:r>
              <w:rPr>
                <w:rFonts w:hint="eastAsia"/>
                <w:lang w:eastAsia="zh-CN"/>
              </w:rPr>
              <w:t>传播</w:t>
            </w:r>
            <w:r>
              <w:t>队伍管理和</w:t>
            </w:r>
            <w:r>
              <w:rPr>
                <w:rFonts w:hint="eastAsia"/>
                <w:lang w:eastAsia="zh-CN"/>
              </w:rPr>
              <w:t>传播</w:t>
            </w:r>
            <w:r>
              <w:t>引导工作实效，及时、高效、稳妥完成中央和省、市各级</w:t>
            </w:r>
            <w:r>
              <w:rPr>
                <w:rFonts w:hint="eastAsia"/>
                <w:lang w:eastAsia="zh-CN"/>
              </w:rPr>
              <w:t>传播</w:t>
            </w:r>
            <w:r>
              <w:t>引导任务。维护“廊坊发布”微博、微信公众号。有效传播廊坊好声音，推进全市网络舆论氛围持续向好，为奋力推动廊坊在京津冀协同发展上走在全省前列凝聚人心、汇聚力量。</w:t>
            </w:r>
          </w:p>
        </w:tc>
      </w:tr>
    </w:tbl>
    <w:p w14:paraId="2CC4243A">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3A879F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02B48D12">
            <w:pPr>
              <w:pStyle w:val="8"/>
            </w:pPr>
            <w:r>
              <w:t>一级指标</w:t>
            </w:r>
          </w:p>
        </w:tc>
        <w:tc>
          <w:tcPr>
            <w:tcW w:w="2466" w:type="dxa"/>
            <w:vAlign w:val="center"/>
          </w:tcPr>
          <w:p w14:paraId="1CD8F109">
            <w:pPr>
              <w:pStyle w:val="8"/>
            </w:pPr>
            <w:r>
              <w:t>二级指标</w:t>
            </w:r>
          </w:p>
        </w:tc>
        <w:tc>
          <w:tcPr>
            <w:tcW w:w="2466" w:type="dxa"/>
            <w:vAlign w:val="center"/>
          </w:tcPr>
          <w:p w14:paraId="0C63193D">
            <w:pPr>
              <w:pStyle w:val="8"/>
            </w:pPr>
            <w:r>
              <w:t>三级指标</w:t>
            </w:r>
          </w:p>
        </w:tc>
        <w:tc>
          <w:tcPr>
            <w:tcW w:w="2466" w:type="dxa"/>
            <w:vAlign w:val="center"/>
          </w:tcPr>
          <w:p w14:paraId="61D7F6BC">
            <w:pPr>
              <w:pStyle w:val="8"/>
            </w:pPr>
            <w:r>
              <w:t>绩效指标描述</w:t>
            </w:r>
          </w:p>
        </w:tc>
        <w:tc>
          <w:tcPr>
            <w:tcW w:w="2466" w:type="dxa"/>
            <w:vAlign w:val="center"/>
          </w:tcPr>
          <w:p w14:paraId="54E76B90">
            <w:pPr>
              <w:pStyle w:val="8"/>
            </w:pPr>
            <w:r>
              <w:t>指标值</w:t>
            </w:r>
          </w:p>
        </w:tc>
        <w:tc>
          <w:tcPr>
            <w:tcW w:w="2466" w:type="dxa"/>
            <w:vAlign w:val="center"/>
          </w:tcPr>
          <w:p w14:paraId="545A9FA1">
            <w:pPr>
              <w:pStyle w:val="8"/>
            </w:pPr>
            <w:r>
              <w:t>指标值确定依据</w:t>
            </w:r>
          </w:p>
        </w:tc>
      </w:tr>
      <w:tr w14:paraId="054D20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0C226020">
            <w:pPr>
              <w:pStyle w:val="10"/>
            </w:pPr>
            <w:r>
              <w:t>产出指标</w:t>
            </w:r>
          </w:p>
        </w:tc>
        <w:tc>
          <w:tcPr>
            <w:tcW w:w="2466" w:type="dxa"/>
            <w:vAlign w:val="center"/>
          </w:tcPr>
          <w:p w14:paraId="65F45AA7">
            <w:pPr>
              <w:pStyle w:val="9"/>
            </w:pPr>
            <w:r>
              <w:t>数量指标</w:t>
            </w:r>
          </w:p>
        </w:tc>
        <w:tc>
          <w:tcPr>
            <w:tcW w:w="2466" w:type="dxa"/>
            <w:vAlign w:val="center"/>
          </w:tcPr>
          <w:p w14:paraId="3B95FF0A">
            <w:pPr>
              <w:pStyle w:val="9"/>
            </w:pPr>
            <w:r>
              <w:t>发稿量</w:t>
            </w:r>
          </w:p>
        </w:tc>
        <w:tc>
          <w:tcPr>
            <w:tcW w:w="2466" w:type="dxa"/>
            <w:vAlign w:val="center"/>
          </w:tcPr>
          <w:p w14:paraId="52E5F9BB">
            <w:pPr>
              <w:pStyle w:val="9"/>
            </w:pPr>
            <w:r>
              <w:t>在各网站推送发稿篇数</w:t>
            </w:r>
          </w:p>
        </w:tc>
        <w:tc>
          <w:tcPr>
            <w:tcW w:w="2466" w:type="dxa"/>
            <w:vAlign w:val="center"/>
          </w:tcPr>
          <w:p w14:paraId="353A16BB">
            <w:pPr>
              <w:pStyle w:val="9"/>
            </w:pPr>
            <w:r>
              <w:t>≥500篇</w:t>
            </w:r>
          </w:p>
        </w:tc>
        <w:tc>
          <w:tcPr>
            <w:tcW w:w="2466" w:type="dxa"/>
            <w:vAlign w:val="center"/>
          </w:tcPr>
          <w:p w14:paraId="67517011">
            <w:pPr>
              <w:pStyle w:val="9"/>
            </w:pPr>
            <w:r>
              <w:t>后台数据</w:t>
            </w:r>
          </w:p>
        </w:tc>
      </w:tr>
      <w:tr w14:paraId="29C925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10C1695C"/>
        </w:tc>
        <w:tc>
          <w:tcPr>
            <w:tcW w:w="2466" w:type="dxa"/>
            <w:vAlign w:val="center"/>
          </w:tcPr>
          <w:p w14:paraId="2BC34C85">
            <w:pPr>
              <w:pStyle w:val="9"/>
            </w:pPr>
            <w:r>
              <w:t>数量指标</w:t>
            </w:r>
          </w:p>
        </w:tc>
        <w:tc>
          <w:tcPr>
            <w:tcW w:w="2466" w:type="dxa"/>
            <w:vAlign w:val="center"/>
          </w:tcPr>
          <w:p w14:paraId="61DB3BE6">
            <w:pPr>
              <w:pStyle w:val="9"/>
            </w:pPr>
            <w:r>
              <w:t>制作网络传播产品数量</w:t>
            </w:r>
          </w:p>
        </w:tc>
        <w:tc>
          <w:tcPr>
            <w:tcW w:w="2466" w:type="dxa"/>
            <w:vAlign w:val="center"/>
          </w:tcPr>
          <w:p w14:paraId="3632BAE1">
            <w:pPr>
              <w:pStyle w:val="9"/>
            </w:pPr>
            <w:r>
              <w:t>再各个平台制作推出网络传播产品数量</w:t>
            </w:r>
          </w:p>
        </w:tc>
        <w:tc>
          <w:tcPr>
            <w:tcW w:w="2466" w:type="dxa"/>
            <w:vAlign w:val="center"/>
          </w:tcPr>
          <w:p w14:paraId="29473A28">
            <w:pPr>
              <w:pStyle w:val="9"/>
            </w:pPr>
            <w:r>
              <w:t>≥85个</w:t>
            </w:r>
          </w:p>
        </w:tc>
        <w:tc>
          <w:tcPr>
            <w:tcW w:w="2466" w:type="dxa"/>
            <w:vAlign w:val="center"/>
          </w:tcPr>
          <w:p w14:paraId="1B5D4102">
            <w:pPr>
              <w:pStyle w:val="9"/>
            </w:pPr>
            <w:r>
              <w:t>后台数据</w:t>
            </w:r>
          </w:p>
        </w:tc>
      </w:tr>
      <w:tr w14:paraId="4E01CB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49" w:hRule="atLeast"/>
          <w:jc w:val="center"/>
        </w:trPr>
        <w:tc>
          <w:tcPr>
            <w:tcW w:w="2466" w:type="dxa"/>
            <w:vMerge w:val="continue"/>
            <w:vAlign w:val="center"/>
          </w:tcPr>
          <w:p w14:paraId="30643C29"/>
        </w:tc>
        <w:tc>
          <w:tcPr>
            <w:tcW w:w="2466" w:type="dxa"/>
            <w:vAlign w:val="center"/>
          </w:tcPr>
          <w:p w14:paraId="7F9C0E80">
            <w:pPr>
              <w:pStyle w:val="9"/>
            </w:pPr>
            <w:r>
              <w:t>质量指标</w:t>
            </w:r>
          </w:p>
        </w:tc>
        <w:tc>
          <w:tcPr>
            <w:tcW w:w="2466" w:type="dxa"/>
            <w:vAlign w:val="center"/>
          </w:tcPr>
          <w:p w14:paraId="2AAA3B6F">
            <w:pPr>
              <w:pStyle w:val="9"/>
            </w:pPr>
            <w:r>
              <w:t>阅读量</w:t>
            </w:r>
          </w:p>
        </w:tc>
        <w:tc>
          <w:tcPr>
            <w:tcW w:w="2466" w:type="dxa"/>
            <w:vAlign w:val="center"/>
          </w:tcPr>
          <w:p w14:paraId="2BAC45CA">
            <w:pPr>
              <w:pStyle w:val="9"/>
            </w:pPr>
            <w:r>
              <w:t>受众阅读量</w:t>
            </w:r>
          </w:p>
        </w:tc>
        <w:tc>
          <w:tcPr>
            <w:tcW w:w="2466" w:type="dxa"/>
            <w:vAlign w:val="center"/>
          </w:tcPr>
          <w:p w14:paraId="2C799D29">
            <w:pPr>
              <w:pStyle w:val="9"/>
            </w:pPr>
            <w:r>
              <w:t>≥500万人次</w:t>
            </w:r>
          </w:p>
        </w:tc>
        <w:tc>
          <w:tcPr>
            <w:tcW w:w="2466" w:type="dxa"/>
            <w:vAlign w:val="center"/>
          </w:tcPr>
          <w:p w14:paraId="22A36081">
            <w:pPr>
              <w:pStyle w:val="9"/>
            </w:pPr>
            <w:r>
              <w:t>后台数据</w:t>
            </w:r>
          </w:p>
        </w:tc>
      </w:tr>
      <w:tr w14:paraId="28606E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17" w:hRule="atLeast"/>
          <w:jc w:val="center"/>
        </w:trPr>
        <w:tc>
          <w:tcPr>
            <w:tcW w:w="2466" w:type="dxa"/>
            <w:vMerge w:val="continue"/>
            <w:vAlign w:val="center"/>
          </w:tcPr>
          <w:p w14:paraId="4A09ADD0"/>
        </w:tc>
        <w:tc>
          <w:tcPr>
            <w:tcW w:w="2466" w:type="dxa"/>
            <w:vAlign w:val="center"/>
          </w:tcPr>
          <w:p w14:paraId="2C173EA6">
            <w:pPr>
              <w:pStyle w:val="9"/>
            </w:pPr>
            <w:r>
              <w:t>时效指标</w:t>
            </w:r>
          </w:p>
        </w:tc>
        <w:tc>
          <w:tcPr>
            <w:tcW w:w="2466" w:type="dxa"/>
            <w:vAlign w:val="center"/>
          </w:tcPr>
          <w:p w14:paraId="55655CB1">
            <w:pPr>
              <w:pStyle w:val="9"/>
            </w:pPr>
            <w:r>
              <w:t>及时性</w:t>
            </w:r>
          </w:p>
        </w:tc>
        <w:tc>
          <w:tcPr>
            <w:tcW w:w="2466" w:type="dxa"/>
            <w:vAlign w:val="center"/>
          </w:tcPr>
          <w:p w14:paraId="6039A385">
            <w:pPr>
              <w:pStyle w:val="9"/>
            </w:pPr>
            <w:r>
              <w:t>“廊坊发布”公众号反映政务信息发布的及时情况</w:t>
            </w:r>
          </w:p>
        </w:tc>
        <w:tc>
          <w:tcPr>
            <w:tcW w:w="2466" w:type="dxa"/>
            <w:vAlign w:val="center"/>
          </w:tcPr>
          <w:p w14:paraId="0B91B15F">
            <w:pPr>
              <w:pStyle w:val="9"/>
            </w:pPr>
            <w:r>
              <w:t>及时</w:t>
            </w:r>
          </w:p>
        </w:tc>
        <w:tc>
          <w:tcPr>
            <w:tcW w:w="2466" w:type="dxa"/>
            <w:vAlign w:val="center"/>
          </w:tcPr>
          <w:p w14:paraId="68F9815A">
            <w:pPr>
              <w:pStyle w:val="9"/>
            </w:pPr>
            <w:r>
              <w:t>计划标准</w:t>
            </w:r>
          </w:p>
        </w:tc>
      </w:tr>
      <w:tr w14:paraId="17C48A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04" w:hRule="atLeast"/>
          <w:jc w:val="center"/>
        </w:trPr>
        <w:tc>
          <w:tcPr>
            <w:tcW w:w="2466" w:type="dxa"/>
            <w:vMerge w:val="continue"/>
            <w:vAlign w:val="center"/>
          </w:tcPr>
          <w:p w14:paraId="25C7339E"/>
        </w:tc>
        <w:tc>
          <w:tcPr>
            <w:tcW w:w="2466" w:type="dxa"/>
            <w:vAlign w:val="center"/>
          </w:tcPr>
          <w:p w14:paraId="6DE61FB3">
            <w:pPr>
              <w:pStyle w:val="9"/>
            </w:pPr>
            <w:r>
              <w:t>成本指标</w:t>
            </w:r>
          </w:p>
        </w:tc>
        <w:tc>
          <w:tcPr>
            <w:tcW w:w="2466" w:type="dxa"/>
            <w:vAlign w:val="center"/>
          </w:tcPr>
          <w:p w14:paraId="5C9156E5">
            <w:pPr>
              <w:pStyle w:val="9"/>
            </w:pPr>
            <w:r>
              <w:t>图说图解成本</w:t>
            </w:r>
          </w:p>
        </w:tc>
        <w:tc>
          <w:tcPr>
            <w:tcW w:w="2466" w:type="dxa"/>
            <w:vAlign w:val="center"/>
          </w:tcPr>
          <w:p w14:paraId="02C97CB2">
            <w:pPr>
              <w:pStyle w:val="9"/>
            </w:pPr>
            <w:r>
              <w:t>每个图说图解成本</w:t>
            </w:r>
          </w:p>
        </w:tc>
        <w:tc>
          <w:tcPr>
            <w:tcW w:w="2466" w:type="dxa"/>
            <w:vAlign w:val="center"/>
          </w:tcPr>
          <w:p w14:paraId="10E32D57">
            <w:pPr>
              <w:pStyle w:val="9"/>
            </w:pPr>
            <w:r>
              <w:t>≤2000元</w:t>
            </w:r>
          </w:p>
        </w:tc>
        <w:tc>
          <w:tcPr>
            <w:tcW w:w="2466" w:type="dxa"/>
            <w:vAlign w:val="center"/>
          </w:tcPr>
          <w:p w14:paraId="4D1BFC67">
            <w:pPr>
              <w:pStyle w:val="9"/>
            </w:pPr>
            <w:r>
              <w:t>实际执行情况</w:t>
            </w:r>
          </w:p>
        </w:tc>
      </w:tr>
      <w:tr w14:paraId="6C897C7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832" w:hRule="atLeast"/>
          <w:jc w:val="center"/>
        </w:trPr>
        <w:tc>
          <w:tcPr>
            <w:tcW w:w="2466" w:type="dxa"/>
            <w:vMerge w:val="continue"/>
            <w:vAlign w:val="center"/>
          </w:tcPr>
          <w:p w14:paraId="32014912"/>
        </w:tc>
        <w:tc>
          <w:tcPr>
            <w:tcW w:w="2466" w:type="dxa"/>
            <w:vAlign w:val="center"/>
          </w:tcPr>
          <w:p w14:paraId="42048227">
            <w:pPr>
              <w:pStyle w:val="9"/>
            </w:pPr>
            <w:r>
              <w:t>成本指标</w:t>
            </w:r>
          </w:p>
        </w:tc>
        <w:tc>
          <w:tcPr>
            <w:tcW w:w="2466" w:type="dxa"/>
            <w:vAlign w:val="center"/>
          </w:tcPr>
          <w:p w14:paraId="3726A960">
            <w:pPr>
              <w:pStyle w:val="9"/>
            </w:pPr>
            <w:r>
              <w:t>微视频、微动漫</w:t>
            </w:r>
          </w:p>
        </w:tc>
        <w:tc>
          <w:tcPr>
            <w:tcW w:w="2466" w:type="dxa"/>
            <w:vAlign w:val="center"/>
          </w:tcPr>
          <w:p w14:paraId="5BC8F168">
            <w:pPr>
              <w:pStyle w:val="9"/>
            </w:pPr>
            <w:r>
              <w:t>每个微视频、微动漫成本</w:t>
            </w:r>
          </w:p>
        </w:tc>
        <w:tc>
          <w:tcPr>
            <w:tcW w:w="2466" w:type="dxa"/>
            <w:vAlign w:val="center"/>
          </w:tcPr>
          <w:p w14:paraId="3B45C2B5">
            <w:pPr>
              <w:pStyle w:val="9"/>
            </w:pPr>
            <w:r>
              <w:t>≤20000元</w:t>
            </w:r>
          </w:p>
        </w:tc>
        <w:tc>
          <w:tcPr>
            <w:tcW w:w="2466" w:type="dxa"/>
            <w:vAlign w:val="center"/>
          </w:tcPr>
          <w:p w14:paraId="75C56263">
            <w:pPr>
              <w:pStyle w:val="9"/>
            </w:pPr>
            <w:r>
              <w:t>实际支出情况</w:t>
            </w:r>
          </w:p>
        </w:tc>
      </w:tr>
      <w:tr w14:paraId="1F724B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777" w:hRule="atLeast"/>
          <w:jc w:val="center"/>
        </w:trPr>
        <w:tc>
          <w:tcPr>
            <w:tcW w:w="2466" w:type="dxa"/>
            <w:vMerge w:val="restart"/>
            <w:vAlign w:val="center"/>
          </w:tcPr>
          <w:p w14:paraId="77D82AA7">
            <w:pPr>
              <w:pStyle w:val="10"/>
            </w:pPr>
            <w:r>
              <w:t>效益指标</w:t>
            </w:r>
          </w:p>
        </w:tc>
        <w:tc>
          <w:tcPr>
            <w:tcW w:w="2466" w:type="dxa"/>
            <w:vAlign w:val="center"/>
          </w:tcPr>
          <w:p w14:paraId="619E9200">
            <w:pPr>
              <w:pStyle w:val="9"/>
            </w:pPr>
            <w:r>
              <w:t>社会效益指标</w:t>
            </w:r>
          </w:p>
        </w:tc>
        <w:tc>
          <w:tcPr>
            <w:tcW w:w="2466" w:type="dxa"/>
            <w:vAlign w:val="center"/>
          </w:tcPr>
          <w:p w14:paraId="425C406E">
            <w:pPr>
              <w:pStyle w:val="9"/>
            </w:pPr>
            <w:r>
              <w:t>提升廊坊市良好形象程度</w:t>
            </w:r>
          </w:p>
        </w:tc>
        <w:tc>
          <w:tcPr>
            <w:tcW w:w="2466" w:type="dxa"/>
            <w:vAlign w:val="center"/>
          </w:tcPr>
          <w:p w14:paraId="55F21B1A">
            <w:pPr>
              <w:pStyle w:val="9"/>
            </w:pPr>
            <w:r>
              <w:t>反映项目实施对廊坊知名度、美誉度的提升影响情况</w:t>
            </w:r>
          </w:p>
        </w:tc>
        <w:tc>
          <w:tcPr>
            <w:tcW w:w="2466" w:type="dxa"/>
            <w:vAlign w:val="center"/>
          </w:tcPr>
          <w:p w14:paraId="7AC9D9AD">
            <w:pPr>
              <w:pStyle w:val="9"/>
            </w:pPr>
            <w:r>
              <w:t>显著提升</w:t>
            </w:r>
          </w:p>
        </w:tc>
        <w:tc>
          <w:tcPr>
            <w:tcW w:w="2466" w:type="dxa"/>
            <w:vAlign w:val="center"/>
          </w:tcPr>
          <w:p w14:paraId="560160D0">
            <w:pPr>
              <w:pStyle w:val="9"/>
            </w:pPr>
            <w:r>
              <w:t>工作总结</w:t>
            </w:r>
          </w:p>
        </w:tc>
      </w:tr>
      <w:tr w14:paraId="55E621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29" w:hRule="atLeast"/>
          <w:jc w:val="center"/>
        </w:trPr>
        <w:tc>
          <w:tcPr>
            <w:tcW w:w="2466" w:type="dxa"/>
            <w:vAlign w:val="center"/>
          </w:tcPr>
          <w:p w14:paraId="206DC9EB">
            <w:pPr>
              <w:pStyle w:val="10"/>
            </w:pPr>
            <w:r>
              <w:t>满意度指标</w:t>
            </w:r>
          </w:p>
        </w:tc>
        <w:tc>
          <w:tcPr>
            <w:tcW w:w="2466" w:type="dxa"/>
            <w:vAlign w:val="center"/>
          </w:tcPr>
          <w:p w14:paraId="7C9AB12E">
            <w:pPr>
              <w:pStyle w:val="9"/>
            </w:pPr>
            <w:r>
              <w:t>服务对象满意度指标</w:t>
            </w:r>
          </w:p>
        </w:tc>
        <w:tc>
          <w:tcPr>
            <w:tcW w:w="2466" w:type="dxa"/>
            <w:vAlign w:val="center"/>
          </w:tcPr>
          <w:p w14:paraId="36C1F65B">
            <w:pPr>
              <w:pStyle w:val="9"/>
            </w:pPr>
            <w:r>
              <w:t>群众满意度情况　</w:t>
            </w:r>
          </w:p>
        </w:tc>
        <w:tc>
          <w:tcPr>
            <w:tcW w:w="2466" w:type="dxa"/>
            <w:vAlign w:val="center"/>
          </w:tcPr>
          <w:p w14:paraId="3DEC5565">
            <w:pPr>
              <w:pStyle w:val="9"/>
            </w:pPr>
            <w:r>
              <w:t>反映群众对公众号运维满意度　</w:t>
            </w:r>
          </w:p>
        </w:tc>
        <w:tc>
          <w:tcPr>
            <w:tcW w:w="2466" w:type="dxa"/>
            <w:vAlign w:val="center"/>
          </w:tcPr>
          <w:p w14:paraId="149B9766">
            <w:pPr>
              <w:pStyle w:val="9"/>
            </w:pPr>
            <w:r>
              <w:t>≥80%</w:t>
            </w:r>
          </w:p>
        </w:tc>
        <w:tc>
          <w:tcPr>
            <w:tcW w:w="2466" w:type="dxa"/>
            <w:vAlign w:val="center"/>
          </w:tcPr>
          <w:p w14:paraId="2554E0F3">
            <w:pPr>
              <w:pStyle w:val="9"/>
            </w:pPr>
            <w:r>
              <w:t>问卷调查</w:t>
            </w:r>
          </w:p>
        </w:tc>
      </w:tr>
    </w:tbl>
    <w:p w14:paraId="4ED1BF1B">
      <w:pPr>
        <w:spacing w:before="0" w:after="0"/>
        <w:jc w:val="left"/>
        <w:outlineLvl w:val="9"/>
        <w:rPr>
          <w:rFonts w:hint="eastAsia" w:ascii="黑体" w:hAnsi="黑体" w:eastAsia="黑体" w:cs="黑体"/>
          <w:color w:val="000000"/>
          <w:sz w:val="32"/>
          <w:szCs w:val="32"/>
          <w:lang w:val="en-US" w:eastAsia="zh-CN" w:bidi="ar-SA"/>
        </w:rPr>
      </w:pPr>
    </w:p>
    <w:p w14:paraId="63304530">
      <w:pPr>
        <w:spacing w:before="0" w:after="0"/>
        <w:jc w:val="left"/>
        <w:outlineLvl w:val="9"/>
        <w:rPr>
          <w:rFonts w:hint="eastAsia" w:ascii="黑体" w:hAnsi="黑体" w:eastAsia="黑体" w:cs="黑体"/>
          <w:color w:val="000000"/>
          <w:sz w:val="32"/>
          <w:szCs w:val="32"/>
          <w:lang w:val="en-US" w:eastAsia="zh-CN" w:bidi="ar-SA"/>
        </w:rPr>
      </w:pPr>
    </w:p>
    <w:p w14:paraId="5BA68B28">
      <w:pPr>
        <w:spacing w:before="0" w:after="0"/>
        <w:jc w:val="left"/>
        <w:outlineLvl w:val="9"/>
        <w:rPr>
          <w:rFonts w:hint="eastAsia" w:ascii="黑体" w:hAnsi="黑体" w:eastAsia="黑体" w:cs="黑体"/>
          <w:color w:val="000000"/>
          <w:sz w:val="32"/>
          <w:szCs w:val="32"/>
          <w:lang w:val="en-US" w:eastAsia="zh-CN" w:bidi="ar-SA"/>
        </w:rPr>
      </w:pPr>
    </w:p>
    <w:p w14:paraId="7404E8AA">
      <w:pPr>
        <w:spacing w:before="0" w:after="0"/>
        <w:jc w:val="left"/>
        <w:outlineLvl w:val="9"/>
        <w:rPr>
          <w:rFonts w:ascii="黑体" w:hAnsi="黑体" w:eastAsia="黑体" w:cs="黑体"/>
          <w:color w:val="000000"/>
          <w:sz w:val="32"/>
          <w:szCs w:val="32"/>
          <w:lang w:val="en-US" w:eastAsia="uk-UA" w:bidi="ar-SA"/>
        </w:rPr>
      </w:pPr>
      <w:r>
        <w:rPr>
          <w:rFonts w:hint="eastAsia" w:ascii="黑体" w:hAnsi="黑体" w:eastAsia="黑体" w:cs="黑体"/>
          <w:color w:val="000000"/>
          <w:sz w:val="32"/>
          <w:szCs w:val="32"/>
          <w:lang w:val="en-US" w:eastAsia="zh-CN" w:bidi="ar-SA"/>
        </w:rPr>
        <w:t>8</w:t>
      </w:r>
      <w:r>
        <w:rPr>
          <w:rFonts w:ascii="黑体" w:hAnsi="黑体" w:eastAsia="黑体" w:cs="黑体"/>
          <w:color w:val="000000"/>
          <w:sz w:val="32"/>
          <w:szCs w:val="32"/>
          <w:lang w:val="en-US" w:eastAsia="uk-UA" w:bidi="ar-SA"/>
        </w:rPr>
        <w:t>、智能AI外呼服务平台建设资金绩效目标表</w:t>
      </w:r>
    </w:p>
    <w:tbl>
      <w:tblPr>
        <w:tblStyle w:val="5"/>
        <w:tblW w:w="14798" w:type="dxa"/>
        <w:jc w:val="center"/>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Layout w:type="fixed"/>
        <w:tblCellMar>
          <w:top w:w="0" w:type="dxa"/>
          <w:left w:w="108" w:type="dxa"/>
          <w:bottom w:w="0" w:type="dxa"/>
          <w:right w:w="108" w:type="dxa"/>
        </w:tblCellMar>
      </w:tblPr>
      <w:tblGrid>
        <w:gridCol w:w="7399"/>
        <w:gridCol w:w="7399"/>
      </w:tblGrid>
      <w:tr w14:paraId="4266C797">
        <w:tblPrEx>
          <w:tblBorders>
            <w:top w:val="single" w:color="000000" w:sz="6" w:space="0"/>
            <w:left w:val="single" w:color="000000" w:sz="6" w:space="0"/>
            <w:bottom w:val="single" w:color="FFFFFF" w:sz="6" w:space="0"/>
            <w:right w:val="single" w:color="000000" w:sz="6" w:space="0"/>
            <w:insideH w:val="single" w:color="auto" w:sz="4" w:space="0"/>
            <w:insideV w:val="single" w:color="000000" w:sz="6" w:space="0"/>
          </w:tblBorders>
          <w:tblCellMar>
            <w:top w:w="0" w:type="dxa"/>
            <w:left w:w="108" w:type="dxa"/>
            <w:bottom w:w="0" w:type="dxa"/>
            <w:right w:w="108" w:type="dxa"/>
          </w:tblCellMar>
        </w:tblPrEx>
        <w:trPr>
          <w:trHeight w:val="397" w:hRule="atLeast"/>
          <w:jc w:val="center"/>
        </w:trPr>
        <w:tc>
          <w:tcPr>
            <w:tcW w:w="7399" w:type="dxa"/>
            <w:tcBorders>
              <w:bottom w:val="single" w:color="FFFFFF" w:sz="6" w:space="0"/>
            </w:tcBorders>
            <w:vAlign w:val="center"/>
          </w:tcPr>
          <w:p w14:paraId="38D04CF2">
            <w:pPr>
              <w:pStyle w:val="8"/>
            </w:pPr>
            <w:r>
              <w:t>绩效目标</w:t>
            </w:r>
          </w:p>
        </w:tc>
        <w:tc>
          <w:tcPr>
            <w:tcW w:w="7399" w:type="dxa"/>
            <w:tcBorders>
              <w:bottom w:val="single" w:color="FFFFFF" w:sz="6" w:space="0"/>
            </w:tcBorders>
            <w:vAlign w:val="center"/>
          </w:tcPr>
          <w:p w14:paraId="509ACCDD">
            <w:pPr>
              <w:pStyle w:val="9"/>
            </w:pPr>
            <w:r>
              <w:t>1.平台通过“一系统、一中心”，实现短时间内高并发呼叫提醒老年人群免疫接种，对公众进行新冠肺炎疫情防控宣传教育，为疫情防控提供信息化辅助支撑作用，助力疫情防控。</w:t>
            </w:r>
          </w:p>
          <w:p w14:paraId="060DF48D">
            <w:pPr>
              <w:pStyle w:val="9"/>
            </w:pPr>
            <w:r>
              <w:t>2.平台建设方案基于人工智能、大数据分析以及现代通讯技术，搭建大数据分析系统，可共享对接卫健、公安、网信等部门的数据资源，通过设计动态数据分析逻辑，进行智能数据处理，生成外呼宣传教育所需的特定人群信息，经分析研判后，由智能云呼叫中心进行语音外呼。外呼的内容可以根据实际需求进行自定义，智能云呼叫中心可对外呼情况进行记录和反馈。</w:t>
            </w:r>
          </w:p>
        </w:tc>
      </w:tr>
    </w:tbl>
    <w:p w14:paraId="14F4A37C">
      <w:pPr>
        <w:spacing w:before="0" w:after="0" w:line="2" w:lineRule="exact"/>
        <w:ind w:firstLine="0"/>
        <w:jc w:val="center"/>
        <w:outlineLvl w:val="9"/>
      </w:pPr>
      <w:r>
        <w:rPr>
          <w:rFonts w:ascii="方正书宋_GBK" w:hAnsi="方正书宋_GBK" w:eastAsia="方正书宋_GBK" w:cs="方正书宋_GBK"/>
          <w:color w:val="000000"/>
          <w:sz w:val="18"/>
        </w:rPr>
        <w:t xml:space="preserve"> </w:t>
      </w:r>
    </w:p>
    <w:tbl>
      <w:tblPr>
        <w:tblStyle w:val="5"/>
        <w:tblW w:w="147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66"/>
        <w:gridCol w:w="2466"/>
        <w:gridCol w:w="2466"/>
        <w:gridCol w:w="2466"/>
        <w:gridCol w:w="2466"/>
        <w:gridCol w:w="2466"/>
      </w:tblGrid>
      <w:tr w14:paraId="5C6915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2466" w:type="dxa"/>
            <w:vAlign w:val="center"/>
          </w:tcPr>
          <w:p w14:paraId="3A771F78">
            <w:pPr>
              <w:pStyle w:val="8"/>
            </w:pPr>
            <w:r>
              <w:t>一级指标</w:t>
            </w:r>
          </w:p>
        </w:tc>
        <w:tc>
          <w:tcPr>
            <w:tcW w:w="2466" w:type="dxa"/>
            <w:vAlign w:val="center"/>
          </w:tcPr>
          <w:p w14:paraId="414CAB2A">
            <w:pPr>
              <w:pStyle w:val="8"/>
            </w:pPr>
            <w:r>
              <w:t>二级指标</w:t>
            </w:r>
          </w:p>
        </w:tc>
        <w:tc>
          <w:tcPr>
            <w:tcW w:w="2466" w:type="dxa"/>
            <w:vAlign w:val="center"/>
          </w:tcPr>
          <w:p w14:paraId="660284E8">
            <w:pPr>
              <w:pStyle w:val="8"/>
            </w:pPr>
            <w:r>
              <w:t>三级指标</w:t>
            </w:r>
          </w:p>
        </w:tc>
        <w:tc>
          <w:tcPr>
            <w:tcW w:w="2466" w:type="dxa"/>
            <w:vAlign w:val="center"/>
          </w:tcPr>
          <w:p w14:paraId="110288B1">
            <w:pPr>
              <w:pStyle w:val="8"/>
            </w:pPr>
            <w:r>
              <w:t>绩效指标描述</w:t>
            </w:r>
          </w:p>
        </w:tc>
        <w:tc>
          <w:tcPr>
            <w:tcW w:w="2466" w:type="dxa"/>
            <w:vAlign w:val="center"/>
          </w:tcPr>
          <w:p w14:paraId="17667386">
            <w:pPr>
              <w:pStyle w:val="8"/>
            </w:pPr>
            <w:r>
              <w:t>指标值</w:t>
            </w:r>
          </w:p>
        </w:tc>
        <w:tc>
          <w:tcPr>
            <w:tcW w:w="2466" w:type="dxa"/>
            <w:vAlign w:val="center"/>
          </w:tcPr>
          <w:p w14:paraId="5AFB1604">
            <w:pPr>
              <w:pStyle w:val="8"/>
            </w:pPr>
            <w:r>
              <w:t>指标值确定依据</w:t>
            </w:r>
          </w:p>
        </w:tc>
      </w:tr>
      <w:tr w14:paraId="32C62B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restart"/>
            <w:vAlign w:val="center"/>
          </w:tcPr>
          <w:p w14:paraId="528FAAFE">
            <w:pPr>
              <w:pStyle w:val="10"/>
            </w:pPr>
            <w:r>
              <w:t>产出指标</w:t>
            </w:r>
          </w:p>
        </w:tc>
        <w:tc>
          <w:tcPr>
            <w:tcW w:w="2466" w:type="dxa"/>
            <w:vAlign w:val="center"/>
          </w:tcPr>
          <w:p w14:paraId="78137090">
            <w:pPr>
              <w:pStyle w:val="9"/>
            </w:pPr>
            <w:r>
              <w:t>数量指标</w:t>
            </w:r>
          </w:p>
        </w:tc>
        <w:tc>
          <w:tcPr>
            <w:tcW w:w="2466" w:type="dxa"/>
            <w:vAlign w:val="center"/>
          </w:tcPr>
          <w:p w14:paraId="2C853792">
            <w:pPr>
              <w:pStyle w:val="9"/>
            </w:pPr>
            <w:r>
              <w:t>人工智能坐席外呼日呼叫量最大峰值</w:t>
            </w:r>
          </w:p>
        </w:tc>
        <w:tc>
          <w:tcPr>
            <w:tcW w:w="2466" w:type="dxa"/>
            <w:vAlign w:val="center"/>
          </w:tcPr>
          <w:p w14:paraId="420AC7D3">
            <w:pPr>
              <w:pStyle w:val="9"/>
            </w:pPr>
            <w:r>
              <w:t>人工智能坐席外呼日呼叫量最大峰值不低于20万次</w:t>
            </w:r>
          </w:p>
        </w:tc>
        <w:tc>
          <w:tcPr>
            <w:tcW w:w="2466" w:type="dxa"/>
            <w:vAlign w:val="center"/>
          </w:tcPr>
          <w:p w14:paraId="048D93F8">
            <w:pPr>
              <w:pStyle w:val="9"/>
            </w:pPr>
            <w:r>
              <w:t>≥20万次</w:t>
            </w:r>
          </w:p>
        </w:tc>
        <w:tc>
          <w:tcPr>
            <w:tcW w:w="2466" w:type="dxa"/>
            <w:vAlign w:val="center"/>
          </w:tcPr>
          <w:p w14:paraId="0E38DA23">
            <w:pPr>
              <w:pStyle w:val="9"/>
            </w:pPr>
            <w:r>
              <w:t>运行报告</w:t>
            </w:r>
          </w:p>
        </w:tc>
      </w:tr>
      <w:tr w14:paraId="45F233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6892B4A"/>
        </w:tc>
        <w:tc>
          <w:tcPr>
            <w:tcW w:w="2466" w:type="dxa"/>
            <w:vAlign w:val="center"/>
          </w:tcPr>
          <w:p w14:paraId="0EF14655">
            <w:pPr>
              <w:pStyle w:val="9"/>
            </w:pPr>
            <w:r>
              <w:t>质量指标</w:t>
            </w:r>
          </w:p>
        </w:tc>
        <w:tc>
          <w:tcPr>
            <w:tcW w:w="2466" w:type="dxa"/>
            <w:vAlign w:val="center"/>
          </w:tcPr>
          <w:p w14:paraId="20DF4761">
            <w:pPr>
              <w:pStyle w:val="9"/>
            </w:pPr>
            <w:r>
              <w:t>平台故障时长</w:t>
            </w:r>
          </w:p>
        </w:tc>
        <w:tc>
          <w:tcPr>
            <w:tcW w:w="2466" w:type="dxa"/>
            <w:vAlign w:val="center"/>
          </w:tcPr>
          <w:p w14:paraId="3EFF2A5F">
            <w:pPr>
              <w:pStyle w:val="9"/>
            </w:pPr>
            <w:r>
              <w:t>平台设备出现的故障时长</w:t>
            </w:r>
          </w:p>
        </w:tc>
        <w:tc>
          <w:tcPr>
            <w:tcW w:w="2466" w:type="dxa"/>
            <w:vAlign w:val="center"/>
          </w:tcPr>
          <w:p w14:paraId="68F08A4C">
            <w:pPr>
              <w:pStyle w:val="9"/>
            </w:pPr>
            <w:r>
              <w:t>≤24小时</w:t>
            </w:r>
          </w:p>
        </w:tc>
        <w:tc>
          <w:tcPr>
            <w:tcW w:w="2466" w:type="dxa"/>
            <w:vAlign w:val="center"/>
          </w:tcPr>
          <w:p w14:paraId="2CC42B62">
            <w:pPr>
              <w:pStyle w:val="9"/>
            </w:pPr>
            <w:r>
              <w:t>运行报告</w:t>
            </w:r>
          </w:p>
        </w:tc>
      </w:tr>
      <w:tr w14:paraId="153ECF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60166DE9"/>
        </w:tc>
        <w:tc>
          <w:tcPr>
            <w:tcW w:w="2466" w:type="dxa"/>
            <w:vAlign w:val="center"/>
          </w:tcPr>
          <w:p w14:paraId="526A1790">
            <w:pPr>
              <w:pStyle w:val="9"/>
            </w:pPr>
            <w:r>
              <w:t>时效指标</w:t>
            </w:r>
          </w:p>
        </w:tc>
        <w:tc>
          <w:tcPr>
            <w:tcW w:w="2466" w:type="dxa"/>
            <w:vAlign w:val="center"/>
          </w:tcPr>
          <w:p w14:paraId="31AD348C">
            <w:pPr>
              <w:pStyle w:val="9"/>
            </w:pPr>
            <w:r>
              <w:t>是否按时完成项目建设</w:t>
            </w:r>
          </w:p>
        </w:tc>
        <w:tc>
          <w:tcPr>
            <w:tcW w:w="2466" w:type="dxa"/>
            <w:vAlign w:val="center"/>
          </w:tcPr>
          <w:p w14:paraId="4861CFD7">
            <w:pPr>
              <w:pStyle w:val="9"/>
            </w:pPr>
            <w:r>
              <w:t>开工令下达后20天内完成平台建设</w:t>
            </w:r>
          </w:p>
        </w:tc>
        <w:tc>
          <w:tcPr>
            <w:tcW w:w="2466" w:type="dxa"/>
            <w:vAlign w:val="center"/>
          </w:tcPr>
          <w:p w14:paraId="54A5EE7D">
            <w:pPr>
              <w:pStyle w:val="9"/>
            </w:pPr>
            <w:r>
              <w:t>是</w:t>
            </w:r>
          </w:p>
        </w:tc>
        <w:tc>
          <w:tcPr>
            <w:tcW w:w="2466" w:type="dxa"/>
            <w:vAlign w:val="center"/>
          </w:tcPr>
          <w:p w14:paraId="2C262EED">
            <w:pPr>
              <w:pStyle w:val="9"/>
            </w:pPr>
            <w:r>
              <w:t>运行报告</w:t>
            </w:r>
          </w:p>
        </w:tc>
      </w:tr>
      <w:tr w14:paraId="5E54E5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Merge w:val="continue"/>
            <w:vAlign w:val="center"/>
          </w:tcPr>
          <w:p w14:paraId="43A91B4C"/>
        </w:tc>
        <w:tc>
          <w:tcPr>
            <w:tcW w:w="2466" w:type="dxa"/>
            <w:vAlign w:val="center"/>
          </w:tcPr>
          <w:p w14:paraId="372B6671">
            <w:pPr>
              <w:pStyle w:val="9"/>
            </w:pPr>
            <w:r>
              <w:t>成本指标</w:t>
            </w:r>
          </w:p>
        </w:tc>
        <w:tc>
          <w:tcPr>
            <w:tcW w:w="2466" w:type="dxa"/>
            <w:vAlign w:val="center"/>
          </w:tcPr>
          <w:p w14:paraId="36B081D6">
            <w:pPr>
              <w:pStyle w:val="9"/>
            </w:pPr>
            <w:r>
              <w:t>成本控制</w:t>
            </w:r>
          </w:p>
        </w:tc>
        <w:tc>
          <w:tcPr>
            <w:tcW w:w="2466" w:type="dxa"/>
            <w:vAlign w:val="center"/>
          </w:tcPr>
          <w:p w14:paraId="2BF47CEE">
            <w:pPr>
              <w:pStyle w:val="9"/>
            </w:pPr>
            <w:r>
              <w:t>实际支出是否不超过预算费用</w:t>
            </w:r>
          </w:p>
        </w:tc>
        <w:tc>
          <w:tcPr>
            <w:tcW w:w="2466" w:type="dxa"/>
            <w:vAlign w:val="center"/>
          </w:tcPr>
          <w:p w14:paraId="03BC1C0E">
            <w:pPr>
              <w:pStyle w:val="9"/>
            </w:pPr>
            <w:r>
              <w:t>不超预算费用</w:t>
            </w:r>
          </w:p>
        </w:tc>
        <w:tc>
          <w:tcPr>
            <w:tcW w:w="2466" w:type="dxa"/>
            <w:vAlign w:val="center"/>
          </w:tcPr>
          <w:p w14:paraId="1A6B7AAB">
            <w:pPr>
              <w:pStyle w:val="9"/>
            </w:pPr>
            <w:r>
              <w:t>合同及支出情况</w:t>
            </w:r>
          </w:p>
        </w:tc>
      </w:tr>
      <w:tr w14:paraId="60ED24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141CCBDA">
            <w:pPr>
              <w:pStyle w:val="10"/>
            </w:pPr>
            <w:r>
              <w:t>效益指标</w:t>
            </w:r>
          </w:p>
        </w:tc>
        <w:tc>
          <w:tcPr>
            <w:tcW w:w="2466" w:type="dxa"/>
            <w:vAlign w:val="center"/>
          </w:tcPr>
          <w:p w14:paraId="0010E6C0">
            <w:pPr>
              <w:pStyle w:val="9"/>
            </w:pPr>
            <w:r>
              <w:t>社会效益指标</w:t>
            </w:r>
          </w:p>
        </w:tc>
        <w:tc>
          <w:tcPr>
            <w:tcW w:w="2466" w:type="dxa"/>
            <w:vAlign w:val="center"/>
          </w:tcPr>
          <w:p w14:paraId="194396DB">
            <w:pPr>
              <w:pStyle w:val="9"/>
            </w:pPr>
            <w:r>
              <w:t>《关于使用智能外呼进行疫苗接种等新冠肺炎疫情防控宣传教育的工作方案（试行）》规定内容完成情况</w:t>
            </w:r>
          </w:p>
        </w:tc>
        <w:tc>
          <w:tcPr>
            <w:tcW w:w="2466" w:type="dxa"/>
            <w:vAlign w:val="center"/>
          </w:tcPr>
          <w:p w14:paraId="0A3A8A3F">
            <w:pPr>
              <w:pStyle w:val="9"/>
            </w:pPr>
            <w:r>
              <w:t>是否能够完成工作方案要求的内容</w:t>
            </w:r>
          </w:p>
        </w:tc>
        <w:tc>
          <w:tcPr>
            <w:tcW w:w="2466" w:type="dxa"/>
            <w:vAlign w:val="center"/>
          </w:tcPr>
          <w:p w14:paraId="124D2B8A">
            <w:pPr>
              <w:pStyle w:val="9"/>
            </w:pPr>
            <w:r>
              <w:t>能够完成</w:t>
            </w:r>
          </w:p>
        </w:tc>
        <w:tc>
          <w:tcPr>
            <w:tcW w:w="2466" w:type="dxa"/>
            <w:vAlign w:val="center"/>
          </w:tcPr>
          <w:p w14:paraId="2C6EB4A4">
            <w:pPr>
              <w:pStyle w:val="9"/>
            </w:pPr>
            <w:r>
              <w:t>工作总结</w:t>
            </w:r>
          </w:p>
        </w:tc>
      </w:tr>
      <w:tr w14:paraId="7AF2F6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2466" w:type="dxa"/>
            <w:vAlign w:val="center"/>
          </w:tcPr>
          <w:p w14:paraId="17FB5A8B">
            <w:pPr>
              <w:pStyle w:val="10"/>
            </w:pPr>
            <w:r>
              <w:t>满意度指标</w:t>
            </w:r>
          </w:p>
        </w:tc>
        <w:tc>
          <w:tcPr>
            <w:tcW w:w="2466" w:type="dxa"/>
            <w:vAlign w:val="center"/>
          </w:tcPr>
          <w:p w14:paraId="74B95DA0">
            <w:pPr>
              <w:pStyle w:val="9"/>
            </w:pPr>
            <w:r>
              <w:t>服务对象满意度指标</w:t>
            </w:r>
          </w:p>
        </w:tc>
        <w:tc>
          <w:tcPr>
            <w:tcW w:w="2466" w:type="dxa"/>
            <w:vAlign w:val="center"/>
          </w:tcPr>
          <w:p w14:paraId="085CFDC5">
            <w:pPr>
              <w:pStyle w:val="9"/>
            </w:pPr>
            <w:r>
              <w:t>相关部门的满意程度</w:t>
            </w:r>
          </w:p>
        </w:tc>
        <w:tc>
          <w:tcPr>
            <w:tcW w:w="2466" w:type="dxa"/>
            <w:vAlign w:val="center"/>
          </w:tcPr>
          <w:p w14:paraId="29CD2800">
            <w:pPr>
              <w:pStyle w:val="9"/>
            </w:pPr>
            <w:r>
              <w:t>相关部门的满意度</w:t>
            </w:r>
          </w:p>
        </w:tc>
        <w:tc>
          <w:tcPr>
            <w:tcW w:w="2466" w:type="dxa"/>
            <w:vAlign w:val="center"/>
          </w:tcPr>
          <w:p w14:paraId="16760E64">
            <w:pPr>
              <w:pStyle w:val="9"/>
            </w:pPr>
            <w:r>
              <w:t>≥90%</w:t>
            </w:r>
          </w:p>
        </w:tc>
        <w:tc>
          <w:tcPr>
            <w:tcW w:w="2466" w:type="dxa"/>
            <w:vAlign w:val="center"/>
          </w:tcPr>
          <w:p w14:paraId="36DD9F26">
            <w:pPr>
              <w:pStyle w:val="9"/>
            </w:pPr>
            <w:r>
              <w:t>调查问卷</w:t>
            </w:r>
          </w:p>
        </w:tc>
      </w:tr>
    </w:tbl>
    <w:p w14:paraId="14EB94E3">
      <w:pPr>
        <w:pStyle w:val="15"/>
      </w:pPr>
    </w:p>
    <w:p w14:paraId="606B3C18">
      <w:pPr>
        <w:pStyle w:val="15"/>
      </w:pPr>
    </w:p>
    <w:p w14:paraId="77C596F3">
      <w:pPr>
        <w:spacing w:before="10" w:after="10"/>
        <w:ind w:firstLine="640"/>
        <w:outlineLvl w:val="2"/>
        <w:rPr>
          <w:sz w:val="32"/>
          <w:szCs w:val="32"/>
        </w:rPr>
      </w:pPr>
      <w:bookmarkStart w:id="5" w:name="_Toc_3_3_0000000015"/>
      <w:r>
        <w:rPr>
          <w:rFonts w:ascii="黑体" w:hAnsi="黑体" w:eastAsia="黑体" w:cs="黑体"/>
          <w:color w:val="000000"/>
          <w:sz w:val="32"/>
          <w:szCs w:val="32"/>
        </w:rPr>
        <w:t>六、政府采购预算情况</w:t>
      </w:r>
      <w:bookmarkEnd w:id="5"/>
    </w:p>
    <w:p w14:paraId="7D1D33A0">
      <w:pPr>
        <w:spacing w:line="500" w:lineRule="exact"/>
        <w:ind w:firstLine="560"/>
      </w:pPr>
      <w:r>
        <w:rPr>
          <w:rFonts w:eastAsia="方正仿宋_GBK"/>
          <w:color w:val="000000"/>
          <w:sz w:val="28"/>
        </w:rPr>
        <w:t>202</w:t>
      </w:r>
      <w:r>
        <w:rPr>
          <w:rFonts w:hint="eastAsia" w:eastAsia="方正仿宋_GBK"/>
          <w:color w:val="000000"/>
          <w:sz w:val="28"/>
          <w:lang w:val="en-US" w:eastAsia="zh-CN"/>
        </w:rPr>
        <w:t>3</w:t>
      </w:r>
      <w:r>
        <w:rPr>
          <w:rFonts w:eastAsia="方正仿宋_GBK"/>
          <w:color w:val="000000"/>
          <w:sz w:val="28"/>
        </w:rPr>
        <w:t>年，中共廊坊市委网络安全和信息化委员会办公室安排政府采购预算</w:t>
      </w:r>
      <w:r>
        <w:rPr>
          <w:rFonts w:hint="eastAsia" w:eastAsia="方正仿宋_GBK"/>
          <w:color w:val="000000"/>
          <w:sz w:val="28"/>
          <w:lang w:val="en-US" w:eastAsia="zh-CN"/>
        </w:rPr>
        <w:t>510</w:t>
      </w:r>
      <w:r>
        <w:rPr>
          <w:rFonts w:eastAsia="方正仿宋_GBK"/>
          <w:color w:val="000000"/>
          <w:sz w:val="28"/>
        </w:rPr>
        <w:t>万元。具体内容见下表。</w:t>
      </w:r>
    </w:p>
    <w:p w14:paraId="5FE27D64">
      <w:pPr>
        <w:jc w:val="center"/>
      </w:pPr>
      <w:r>
        <w:rPr>
          <w:rFonts w:ascii="方正小标宋_GBK" w:hAnsi="方正小标宋_GBK" w:eastAsia="方正小标宋_GBK" w:cs="方正小标宋_GBK"/>
          <w:color w:val="000000"/>
          <w:sz w:val="36"/>
        </w:rPr>
        <w:t>部门政府采购预算</w:t>
      </w:r>
    </w:p>
    <w:tbl>
      <w:tblPr>
        <w:tblStyle w:val="5"/>
        <w:tblW w:w="1601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01"/>
        <w:gridCol w:w="964"/>
        <w:gridCol w:w="1134"/>
        <w:gridCol w:w="1134"/>
        <w:gridCol w:w="709"/>
        <w:gridCol w:w="850"/>
        <w:gridCol w:w="850"/>
        <w:gridCol w:w="964"/>
        <w:gridCol w:w="964"/>
        <w:gridCol w:w="964"/>
        <w:gridCol w:w="964"/>
        <w:gridCol w:w="964"/>
        <w:gridCol w:w="964"/>
        <w:gridCol w:w="964"/>
        <w:gridCol w:w="964"/>
        <w:gridCol w:w="964"/>
      </w:tblGrid>
      <w:tr w14:paraId="10C34D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blHeader/>
          <w:jc w:val="center"/>
        </w:trPr>
        <w:tc>
          <w:tcPr>
            <w:tcW w:w="7342" w:type="dxa"/>
            <w:gridSpan w:val="7"/>
            <w:tcBorders>
              <w:top w:val="single" w:color="FFFFFF" w:sz="6" w:space="0"/>
              <w:left w:val="single" w:color="FFFFFF" w:sz="6" w:space="0"/>
              <w:right w:val="single" w:color="FFFFFF" w:sz="6" w:space="0"/>
            </w:tcBorders>
            <w:noWrap w:val="0"/>
            <w:vAlign w:val="center"/>
          </w:tcPr>
          <w:p w14:paraId="3797D0C7">
            <w:pPr>
              <w:pStyle w:val="19"/>
            </w:pPr>
            <w:r>
              <w:t>410中共廊坊市委网络安全和信息化委员会办公室</w:t>
            </w:r>
          </w:p>
        </w:tc>
        <w:tc>
          <w:tcPr>
            <w:tcW w:w="8676" w:type="dxa"/>
            <w:gridSpan w:val="9"/>
            <w:tcBorders>
              <w:top w:val="single" w:color="FFFFFF" w:sz="6" w:space="0"/>
              <w:left w:val="single" w:color="FFFFFF" w:sz="6" w:space="0"/>
              <w:right w:val="single" w:color="FFFFFF" w:sz="6" w:space="0"/>
            </w:tcBorders>
            <w:noWrap w:val="0"/>
            <w:vAlign w:val="center"/>
          </w:tcPr>
          <w:p w14:paraId="66F986F7">
            <w:pPr>
              <w:pStyle w:val="20"/>
            </w:pPr>
            <w:r>
              <w:t>单位：万元</w:t>
            </w:r>
          </w:p>
        </w:tc>
      </w:tr>
      <w:tr w14:paraId="537591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665" w:type="dxa"/>
            <w:gridSpan w:val="2"/>
            <w:noWrap w:val="0"/>
            <w:vAlign w:val="center"/>
          </w:tcPr>
          <w:p w14:paraId="02F42060">
            <w:pPr>
              <w:pStyle w:val="8"/>
            </w:pPr>
            <w:r>
              <w:t>政府采购项目来源</w:t>
            </w:r>
          </w:p>
        </w:tc>
        <w:tc>
          <w:tcPr>
            <w:tcW w:w="1134" w:type="dxa"/>
            <w:vMerge w:val="restart"/>
            <w:noWrap w:val="0"/>
            <w:vAlign w:val="center"/>
          </w:tcPr>
          <w:p w14:paraId="3AAB8AAF">
            <w:pPr>
              <w:pStyle w:val="8"/>
            </w:pPr>
            <w:r>
              <w:t>采购物品名称</w:t>
            </w:r>
          </w:p>
        </w:tc>
        <w:tc>
          <w:tcPr>
            <w:tcW w:w="1134" w:type="dxa"/>
            <w:vMerge w:val="restart"/>
            <w:noWrap w:val="0"/>
            <w:vAlign w:val="center"/>
          </w:tcPr>
          <w:p w14:paraId="2B5F0FB1">
            <w:pPr>
              <w:pStyle w:val="8"/>
            </w:pPr>
            <w:r>
              <w:t>政府采购目录序号</w:t>
            </w:r>
          </w:p>
        </w:tc>
        <w:tc>
          <w:tcPr>
            <w:tcW w:w="709" w:type="dxa"/>
            <w:vMerge w:val="restart"/>
            <w:noWrap w:val="0"/>
            <w:vAlign w:val="center"/>
          </w:tcPr>
          <w:p w14:paraId="17278343">
            <w:pPr>
              <w:pStyle w:val="8"/>
            </w:pPr>
            <w:r>
              <w:t>计量  单位</w:t>
            </w:r>
          </w:p>
        </w:tc>
        <w:tc>
          <w:tcPr>
            <w:tcW w:w="850" w:type="dxa"/>
            <w:vMerge w:val="restart"/>
            <w:noWrap w:val="0"/>
            <w:vAlign w:val="center"/>
          </w:tcPr>
          <w:p w14:paraId="16EF2C77">
            <w:pPr>
              <w:pStyle w:val="8"/>
            </w:pPr>
            <w:r>
              <w:t>数量</w:t>
            </w:r>
          </w:p>
        </w:tc>
        <w:tc>
          <w:tcPr>
            <w:tcW w:w="850" w:type="dxa"/>
            <w:vMerge w:val="restart"/>
            <w:noWrap w:val="0"/>
            <w:vAlign w:val="center"/>
          </w:tcPr>
          <w:p w14:paraId="230BDBC6">
            <w:pPr>
              <w:pStyle w:val="8"/>
            </w:pPr>
            <w:r>
              <w:t>单价</w:t>
            </w:r>
          </w:p>
        </w:tc>
        <w:tc>
          <w:tcPr>
            <w:tcW w:w="7712" w:type="dxa"/>
            <w:gridSpan w:val="8"/>
            <w:noWrap w:val="0"/>
            <w:vAlign w:val="center"/>
          </w:tcPr>
          <w:p w14:paraId="02CE9997">
            <w:pPr>
              <w:pStyle w:val="8"/>
            </w:pPr>
            <w:r>
              <w:t>政府采购金额（当年部门预算安排资金）</w:t>
            </w:r>
          </w:p>
        </w:tc>
        <w:tc>
          <w:tcPr>
            <w:tcW w:w="964" w:type="dxa"/>
            <w:vMerge w:val="restart"/>
            <w:noWrap w:val="0"/>
            <w:vAlign w:val="center"/>
          </w:tcPr>
          <w:p w14:paraId="3D1371D2">
            <w:pPr>
              <w:pStyle w:val="8"/>
            </w:pPr>
            <w:r>
              <w:t>202</w:t>
            </w:r>
            <w:r>
              <w:rPr>
                <w:rFonts w:hint="eastAsia"/>
                <w:lang w:val="en-US" w:eastAsia="zh-CN"/>
              </w:rPr>
              <w:t>3</w:t>
            </w:r>
            <w:r>
              <w:t>年  预留中  小微企  业份额</w:t>
            </w:r>
          </w:p>
        </w:tc>
      </w:tr>
      <w:tr w14:paraId="6B0F32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701" w:type="dxa"/>
            <w:noWrap w:val="0"/>
            <w:vAlign w:val="center"/>
          </w:tcPr>
          <w:p w14:paraId="77800DE2">
            <w:pPr>
              <w:pStyle w:val="8"/>
            </w:pPr>
            <w:r>
              <w:t>项目名称</w:t>
            </w:r>
          </w:p>
        </w:tc>
        <w:tc>
          <w:tcPr>
            <w:tcW w:w="964" w:type="dxa"/>
            <w:noWrap w:val="0"/>
            <w:vAlign w:val="center"/>
          </w:tcPr>
          <w:p w14:paraId="43E2C624">
            <w:pPr>
              <w:pStyle w:val="8"/>
            </w:pPr>
            <w:r>
              <w:t>预算    资金</w:t>
            </w:r>
          </w:p>
        </w:tc>
        <w:tc>
          <w:tcPr>
            <w:tcW w:w="1134" w:type="dxa"/>
            <w:vMerge w:val="continue"/>
            <w:noWrap w:val="0"/>
            <w:vAlign w:val="top"/>
          </w:tcPr>
          <w:p w14:paraId="3BD32C96"/>
        </w:tc>
        <w:tc>
          <w:tcPr>
            <w:tcW w:w="1134" w:type="dxa"/>
            <w:vMerge w:val="continue"/>
            <w:noWrap w:val="0"/>
            <w:vAlign w:val="top"/>
          </w:tcPr>
          <w:p w14:paraId="76C7A712"/>
        </w:tc>
        <w:tc>
          <w:tcPr>
            <w:tcW w:w="709" w:type="dxa"/>
            <w:vMerge w:val="continue"/>
            <w:noWrap w:val="0"/>
            <w:vAlign w:val="top"/>
          </w:tcPr>
          <w:p w14:paraId="7DE8918F"/>
        </w:tc>
        <w:tc>
          <w:tcPr>
            <w:tcW w:w="850" w:type="dxa"/>
            <w:vMerge w:val="continue"/>
            <w:noWrap w:val="0"/>
            <w:vAlign w:val="top"/>
          </w:tcPr>
          <w:p w14:paraId="1C9387B4"/>
        </w:tc>
        <w:tc>
          <w:tcPr>
            <w:tcW w:w="850" w:type="dxa"/>
            <w:vMerge w:val="continue"/>
            <w:noWrap w:val="0"/>
            <w:vAlign w:val="top"/>
          </w:tcPr>
          <w:p w14:paraId="08860A2A"/>
        </w:tc>
        <w:tc>
          <w:tcPr>
            <w:tcW w:w="964" w:type="dxa"/>
            <w:noWrap w:val="0"/>
            <w:vAlign w:val="center"/>
          </w:tcPr>
          <w:p w14:paraId="2DDA5FB1">
            <w:pPr>
              <w:pStyle w:val="8"/>
            </w:pPr>
            <w:r>
              <w:t>合计</w:t>
            </w:r>
          </w:p>
        </w:tc>
        <w:tc>
          <w:tcPr>
            <w:tcW w:w="964" w:type="dxa"/>
            <w:noWrap w:val="0"/>
            <w:vAlign w:val="center"/>
          </w:tcPr>
          <w:p w14:paraId="5C3C7A51">
            <w:pPr>
              <w:pStyle w:val="8"/>
            </w:pPr>
            <w:r>
              <w:t>一般公共预算拨款</w:t>
            </w:r>
          </w:p>
        </w:tc>
        <w:tc>
          <w:tcPr>
            <w:tcW w:w="964" w:type="dxa"/>
            <w:noWrap w:val="0"/>
            <w:vAlign w:val="center"/>
          </w:tcPr>
          <w:p w14:paraId="5C3776E8">
            <w:pPr>
              <w:pStyle w:val="8"/>
            </w:pPr>
            <w:r>
              <w:t>基金预算拨款</w:t>
            </w:r>
          </w:p>
        </w:tc>
        <w:tc>
          <w:tcPr>
            <w:tcW w:w="964" w:type="dxa"/>
            <w:noWrap w:val="0"/>
            <w:vAlign w:val="center"/>
          </w:tcPr>
          <w:p w14:paraId="5A64D684">
            <w:pPr>
              <w:pStyle w:val="8"/>
            </w:pPr>
            <w:r>
              <w:t>国有资本经营预算拨款</w:t>
            </w:r>
          </w:p>
        </w:tc>
        <w:tc>
          <w:tcPr>
            <w:tcW w:w="964" w:type="dxa"/>
            <w:noWrap w:val="0"/>
            <w:vAlign w:val="center"/>
          </w:tcPr>
          <w:p w14:paraId="3BEE6601">
            <w:pPr>
              <w:pStyle w:val="8"/>
            </w:pPr>
            <w:r>
              <w:t>财政专户核拨</w:t>
            </w:r>
          </w:p>
        </w:tc>
        <w:tc>
          <w:tcPr>
            <w:tcW w:w="964" w:type="dxa"/>
            <w:noWrap w:val="0"/>
            <w:vAlign w:val="center"/>
          </w:tcPr>
          <w:p w14:paraId="07673CDB">
            <w:pPr>
              <w:pStyle w:val="8"/>
            </w:pPr>
            <w:r>
              <w:t>单位    资金</w:t>
            </w:r>
          </w:p>
        </w:tc>
        <w:tc>
          <w:tcPr>
            <w:tcW w:w="964" w:type="dxa"/>
            <w:noWrap w:val="0"/>
            <w:vAlign w:val="center"/>
          </w:tcPr>
          <w:p w14:paraId="7D549CFC">
            <w:pPr>
              <w:pStyle w:val="8"/>
            </w:pPr>
            <w:r>
              <w:t>财政拨    款结转</w:t>
            </w:r>
          </w:p>
        </w:tc>
        <w:tc>
          <w:tcPr>
            <w:tcW w:w="964" w:type="dxa"/>
            <w:noWrap w:val="0"/>
            <w:vAlign w:val="center"/>
          </w:tcPr>
          <w:p w14:paraId="05E7D2FC">
            <w:pPr>
              <w:pStyle w:val="8"/>
            </w:pPr>
            <w:r>
              <w:t>非财政    拨款结    转结余</w:t>
            </w:r>
          </w:p>
        </w:tc>
        <w:tc>
          <w:tcPr>
            <w:tcW w:w="964" w:type="dxa"/>
            <w:vMerge w:val="continue"/>
            <w:noWrap w:val="0"/>
            <w:vAlign w:val="top"/>
          </w:tcPr>
          <w:p w14:paraId="4A086140"/>
        </w:tc>
      </w:tr>
      <w:tr w14:paraId="63BC74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4709D829">
            <w:pPr>
              <w:pStyle w:val="21"/>
            </w:pPr>
            <w:r>
              <w:t>合  计</w:t>
            </w:r>
          </w:p>
        </w:tc>
        <w:tc>
          <w:tcPr>
            <w:tcW w:w="964" w:type="dxa"/>
            <w:noWrap w:val="0"/>
            <w:vAlign w:val="center"/>
          </w:tcPr>
          <w:p w14:paraId="3078BC72">
            <w:pPr>
              <w:pStyle w:val="22"/>
            </w:pPr>
          </w:p>
        </w:tc>
        <w:tc>
          <w:tcPr>
            <w:tcW w:w="1134" w:type="dxa"/>
            <w:noWrap w:val="0"/>
            <w:vAlign w:val="center"/>
          </w:tcPr>
          <w:p w14:paraId="4B1BC3E5">
            <w:pPr>
              <w:pStyle w:val="23"/>
            </w:pPr>
          </w:p>
        </w:tc>
        <w:tc>
          <w:tcPr>
            <w:tcW w:w="1134" w:type="dxa"/>
            <w:noWrap w:val="0"/>
            <w:vAlign w:val="center"/>
          </w:tcPr>
          <w:p w14:paraId="2C9CED28">
            <w:pPr>
              <w:pStyle w:val="23"/>
            </w:pPr>
          </w:p>
        </w:tc>
        <w:tc>
          <w:tcPr>
            <w:tcW w:w="709" w:type="dxa"/>
            <w:noWrap w:val="0"/>
            <w:vAlign w:val="center"/>
          </w:tcPr>
          <w:p w14:paraId="4D70F611">
            <w:pPr>
              <w:pStyle w:val="21"/>
            </w:pPr>
          </w:p>
        </w:tc>
        <w:tc>
          <w:tcPr>
            <w:tcW w:w="850" w:type="dxa"/>
            <w:noWrap w:val="0"/>
            <w:vAlign w:val="center"/>
          </w:tcPr>
          <w:p w14:paraId="505003F5">
            <w:pPr>
              <w:pStyle w:val="22"/>
            </w:pPr>
          </w:p>
        </w:tc>
        <w:tc>
          <w:tcPr>
            <w:tcW w:w="850" w:type="dxa"/>
            <w:noWrap w:val="0"/>
            <w:vAlign w:val="center"/>
          </w:tcPr>
          <w:p w14:paraId="16B836A8">
            <w:pPr>
              <w:pStyle w:val="22"/>
            </w:pPr>
          </w:p>
        </w:tc>
        <w:tc>
          <w:tcPr>
            <w:tcW w:w="964" w:type="dxa"/>
            <w:noWrap w:val="0"/>
            <w:vAlign w:val="center"/>
          </w:tcPr>
          <w:p w14:paraId="314290C0">
            <w:pPr>
              <w:pStyle w:val="22"/>
              <w:rPr>
                <w:rFonts w:hint="default"/>
                <w:lang w:val="en-US"/>
              </w:rPr>
            </w:pPr>
            <w:r>
              <w:rPr>
                <w:rFonts w:hint="eastAsia"/>
                <w:lang w:val="en-US" w:eastAsia="zh-CN"/>
              </w:rPr>
              <w:t>510.00</w:t>
            </w:r>
          </w:p>
        </w:tc>
        <w:tc>
          <w:tcPr>
            <w:tcW w:w="964" w:type="dxa"/>
            <w:noWrap w:val="0"/>
            <w:vAlign w:val="center"/>
          </w:tcPr>
          <w:p w14:paraId="33167C9A">
            <w:pPr>
              <w:pStyle w:val="22"/>
              <w:rPr>
                <w:rFonts w:hint="default"/>
                <w:lang w:val="en-US"/>
              </w:rPr>
            </w:pPr>
            <w:r>
              <w:rPr>
                <w:rFonts w:hint="eastAsia"/>
                <w:lang w:val="en-US" w:eastAsia="zh-CN"/>
              </w:rPr>
              <w:t>510.00</w:t>
            </w:r>
          </w:p>
        </w:tc>
        <w:tc>
          <w:tcPr>
            <w:tcW w:w="964" w:type="dxa"/>
            <w:noWrap w:val="0"/>
            <w:vAlign w:val="center"/>
          </w:tcPr>
          <w:p w14:paraId="19B86B79">
            <w:pPr>
              <w:pStyle w:val="22"/>
            </w:pPr>
          </w:p>
        </w:tc>
        <w:tc>
          <w:tcPr>
            <w:tcW w:w="964" w:type="dxa"/>
            <w:noWrap w:val="0"/>
            <w:vAlign w:val="center"/>
          </w:tcPr>
          <w:p w14:paraId="2F047492">
            <w:pPr>
              <w:pStyle w:val="22"/>
            </w:pPr>
          </w:p>
        </w:tc>
        <w:tc>
          <w:tcPr>
            <w:tcW w:w="964" w:type="dxa"/>
            <w:noWrap w:val="0"/>
            <w:vAlign w:val="center"/>
          </w:tcPr>
          <w:p w14:paraId="5E3AF428">
            <w:pPr>
              <w:pStyle w:val="22"/>
            </w:pPr>
          </w:p>
        </w:tc>
        <w:tc>
          <w:tcPr>
            <w:tcW w:w="964" w:type="dxa"/>
            <w:noWrap w:val="0"/>
            <w:vAlign w:val="center"/>
          </w:tcPr>
          <w:p w14:paraId="586EEA45">
            <w:pPr>
              <w:pStyle w:val="22"/>
            </w:pPr>
          </w:p>
        </w:tc>
        <w:tc>
          <w:tcPr>
            <w:tcW w:w="964" w:type="dxa"/>
            <w:noWrap w:val="0"/>
            <w:vAlign w:val="center"/>
          </w:tcPr>
          <w:p w14:paraId="6C90DB22">
            <w:pPr>
              <w:pStyle w:val="22"/>
            </w:pPr>
          </w:p>
        </w:tc>
        <w:tc>
          <w:tcPr>
            <w:tcW w:w="964" w:type="dxa"/>
            <w:noWrap w:val="0"/>
            <w:vAlign w:val="center"/>
          </w:tcPr>
          <w:p w14:paraId="1D0A4788">
            <w:pPr>
              <w:pStyle w:val="22"/>
            </w:pPr>
          </w:p>
        </w:tc>
        <w:tc>
          <w:tcPr>
            <w:tcW w:w="964" w:type="dxa"/>
            <w:noWrap w:val="0"/>
            <w:vAlign w:val="center"/>
          </w:tcPr>
          <w:p w14:paraId="7CBD24A4">
            <w:pPr>
              <w:pStyle w:val="22"/>
            </w:pPr>
          </w:p>
        </w:tc>
      </w:tr>
      <w:tr w14:paraId="4943CE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13582520">
            <w:pPr>
              <w:pStyle w:val="21"/>
            </w:pPr>
            <w:r>
              <w:t>中共廊坊市委网络安全和信息化委员会办公室本级小计</w:t>
            </w:r>
          </w:p>
        </w:tc>
        <w:tc>
          <w:tcPr>
            <w:tcW w:w="964" w:type="dxa"/>
            <w:noWrap w:val="0"/>
            <w:vAlign w:val="center"/>
          </w:tcPr>
          <w:p w14:paraId="1745E6E9">
            <w:pPr>
              <w:pStyle w:val="22"/>
            </w:pPr>
          </w:p>
        </w:tc>
        <w:tc>
          <w:tcPr>
            <w:tcW w:w="1134" w:type="dxa"/>
            <w:noWrap w:val="0"/>
            <w:vAlign w:val="center"/>
          </w:tcPr>
          <w:p w14:paraId="0C640285">
            <w:pPr>
              <w:pStyle w:val="23"/>
            </w:pPr>
          </w:p>
        </w:tc>
        <w:tc>
          <w:tcPr>
            <w:tcW w:w="1134" w:type="dxa"/>
            <w:noWrap w:val="0"/>
            <w:vAlign w:val="center"/>
          </w:tcPr>
          <w:p w14:paraId="7B4F7B6E">
            <w:pPr>
              <w:pStyle w:val="23"/>
            </w:pPr>
          </w:p>
        </w:tc>
        <w:tc>
          <w:tcPr>
            <w:tcW w:w="709" w:type="dxa"/>
            <w:noWrap w:val="0"/>
            <w:vAlign w:val="center"/>
          </w:tcPr>
          <w:p w14:paraId="61005FCE">
            <w:pPr>
              <w:pStyle w:val="21"/>
            </w:pPr>
          </w:p>
        </w:tc>
        <w:tc>
          <w:tcPr>
            <w:tcW w:w="850" w:type="dxa"/>
            <w:noWrap w:val="0"/>
            <w:vAlign w:val="center"/>
          </w:tcPr>
          <w:p w14:paraId="7F7B6EE6">
            <w:pPr>
              <w:pStyle w:val="22"/>
            </w:pPr>
          </w:p>
        </w:tc>
        <w:tc>
          <w:tcPr>
            <w:tcW w:w="850" w:type="dxa"/>
            <w:noWrap w:val="0"/>
            <w:vAlign w:val="center"/>
          </w:tcPr>
          <w:p w14:paraId="1A504A7E">
            <w:pPr>
              <w:pStyle w:val="22"/>
            </w:pPr>
          </w:p>
        </w:tc>
        <w:tc>
          <w:tcPr>
            <w:tcW w:w="964" w:type="dxa"/>
            <w:noWrap w:val="0"/>
            <w:vAlign w:val="center"/>
          </w:tcPr>
          <w:p w14:paraId="32D71F7D">
            <w:pPr>
              <w:pStyle w:val="22"/>
              <w:rPr>
                <w:rFonts w:hint="default" w:eastAsia="方正书宋_GBK"/>
                <w:lang w:val="en-US" w:eastAsia="zh-CN"/>
              </w:rPr>
            </w:pPr>
            <w:r>
              <w:rPr>
                <w:rFonts w:hint="eastAsia"/>
                <w:lang w:val="en-US" w:eastAsia="zh-CN"/>
              </w:rPr>
              <w:t>510.00</w:t>
            </w:r>
          </w:p>
        </w:tc>
        <w:tc>
          <w:tcPr>
            <w:tcW w:w="964" w:type="dxa"/>
            <w:noWrap w:val="0"/>
            <w:vAlign w:val="center"/>
          </w:tcPr>
          <w:p w14:paraId="7226D3BD">
            <w:pPr>
              <w:pStyle w:val="22"/>
              <w:rPr>
                <w:rFonts w:hint="default"/>
                <w:lang w:val="en-US"/>
              </w:rPr>
            </w:pPr>
            <w:r>
              <w:rPr>
                <w:rFonts w:hint="eastAsia"/>
                <w:lang w:val="en-US" w:eastAsia="zh-CN"/>
              </w:rPr>
              <w:t>510.00</w:t>
            </w:r>
          </w:p>
        </w:tc>
        <w:tc>
          <w:tcPr>
            <w:tcW w:w="964" w:type="dxa"/>
            <w:noWrap w:val="0"/>
            <w:vAlign w:val="center"/>
          </w:tcPr>
          <w:p w14:paraId="0397139E">
            <w:pPr>
              <w:pStyle w:val="22"/>
            </w:pPr>
          </w:p>
        </w:tc>
        <w:tc>
          <w:tcPr>
            <w:tcW w:w="964" w:type="dxa"/>
            <w:noWrap w:val="0"/>
            <w:vAlign w:val="center"/>
          </w:tcPr>
          <w:p w14:paraId="4423CE70">
            <w:pPr>
              <w:pStyle w:val="22"/>
            </w:pPr>
          </w:p>
        </w:tc>
        <w:tc>
          <w:tcPr>
            <w:tcW w:w="964" w:type="dxa"/>
            <w:noWrap w:val="0"/>
            <w:vAlign w:val="center"/>
          </w:tcPr>
          <w:p w14:paraId="57FDB6FB">
            <w:pPr>
              <w:pStyle w:val="22"/>
            </w:pPr>
          </w:p>
        </w:tc>
        <w:tc>
          <w:tcPr>
            <w:tcW w:w="964" w:type="dxa"/>
            <w:noWrap w:val="0"/>
            <w:vAlign w:val="center"/>
          </w:tcPr>
          <w:p w14:paraId="35175EC4">
            <w:pPr>
              <w:pStyle w:val="22"/>
            </w:pPr>
          </w:p>
        </w:tc>
        <w:tc>
          <w:tcPr>
            <w:tcW w:w="964" w:type="dxa"/>
            <w:noWrap w:val="0"/>
            <w:vAlign w:val="center"/>
          </w:tcPr>
          <w:p w14:paraId="03D3E3D3">
            <w:pPr>
              <w:pStyle w:val="22"/>
            </w:pPr>
          </w:p>
        </w:tc>
        <w:tc>
          <w:tcPr>
            <w:tcW w:w="964" w:type="dxa"/>
            <w:noWrap w:val="0"/>
            <w:vAlign w:val="center"/>
          </w:tcPr>
          <w:p w14:paraId="2B69057D">
            <w:pPr>
              <w:pStyle w:val="22"/>
            </w:pPr>
          </w:p>
        </w:tc>
        <w:tc>
          <w:tcPr>
            <w:tcW w:w="964" w:type="dxa"/>
            <w:noWrap w:val="0"/>
            <w:vAlign w:val="center"/>
          </w:tcPr>
          <w:p w14:paraId="62A614D7">
            <w:pPr>
              <w:pStyle w:val="22"/>
            </w:pPr>
          </w:p>
        </w:tc>
      </w:tr>
      <w:tr w14:paraId="33A7F2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4B3B466E">
            <w:pPr>
              <w:pStyle w:val="9"/>
            </w:pPr>
            <w:r>
              <w:t>公务网络机房维护经费</w:t>
            </w:r>
          </w:p>
        </w:tc>
        <w:tc>
          <w:tcPr>
            <w:tcW w:w="964" w:type="dxa"/>
            <w:noWrap w:val="0"/>
            <w:vAlign w:val="center"/>
          </w:tcPr>
          <w:p w14:paraId="54B70E19">
            <w:pPr>
              <w:pStyle w:val="24"/>
              <w:rPr>
                <w:rFonts w:hint="default" w:eastAsia="方正书宋_GBK"/>
                <w:lang w:val="en-US" w:eastAsia="zh-CN"/>
              </w:rPr>
            </w:pPr>
            <w:r>
              <w:rPr>
                <w:rFonts w:hint="eastAsia"/>
                <w:lang w:val="en-US" w:eastAsia="zh-CN"/>
              </w:rPr>
              <w:t>540.80</w:t>
            </w:r>
          </w:p>
        </w:tc>
        <w:tc>
          <w:tcPr>
            <w:tcW w:w="1134" w:type="dxa"/>
            <w:noWrap w:val="0"/>
            <w:vAlign w:val="center"/>
          </w:tcPr>
          <w:p w14:paraId="09669CDF">
            <w:pPr>
              <w:pStyle w:val="9"/>
            </w:pPr>
            <w:r>
              <w:rPr>
                <w:rFonts w:hint="eastAsia"/>
                <w:lang w:eastAsia="zh-CN"/>
              </w:rPr>
              <w:t>网络接入</w:t>
            </w:r>
            <w:r>
              <w:t>服务</w:t>
            </w:r>
          </w:p>
        </w:tc>
        <w:tc>
          <w:tcPr>
            <w:tcW w:w="1134" w:type="dxa"/>
            <w:noWrap w:val="0"/>
            <w:vAlign w:val="center"/>
          </w:tcPr>
          <w:p w14:paraId="04788350">
            <w:pPr>
              <w:pStyle w:val="9"/>
            </w:pPr>
            <w:r>
              <w:t>C17010200</w:t>
            </w:r>
          </w:p>
        </w:tc>
        <w:tc>
          <w:tcPr>
            <w:tcW w:w="709" w:type="dxa"/>
            <w:noWrap w:val="0"/>
            <w:vAlign w:val="center"/>
          </w:tcPr>
          <w:p w14:paraId="5E577CFE">
            <w:pPr>
              <w:pStyle w:val="10"/>
            </w:pPr>
            <w:r>
              <w:t>套</w:t>
            </w:r>
          </w:p>
        </w:tc>
        <w:tc>
          <w:tcPr>
            <w:tcW w:w="850" w:type="dxa"/>
            <w:noWrap w:val="0"/>
            <w:vAlign w:val="center"/>
          </w:tcPr>
          <w:p w14:paraId="5E616769">
            <w:pPr>
              <w:pStyle w:val="24"/>
            </w:pPr>
            <w:r>
              <w:t>1</w:t>
            </w:r>
          </w:p>
        </w:tc>
        <w:tc>
          <w:tcPr>
            <w:tcW w:w="850" w:type="dxa"/>
            <w:noWrap w:val="0"/>
            <w:vAlign w:val="center"/>
          </w:tcPr>
          <w:p w14:paraId="20932F06">
            <w:pPr>
              <w:pStyle w:val="24"/>
              <w:rPr>
                <w:rFonts w:hint="default" w:eastAsia="方正书宋_GBK"/>
                <w:lang w:val="en-US" w:eastAsia="zh-CN"/>
              </w:rPr>
            </w:pPr>
            <w:r>
              <w:rPr>
                <w:rFonts w:hint="eastAsia"/>
                <w:lang w:val="en-US" w:eastAsia="zh-CN"/>
              </w:rPr>
              <w:t>300.00</w:t>
            </w:r>
          </w:p>
        </w:tc>
        <w:tc>
          <w:tcPr>
            <w:tcW w:w="964" w:type="dxa"/>
            <w:noWrap w:val="0"/>
            <w:vAlign w:val="center"/>
          </w:tcPr>
          <w:p w14:paraId="6AF2FD2D">
            <w:pPr>
              <w:pStyle w:val="24"/>
              <w:rPr>
                <w:rFonts w:hint="default" w:eastAsia="方正书宋_GBK"/>
                <w:lang w:val="en-US" w:eastAsia="zh-CN"/>
              </w:rPr>
            </w:pPr>
            <w:r>
              <w:rPr>
                <w:rFonts w:hint="eastAsia"/>
                <w:lang w:val="en-US" w:eastAsia="zh-CN"/>
              </w:rPr>
              <w:t>300.00</w:t>
            </w:r>
          </w:p>
        </w:tc>
        <w:tc>
          <w:tcPr>
            <w:tcW w:w="964" w:type="dxa"/>
            <w:noWrap w:val="0"/>
            <w:vAlign w:val="center"/>
          </w:tcPr>
          <w:p w14:paraId="5114F489">
            <w:pPr>
              <w:pStyle w:val="24"/>
              <w:rPr>
                <w:rFonts w:hint="default" w:eastAsia="方正书宋_GBK"/>
                <w:lang w:val="en-US" w:eastAsia="zh-CN"/>
              </w:rPr>
            </w:pPr>
            <w:r>
              <w:rPr>
                <w:rFonts w:hint="eastAsia"/>
                <w:lang w:val="en-US" w:eastAsia="zh-CN"/>
              </w:rPr>
              <w:t>300.00</w:t>
            </w:r>
          </w:p>
        </w:tc>
        <w:tc>
          <w:tcPr>
            <w:tcW w:w="964" w:type="dxa"/>
            <w:noWrap w:val="0"/>
            <w:vAlign w:val="center"/>
          </w:tcPr>
          <w:p w14:paraId="7EE619A3">
            <w:pPr>
              <w:pStyle w:val="24"/>
            </w:pPr>
          </w:p>
        </w:tc>
        <w:tc>
          <w:tcPr>
            <w:tcW w:w="964" w:type="dxa"/>
            <w:noWrap w:val="0"/>
            <w:vAlign w:val="center"/>
          </w:tcPr>
          <w:p w14:paraId="06EBE7FF">
            <w:pPr>
              <w:pStyle w:val="24"/>
            </w:pPr>
          </w:p>
        </w:tc>
        <w:tc>
          <w:tcPr>
            <w:tcW w:w="964" w:type="dxa"/>
            <w:noWrap w:val="0"/>
            <w:vAlign w:val="center"/>
          </w:tcPr>
          <w:p w14:paraId="27837F06">
            <w:pPr>
              <w:pStyle w:val="24"/>
            </w:pPr>
          </w:p>
        </w:tc>
        <w:tc>
          <w:tcPr>
            <w:tcW w:w="964" w:type="dxa"/>
            <w:noWrap w:val="0"/>
            <w:vAlign w:val="center"/>
          </w:tcPr>
          <w:p w14:paraId="3E75BED1">
            <w:pPr>
              <w:pStyle w:val="24"/>
            </w:pPr>
          </w:p>
        </w:tc>
        <w:tc>
          <w:tcPr>
            <w:tcW w:w="964" w:type="dxa"/>
            <w:noWrap w:val="0"/>
            <w:vAlign w:val="center"/>
          </w:tcPr>
          <w:p w14:paraId="7D4C294E">
            <w:pPr>
              <w:pStyle w:val="24"/>
            </w:pPr>
          </w:p>
        </w:tc>
        <w:tc>
          <w:tcPr>
            <w:tcW w:w="964" w:type="dxa"/>
            <w:noWrap w:val="0"/>
            <w:vAlign w:val="center"/>
          </w:tcPr>
          <w:p w14:paraId="68EBCAA6">
            <w:pPr>
              <w:pStyle w:val="24"/>
            </w:pPr>
          </w:p>
        </w:tc>
        <w:tc>
          <w:tcPr>
            <w:tcW w:w="964" w:type="dxa"/>
            <w:noWrap w:val="0"/>
            <w:vAlign w:val="center"/>
          </w:tcPr>
          <w:p w14:paraId="6264B070">
            <w:pPr>
              <w:pStyle w:val="24"/>
            </w:pPr>
          </w:p>
        </w:tc>
      </w:tr>
      <w:tr w14:paraId="35C52B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01" w:type="dxa"/>
            <w:noWrap w:val="0"/>
            <w:vAlign w:val="center"/>
          </w:tcPr>
          <w:p w14:paraId="638A4007">
            <w:pPr>
              <w:pStyle w:val="9"/>
            </w:pPr>
            <w:r>
              <w:t>智能AI外呼服务平台建设资金</w:t>
            </w:r>
          </w:p>
        </w:tc>
        <w:tc>
          <w:tcPr>
            <w:tcW w:w="964" w:type="dxa"/>
            <w:noWrap w:val="0"/>
            <w:vAlign w:val="center"/>
          </w:tcPr>
          <w:p w14:paraId="2F9030FF">
            <w:pPr>
              <w:pStyle w:val="24"/>
              <w:rPr>
                <w:rFonts w:hint="default" w:eastAsia="方正书宋_GBK"/>
                <w:lang w:val="en-US" w:eastAsia="zh-CN"/>
              </w:rPr>
            </w:pPr>
            <w:r>
              <w:rPr>
                <w:rFonts w:hint="eastAsia"/>
                <w:lang w:val="en-US" w:eastAsia="zh-CN"/>
              </w:rPr>
              <w:t>220.00</w:t>
            </w:r>
          </w:p>
        </w:tc>
        <w:tc>
          <w:tcPr>
            <w:tcW w:w="1134" w:type="dxa"/>
            <w:noWrap w:val="0"/>
            <w:vAlign w:val="center"/>
          </w:tcPr>
          <w:p w14:paraId="780D5297">
            <w:pPr>
              <w:pStyle w:val="9"/>
            </w:pPr>
            <w:r>
              <w:t>行业应用软件开发服务</w:t>
            </w:r>
          </w:p>
        </w:tc>
        <w:tc>
          <w:tcPr>
            <w:tcW w:w="1134" w:type="dxa"/>
            <w:noWrap w:val="0"/>
            <w:vAlign w:val="center"/>
          </w:tcPr>
          <w:p w14:paraId="5B937CBF">
            <w:pPr>
              <w:pStyle w:val="9"/>
            </w:pPr>
            <w:r>
              <w:t>C16010302</w:t>
            </w:r>
          </w:p>
        </w:tc>
        <w:tc>
          <w:tcPr>
            <w:tcW w:w="709" w:type="dxa"/>
            <w:noWrap w:val="0"/>
            <w:vAlign w:val="center"/>
          </w:tcPr>
          <w:p w14:paraId="742BFB3A">
            <w:pPr>
              <w:pStyle w:val="10"/>
            </w:pPr>
            <w:r>
              <w:t>套</w:t>
            </w:r>
          </w:p>
        </w:tc>
        <w:tc>
          <w:tcPr>
            <w:tcW w:w="850" w:type="dxa"/>
            <w:noWrap w:val="0"/>
            <w:vAlign w:val="center"/>
          </w:tcPr>
          <w:p w14:paraId="6BFBCA82">
            <w:pPr>
              <w:pStyle w:val="24"/>
            </w:pPr>
            <w:r>
              <w:t>1</w:t>
            </w:r>
          </w:p>
        </w:tc>
        <w:tc>
          <w:tcPr>
            <w:tcW w:w="850" w:type="dxa"/>
            <w:noWrap w:val="0"/>
            <w:vAlign w:val="center"/>
          </w:tcPr>
          <w:p w14:paraId="6136CEA4">
            <w:pPr>
              <w:pStyle w:val="24"/>
              <w:rPr>
                <w:rFonts w:hint="default" w:eastAsia="方正书宋_GBK"/>
                <w:lang w:val="en-US" w:eastAsia="zh-CN"/>
              </w:rPr>
            </w:pPr>
            <w:r>
              <w:rPr>
                <w:rFonts w:hint="eastAsia"/>
                <w:lang w:val="en-US" w:eastAsia="zh-CN"/>
              </w:rPr>
              <w:t>210.00</w:t>
            </w:r>
          </w:p>
        </w:tc>
        <w:tc>
          <w:tcPr>
            <w:tcW w:w="964" w:type="dxa"/>
            <w:noWrap w:val="0"/>
            <w:vAlign w:val="center"/>
          </w:tcPr>
          <w:p w14:paraId="25BBC6AA">
            <w:pPr>
              <w:pStyle w:val="24"/>
              <w:rPr>
                <w:rFonts w:hint="default" w:eastAsia="方正书宋_GBK"/>
                <w:lang w:val="en-US" w:eastAsia="zh-CN"/>
              </w:rPr>
            </w:pPr>
            <w:r>
              <w:rPr>
                <w:rFonts w:hint="eastAsia"/>
                <w:lang w:val="en-US" w:eastAsia="zh-CN"/>
              </w:rPr>
              <w:t>210.00</w:t>
            </w:r>
          </w:p>
        </w:tc>
        <w:tc>
          <w:tcPr>
            <w:tcW w:w="964" w:type="dxa"/>
            <w:noWrap w:val="0"/>
            <w:vAlign w:val="center"/>
          </w:tcPr>
          <w:p w14:paraId="703A00DA">
            <w:pPr>
              <w:pStyle w:val="24"/>
              <w:rPr>
                <w:rFonts w:hint="default" w:eastAsia="方正书宋_GBK"/>
                <w:lang w:val="en-US" w:eastAsia="zh-CN"/>
              </w:rPr>
            </w:pPr>
            <w:r>
              <w:rPr>
                <w:rFonts w:hint="eastAsia"/>
                <w:lang w:val="en-US" w:eastAsia="zh-CN"/>
              </w:rPr>
              <w:t>210.00</w:t>
            </w:r>
          </w:p>
        </w:tc>
        <w:tc>
          <w:tcPr>
            <w:tcW w:w="964" w:type="dxa"/>
            <w:noWrap w:val="0"/>
            <w:vAlign w:val="center"/>
          </w:tcPr>
          <w:p w14:paraId="37F8B210">
            <w:pPr>
              <w:pStyle w:val="24"/>
            </w:pPr>
          </w:p>
        </w:tc>
        <w:tc>
          <w:tcPr>
            <w:tcW w:w="964" w:type="dxa"/>
            <w:noWrap w:val="0"/>
            <w:vAlign w:val="center"/>
          </w:tcPr>
          <w:p w14:paraId="3CF2427D">
            <w:pPr>
              <w:pStyle w:val="24"/>
            </w:pPr>
          </w:p>
        </w:tc>
        <w:tc>
          <w:tcPr>
            <w:tcW w:w="964" w:type="dxa"/>
            <w:noWrap w:val="0"/>
            <w:vAlign w:val="center"/>
          </w:tcPr>
          <w:p w14:paraId="553229C3">
            <w:pPr>
              <w:pStyle w:val="24"/>
            </w:pPr>
          </w:p>
        </w:tc>
        <w:tc>
          <w:tcPr>
            <w:tcW w:w="964" w:type="dxa"/>
            <w:noWrap w:val="0"/>
            <w:vAlign w:val="center"/>
          </w:tcPr>
          <w:p w14:paraId="71BB88BA">
            <w:pPr>
              <w:pStyle w:val="24"/>
            </w:pPr>
          </w:p>
        </w:tc>
        <w:tc>
          <w:tcPr>
            <w:tcW w:w="964" w:type="dxa"/>
            <w:noWrap w:val="0"/>
            <w:vAlign w:val="center"/>
          </w:tcPr>
          <w:p w14:paraId="366C3123">
            <w:pPr>
              <w:pStyle w:val="24"/>
            </w:pPr>
          </w:p>
        </w:tc>
        <w:tc>
          <w:tcPr>
            <w:tcW w:w="964" w:type="dxa"/>
            <w:noWrap w:val="0"/>
            <w:vAlign w:val="center"/>
          </w:tcPr>
          <w:p w14:paraId="3CF3B809">
            <w:pPr>
              <w:pStyle w:val="24"/>
            </w:pPr>
          </w:p>
        </w:tc>
        <w:tc>
          <w:tcPr>
            <w:tcW w:w="964" w:type="dxa"/>
            <w:noWrap w:val="0"/>
            <w:vAlign w:val="center"/>
          </w:tcPr>
          <w:p w14:paraId="2DDFB4F3">
            <w:pPr>
              <w:pStyle w:val="24"/>
            </w:pPr>
          </w:p>
        </w:tc>
      </w:tr>
    </w:tbl>
    <w:p w14:paraId="5C6C4E74">
      <w:pPr>
        <w:spacing w:line="500" w:lineRule="exact"/>
        <w:ind w:firstLine="420"/>
      </w:pPr>
      <w:r>
        <w:rPr>
          <w:rFonts w:ascii="方正书宋_GBK" w:hAnsi="方正书宋_GBK" w:eastAsia="方正书宋_GBK" w:cs="方正书宋_GBK"/>
          <w:color w:val="000000"/>
          <w:sz w:val="21"/>
        </w:rPr>
        <w:t>注：同一采购目录序号的物品，其单价会因配置规格不同而变动，均符合资产配置标准。涉密采购事项按照相关规定执行。</w:t>
      </w:r>
    </w:p>
    <w:p w14:paraId="26057F98">
      <w:pPr>
        <w:ind w:firstLine="640"/>
      </w:pPr>
      <w:r>
        <w:rPr>
          <w:rFonts w:eastAsia="方正仿宋_GBK"/>
          <w:color w:val="000000"/>
          <w:sz w:val="32"/>
        </w:rPr>
        <w:t xml:space="preserve"> </w:t>
      </w:r>
    </w:p>
    <w:p w14:paraId="7CC1DF6F">
      <w:pPr>
        <w:spacing w:before="10" w:after="10"/>
        <w:ind w:firstLine="640"/>
        <w:outlineLvl w:val="2"/>
        <w:rPr>
          <w:sz w:val="32"/>
          <w:szCs w:val="32"/>
        </w:rPr>
      </w:pPr>
      <w:bookmarkStart w:id="6" w:name="_Toc_3_3_0000000016"/>
      <w:r>
        <w:rPr>
          <w:rFonts w:ascii="黑体" w:hAnsi="黑体" w:eastAsia="黑体" w:cs="黑体"/>
          <w:color w:val="000000"/>
          <w:sz w:val="32"/>
          <w:szCs w:val="32"/>
        </w:rPr>
        <w:t>七、国有资产信息</w:t>
      </w:r>
      <w:bookmarkEnd w:id="6"/>
    </w:p>
    <w:p w14:paraId="5976164E">
      <w:pPr>
        <w:spacing w:line="500" w:lineRule="exact"/>
        <w:ind w:firstLine="560"/>
      </w:pPr>
      <w:r>
        <w:rPr>
          <w:rFonts w:eastAsia="方正仿宋_GBK"/>
          <w:color w:val="000000"/>
          <w:sz w:val="28"/>
        </w:rPr>
        <w:t>中共廊坊市委网络安全和信息化委员会办公室（含所属单位）上年末固定资产金额为</w:t>
      </w:r>
      <w:r>
        <w:rPr>
          <w:rFonts w:hint="eastAsia" w:eastAsia="方正仿宋_GBK"/>
          <w:color w:val="000000"/>
          <w:sz w:val="28"/>
          <w:highlight w:val="none"/>
          <w:lang w:val="en-US" w:eastAsia="zh-CN"/>
        </w:rPr>
        <w:t>5337.45</w:t>
      </w:r>
      <w:r>
        <w:rPr>
          <w:rFonts w:eastAsia="方正仿宋_GBK"/>
          <w:color w:val="000000"/>
          <w:sz w:val="28"/>
        </w:rPr>
        <w:t>万元（详见下表）。本年度拟购置固定资产总额为</w:t>
      </w:r>
      <w:r>
        <w:rPr>
          <w:rFonts w:hint="eastAsia" w:eastAsia="方正仿宋_GBK"/>
          <w:color w:val="000000"/>
          <w:sz w:val="28"/>
          <w:lang w:val="en-US" w:eastAsia="zh-CN"/>
        </w:rPr>
        <w:t>0.00</w:t>
      </w:r>
      <w:r>
        <w:rPr>
          <w:rFonts w:eastAsia="方正仿宋_GBK"/>
          <w:color w:val="000000"/>
          <w:sz w:val="28"/>
        </w:rPr>
        <w:t>万元，已按要求列入政府采购预算，详见政府采购预算表。</w:t>
      </w:r>
    </w:p>
    <w:tbl>
      <w:tblPr>
        <w:tblStyle w:val="5"/>
        <w:tblW w:w="13482" w:type="dxa"/>
        <w:jc w:val="center"/>
        <w:tblLayout w:type="fixed"/>
        <w:tblCellMar>
          <w:top w:w="0" w:type="dxa"/>
          <w:left w:w="108" w:type="dxa"/>
          <w:bottom w:w="0" w:type="dxa"/>
          <w:right w:w="108" w:type="dxa"/>
        </w:tblCellMar>
      </w:tblPr>
      <w:tblGrid>
        <w:gridCol w:w="5224"/>
        <w:gridCol w:w="3155"/>
        <w:gridCol w:w="5103"/>
      </w:tblGrid>
      <w:tr w14:paraId="6DF01815">
        <w:tblPrEx>
          <w:tblCellMar>
            <w:top w:w="0" w:type="dxa"/>
            <w:left w:w="108" w:type="dxa"/>
            <w:bottom w:w="0" w:type="dxa"/>
            <w:right w:w="108" w:type="dxa"/>
          </w:tblCellMar>
        </w:tblPrEx>
        <w:trPr>
          <w:trHeight w:val="705" w:hRule="atLeast"/>
          <w:jc w:val="center"/>
        </w:trPr>
        <w:tc>
          <w:tcPr>
            <w:tcW w:w="13482" w:type="dxa"/>
            <w:gridSpan w:val="3"/>
            <w:tcBorders>
              <w:top w:val="nil"/>
              <w:left w:val="nil"/>
              <w:bottom w:val="nil"/>
              <w:right w:val="nil"/>
            </w:tcBorders>
            <w:shd w:val="clear" w:color="auto" w:fill="auto"/>
            <w:noWrap/>
            <w:vAlign w:val="center"/>
          </w:tcPr>
          <w:p w14:paraId="641630C9">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28C7C038">
        <w:tblPrEx>
          <w:tblCellMar>
            <w:top w:w="0" w:type="dxa"/>
            <w:left w:w="108" w:type="dxa"/>
            <w:bottom w:w="0" w:type="dxa"/>
            <w:right w:w="108" w:type="dxa"/>
          </w:tblCellMar>
        </w:tblPrEx>
        <w:trPr>
          <w:trHeight w:val="510" w:hRule="atLeast"/>
          <w:jc w:val="center"/>
        </w:trPr>
        <w:tc>
          <w:tcPr>
            <w:tcW w:w="8379" w:type="dxa"/>
            <w:gridSpan w:val="2"/>
            <w:tcBorders>
              <w:top w:val="nil"/>
              <w:left w:val="nil"/>
              <w:bottom w:val="nil"/>
              <w:right w:val="nil"/>
            </w:tcBorders>
            <w:shd w:val="clear" w:color="auto" w:fill="auto"/>
            <w:noWrap/>
            <w:vAlign w:val="center"/>
          </w:tcPr>
          <w:p w14:paraId="03DCB2F7">
            <w:pPr>
              <w:widowControl/>
              <w:spacing w:line="584" w:lineRule="exact"/>
              <w:jc w:val="left"/>
              <w:rPr>
                <w:rFonts w:hint="eastAsia" w:ascii="Times New Roman" w:hAnsi="Times New Roman" w:eastAsia="仿宋_GB2312" w:cs="Times New Roman"/>
                <w:kern w:val="0"/>
                <w:sz w:val="22"/>
                <w:lang w:eastAsia="zh-CN"/>
              </w:rPr>
            </w:pPr>
            <w:r>
              <w:rPr>
                <w:rFonts w:ascii="Times New Roman" w:hAnsi="Times New Roman" w:eastAsia="仿宋_GB2312" w:cs="Times New Roman"/>
                <w:kern w:val="0"/>
                <w:sz w:val="22"/>
              </w:rPr>
              <w:t>编制部门：</w:t>
            </w:r>
            <w:r>
              <w:rPr>
                <w:rFonts w:hint="eastAsia" w:ascii="Times New Roman" w:hAnsi="Times New Roman" w:eastAsia="仿宋_GB2312" w:cs="Times New Roman"/>
                <w:kern w:val="0"/>
                <w:sz w:val="22"/>
                <w:lang w:eastAsia="zh-CN"/>
              </w:rPr>
              <w:t>中共廊坊市委网络安全和信息化委员会办公室</w:t>
            </w:r>
          </w:p>
        </w:tc>
        <w:tc>
          <w:tcPr>
            <w:tcW w:w="5103" w:type="dxa"/>
            <w:tcBorders>
              <w:top w:val="nil"/>
              <w:left w:val="nil"/>
              <w:bottom w:val="nil"/>
              <w:right w:val="nil"/>
            </w:tcBorders>
            <w:shd w:val="clear" w:color="auto" w:fill="auto"/>
            <w:noWrap/>
            <w:vAlign w:val="center"/>
          </w:tcPr>
          <w:p w14:paraId="3BEDCDEA">
            <w:pPr>
              <w:widowControl/>
              <w:spacing w:line="584" w:lineRule="exact"/>
              <w:jc w:val="left"/>
              <w:rPr>
                <w:rFonts w:ascii="Times New Roman" w:hAnsi="Times New Roman" w:eastAsia="仿宋_GB2312" w:cs="Times New Roman"/>
                <w:kern w:val="0"/>
                <w:sz w:val="22"/>
              </w:rPr>
            </w:pPr>
            <w:r>
              <w:rPr>
                <w:rFonts w:hint="eastAsia" w:ascii="Times New Roman" w:hAnsi="Times New Roman" w:eastAsia="仿宋_GB2312" w:cs="Times New Roman"/>
                <w:kern w:val="0"/>
                <w:sz w:val="22"/>
              </w:rPr>
              <w:t xml:space="preserve">              </w:t>
            </w:r>
            <w:r>
              <w:rPr>
                <w:rFonts w:ascii="Times New Roman" w:hAnsi="Times New Roman" w:eastAsia="仿宋_GB2312" w:cs="Times New Roman"/>
                <w:kern w:val="0"/>
                <w:sz w:val="22"/>
              </w:rPr>
              <w:t>截止时间：</w:t>
            </w:r>
            <w:r>
              <w:rPr>
                <w:rFonts w:hint="eastAsia" w:eastAsia="仿宋_GB2312" w:cs="Times New Roman"/>
                <w:kern w:val="0"/>
                <w:sz w:val="22"/>
                <w:lang w:val="en-US" w:eastAsia="zh-CN"/>
              </w:rPr>
              <w:t>2022</w:t>
            </w:r>
            <w:r>
              <w:rPr>
                <w:rFonts w:ascii="Times New Roman" w:hAnsi="Times New Roman" w:eastAsia="仿宋_GB2312" w:cs="Times New Roman"/>
                <w:kern w:val="0"/>
                <w:sz w:val="22"/>
              </w:rPr>
              <w:t xml:space="preserve">年12月31日  </w:t>
            </w:r>
          </w:p>
        </w:tc>
      </w:tr>
      <w:tr w14:paraId="78F29890">
        <w:tblPrEx>
          <w:tblCellMar>
            <w:top w:w="0" w:type="dxa"/>
            <w:left w:w="108" w:type="dxa"/>
            <w:bottom w:w="0" w:type="dxa"/>
            <w:right w:w="108" w:type="dxa"/>
          </w:tblCellMar>
        </w:tblPrEx>
        <w:trPr>
          <w:trHeight w:val="567" w:hRule="exact"/>
          <w:jc w:val="center"/>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3A77EE0">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7B9CF261">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05798DEE">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1AA22906">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8ECD4C9">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6CD42679">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7C61F43A">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5337.45</w:t>
            </w:r>
          </w:p>
        </w:tc>
      </w:tr>
      <w:tr w14:paraId="6BB2492F">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E12CE8F">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3F52D65E">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1261.76</w:t>
            </w:r>
          </w:p>
        </w:tc>
        <w:tc>
          <w:tcPr>
            <w:tcW w:w="5103" w:type="dxa"/>
            <w:tcBorders>
              <w:top w:val="nil"/>
              <w:left w:val="nil"/>
              <w:bottom w:val="single" w:color="auto" w:sz="4" w:space="0"/>
              <w:right w:val="single" w:color="auto" w:sz="4" w:space="0"/>
            </w:tcBorders>
            <w:shd w:val="clear" w:color="auto" w:fill="auto"/>
            <w:noWrap/>
            <w:vAlign w:val="center"/>
          </w:tcPr>
          <w:p w14:paraId="4A2244E6">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696.29</w:t>
            </w:r>
          </w:p>
        </w:tc>
      </w:tr>
      <w:tr w14:paraId="25A0B405">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6979BD7">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6795AD3D">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68</w:t>
            </w:r>
          </w:p>
        </w:tc>
        <w:tc>
          <w:tcPr>
            <w:tcW w:w="5103" w:type="dxa"/>
            <w:tcBorders>
              <w:top w:val="nil"/>
              <w:left w:val="nil"/>
              <w:bottom w:val="single" w:color="auto" w:sz="4" w:space="0"/>
              <w:right w:val="single" w:color="auto" w:sz="4" w:space="0"/>
            </w:tcBorders>
            <w:shd w:val="clear" w:color="auto" w:fill="auto"/>
            <w:noWrap/>
            <w:vAlign w:val="center"/>
          </w:tcPr>
          <w:p w14:paraId="24D130B2">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37.53</w:t>
            </w:r>
          </w:p>
        </w:tc>
      </w:tr>
      <w:tr w14:paraId="4D1DAAF1">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79369B5A">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6FCAB3FA">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2</w:t>
            </w:r>
          </w:p>
        </w:tc>
        <w:tc>
          <w:tcPr>
            <w:tcW w:w="5103" w:type="dxa"/>
            <w:tcBorders>
              <w:top w:val="nil"/>
              <w:left w:val="nil"/>
              <w:bottom w:val="single" w:color="auto" w:sz="4" w:space="0"/>
              <w:right w:val="single" w:color="auto" w:sz="4" w:space="0"/>
            </w:tcBorders>
            <w:shd w:val="clear" w:color="auto" w:fill="auto"/>
            <w:noWrap/>
            <w:vAlign w:val="center"/>
          </w:tcPr>
          <w:p w14:paraId="671244E6">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40.49</w:t>
            </w:r>
          </w:p>
        </w:tc>
      </w:tr>
      <w:tr w14:paraId="664C58FA">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vAlign w:val="center"/>
          </w:tcPr>
          <w:p w14:paraId="53FA391C">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24C36FE4">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48</w:t>
            </w:r>
          </w:p>
        </w:tc>
        <w:tc>
          <w:tcPr>
            <w:tcW w:w="5103" w:type="dxa"/>
            <w:tcBorders>
              <w:top w:val="nil"/>
              <w:left w:val="nil"/>
              <w:bottom w:val="single" w:color="auto" w:sz="4" w:space="0"/>
              <w:right w:val="single" w:color="auto" w:sz="4" w:space="0"/>
            </w:tcBorders>
            <w:shd w:val="clear" w:color="auto" w:fill="auto"/>
            <w:noWrap/>
            <w:vAlign w:val="center"/>
          </w:tcPr>
          <w:p w14:paraId="7B05175E">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highlight w:val="none"/>
                <w:lang w:val="en-US" w:eastAsia="zh-CN"/>
              </w:rPr>
              <w:t>2803.75</w:t>
            </w:r>
          </w:p>
        </w:tc>
      </w:tr>
      <w:tr w14:paraId="283655D1">
        <w:tblPrEx>
          <w:tblCellMar>
            <w:top w:w="0" w:type="dxa"/>
            <w:left w:w="108" w:type="dxa"/>
            <w:bottom w:w="0" w:type="dxa"/>
            <w:right w:w="108" w:type="dxa"/>
          </w:tblCellMar>
        </w:tblPrEx>
        <w:trPr>
          <w:trHeight w:val="567" w:hRule="exact"/>
          <w:jc w:val="center"/>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203E514">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615E82BE">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lang w:val="en-US" w:eastAsia="zh-CN"/>
              </w:rPr>
              <w:t>1739</w:t>
            </w:r>
          </w:p>
        </w:tc>
        <w:tc>
          <w:tcPr>
            <w:tcW w:w="5103" w:type="dxa"/>
            <w:tcBorders>
              <w:top w:val="nil"/>
              <w:left w:val="nil"/>
              <w:bottom w:val="single" w:color="auto" w:sz="4" w:space="0"/>
              <w:right w:val="single" w:color="auto" w:sz="4" w:space="0"/>
            </w:tcBorders>
            <w:shd w:val="clear" w:color="auto" w:fill="auto"/>
            <w:noWrap/>
            <w:vAlign w:val="center"/>
          </w:tcPr>
          <w:p w14:paraId="2FDB8851">
            <w:pPr>
              <w:spacing w:line="584" w:lineRule="exact"/>
              <w:jc w:val="center"/>
              <w:rPr>
                <w:rFonts w:hint="default" w:ascii="Times New Roman" w:hAnsi="Times New Roman" w:eastAsia="仿宋_GB2312" w:cs="Times New Roman"/>
                <w:sz w:val="22"/>
                <w:lang w:val="en-US" w:eastAsia="zh-CN"/>
              </w:rPr>
            </w:pPr>
            <w:r>
              <w:rPr>
                <w:rFonts w:hint="eastAsia" w:eastAsia="仿宋_GB2312" w:cs="Times New Roman"/>
                <w:sz w:val="22"/>
                <w:highlight w:val="none"/>
                <w:lang w:val="en-US" w:eastAsia="zh-CN"/>
              </w:rPr>
              <w:t>1796.92</w:t>
            </w:r>
          </w:p>
        </w:tc>
      </w:tr>
    </w:tbl>
    <w:p w14:paraId="697CFCDA">
      <w:pPr>
        <w:ind w:firstLine="420"/>
      </w:pPr>
      <w:r>
        <w:rPr>
          <w:rFonts w:ascii="方正书宋_GBK" w:hAnsi="方正书宋_GBK" w:eastAsia="方正书宋_GBK" w:cs="方正书宋_GBK"/>
          <w:color w:val="000000"/>
          <w:sz w:val="21"/>
        </w:rPr>
        <w:t>注：无固定资产占用情况，空表列示。</w:t>
      </w:r>
    </w:p>
    <w:p w14:paraId="725739C3">
      <w:pPr>
        <w:ind w:firstLine="640"/>
      </w:pPr>
      <w:r>
        <w:rPr>
          <w:rFonts w:eastAsia="方正仿宋_GBK"/>
          <w:color w:val="000000"/>
          <w:sz w:val="32"/>
        </w:rPr>
        <w:t xml:space="preserve"> </w:t>
      </w:r>
    </w:p>
    <w:p w14:paraId="5E242DC3">
      <w:pPr>
        <w:spacing w:before="10" w:after="10"/>
        <w:ind w:firstLine="640"/>
        <w:outlineLvl w:val="2"/>
        <w:rPr>
          <w:sz w:val="32"/>
          <w:szCs w:val="32"/>
        </w:rPr>
      </w:pPr>
      <w:bookmarkStart w:id="7" w:name="_Toc_3_3_0000000017"/>
      <w:r>
        <w:rPr>
          <w:rFonts w:ascii="黑体" w:hAnsi="黑体" w:eastAsia="黑体" w:cs="黑体"/>
          <w:color w:val="000000"/>
          <w:sz w:val="32"/>
          <w:szCs w:val="32"/>
        </w:rPr>
        <w:t>八、名词解释</w:t>
      </w:r>
      <w:bookmarkEnd w:id="7"/>
    </w:p>
    <w:p w14:paraId="1C0CD363">
      <w:pPr>
        <w:spacing w:line="500" w:lineRule="exact"/>
        <w:ind w:firstLine="560"/>
      </w:pPr>
      <w:r>
        <w:rPr>
          <w:rFonts w:eastAsia="方正仿宋_GBK"/>
          <w:color w:val="000000"/>
          <w:sz w:val="28"/>
        </w:rPr>
        <w:t>1、</w:t>
      </w:r>
      <w:r>
        <w:rPr>
          <w:rFonts w:eastAsia="方正仿宋_GBK"/>
          <w:b/>
          <w:color w:val="000000"/>
          <w:sz w:val="28"/>
        </w:rPr>
        <w:t>一般公共预算拨款收入：</w:t>
      </w:r>
      <w:r>
        <w:rPr>
          <w:rFonts w:eastAsia="方正仿宋_GBK"/>
          <w:color w:val="000000"/>
          <w:sz w:val="28"/>
        </w:rPr>
        <w:t>指</w:t>
      </w:r>
      <w:r>
        <w:rPr>
          <w:rFonts w:hint="eastAsia" w:eastAsia="方正仿宋_GBK"/>
          <w:color w:val="000000"/>
          <w:sz w:val="28"/>
          <w:lang w:eastAsia="zh-CN"/>
        </w:rPr>
        <w:t>市</w:t>
      </w:r>
      <w:r>
        <w:rPr>
          <w:rFonts w:eastAsia="方正仿宋_GBK"/>
          <w:color w:val="000000"/>
          <w:sz w:val="28"/>
        </w:rPr>
        <w:t>级财政当年拨付的资金。</w:t>
      </w:r>
    </w:p>
    <w:p w14:paraId="7841B5C9">
      <w:pPr>
        <w:spacing w:line="500" w:lineRule="exact"/>
        <w:ind w:firstLine="560"/>
      </w:pPr>
      <w:r>
        <w:rPr>
          <w:rFonts w:eastAsia="方正仿宋_GBK"/>
          <w:color w:val="000000"/>
          <w:sz w:val="28"/>
        </w:rPr>
        <w:t>2、</w:t>
      </w:r>
      <w:r>
        <w:rPr>
          <w:rFonts w:eastAsia="方正仿宋_GBK"/>
          <w:b/>
          <w:color w:val="000000"/>
          <w:sz w:val="28"/>
        </w:rPr>
        <w:t>事业收入：</w:t>
      </w:r>
      <w:r>
        <w:rPr>
          <w:rFonts w:eastAsia="方正仿宋_GBK"/>
          <w:color w:val="000000"/>
          <w:sz w:val="28"/>
        </w:rPr>
        <w:t>指事业单位开展专业业务活动及辅助活动所取得的收入。</w:t>
      </w:r>
    </w:p>
    <w:p w14:paraId="08733EE6">
      <w:pPr>
        <w:spacing w:line="500" w:lineRule="exact"/>
        <w:ind w:firstLine="560"/>
      </w:pPr>
      <w:r>
        <w:rPr>
          <w:rFonts w:eastAsia="方正仿宋_GBK"/>
          <w:color w:val="000000"/>
          <w:sz w:val="28"/>
        </w:rPr>
        <w:t>3、</w:t>
      </w:r>
      <w:r>
        <w:rPr>
          <w:rFonts w:eastAsia="方正仿宋_GBK"/>
          <w:b/>
          <w:color w:val="000000"/>
          <w:sz w:val="28"/>
        </w:rPr>
        <w:t>其他收入：</w:t>
      </w:r>
      <w:r>
        <w:rPr>
          <w:rFonts w:eastAsia="方正仿宋_GBK"/>
          <w:color w:val="000000"/>
          <w:sz w:val="28"/>
        </w:rPr>
        <w:t>指除“一般公共预算拨款收入”、“事业收入”等以外的收入。主要是按规定动用的租房收入、存款利息收入等。</w:t>
      </w:r>
    </w:p>
    <w:p w14:paraId="60EB7B62">
      <w:pPr>
        <w:spacing w:line="500" w:lineRule="exact"/>
        <w:ind w:firstLine="560"/>
      </w:pPr>
      <w:r>
        <w:rPr>
          <w:rFonts w:eastAsia="方正仿宋_GBK"/>
          <w:color w:val="000000"/>
          <w:sz w:val="28"/>
        </w:rPr>
        <w:t>4、</w:t>
      </w:r>
      <w:r>
        <w:rPr>
          <w:rFonts w:eastAsia="方正仿宋_GBK"/>
          <w:b/>
          <w:color w:val="000000"/>
          <w:sz w:val="28"/>
        </w:rPr>
        <w:t>基本支出：</w:t>
      </w:r>
      <w:r>
        <w:rPr>
          <w:rFonts w:eastAsia="方正仿宋_GBK"/>
          <w:color w:val="000000"/>
          <w:sz w:val="28"/>
        </w:rPr>
        <w:t>指为保障机构正常运转、完成日常工作任务而发生的人员支出和公用支出。</w:t>
      </w:r>
    </w:p>
    <w:p w14:paraId="4DE5FA73">
      <w:pPr>
        <w:spacing w:line="500" w:lineRule="exact"/>
        <w:ind w:firstLine="560"/>
      </w:pPr>
      <w:r>
        <w:rPr>
          <w:rFonts w:eastAsia="方正仿宋_GBK"/>
          <w:color w:val="000000"/>
          <w:sz w:val="28"/>
        </w:rPr>
        <w:t>5、</w:t>
      </w:r>
      <w:r>
        <w:rPr>
          <w:rFonts w:eastAsia="方正仿宋_GBK"/>
          <w:b/>
          <w:color w:val="000000"/>
          <w:sz w:val="28"/>
        </w:rPr>
        <w:t>项目支出：</w:t>
      </w:r>
      <w:r>
        <w:rPr>
          <w:rFonts w:eastAsia="方正仿宋_GBK"/>
          <w:color w:val="000000"/>
          <w:sz w:val="28"/>
        </w:rPr>
        <w:t>指在基本支出之外为完成特定行政任务和事业发展目标所发生的支出。</w:t>
      </w:r>
    </w:p>
    <w:p w14:paraId="37732567">
      <w:pPr>
        <w:spacing w:line="500" w:lineRule="exact"/>
        <w:ind w:firstLine="560"/>
      </w:pPr>
      <w:r>
        <w:rPr>
          <w:rFonts w:eastAsia="方正仿宋_GBK"/>
          <w:color w:val="000000"/>
          <w:sz w:val="28"/>
        </w:rPr>
        <w:t>6、</w:t>
      </w:r>
      <w:r>
        <w:rPr>
          <w:rFonts w:eastAsia="方正仿宋_GBK"/>
          <w:b/>
          <w:color w:val="000000"/>
          <w:sz w:val="28"/>
        </w:rPr>
        <w:t>上缴上级支出：</w:t>
      </w:r>
      <w:r>
        <w:rPr>
          <w:rFonts w:eastAsia="方正仿宋_GBK"/>
          <w:color w:val="000000"/>
          <w:sz w:val="28"/>
        </w:rPr>
        <w:t>指下级单位上缴上级的支出。</w:t>
      </w:r>
    </w:p>
    <w:p w14:paraId="7E5F67B1">
      <w:pPr>
        <w:spacing w:line="500" w:lineRule="exact"/>
        <w:ind w:firstLine="560"/>
      </w:pPr>
      <w:r>
        <w:rPr>
          <w:rFonts w:eastAsia="方正仿宋_GBK"/>
          <w:color w:val="000000"/>
          <w:sz w:val="28"/>
        </w:rPr>
        <w:t>7、</w:t>
      </w:r>
      <w:r>
        <w:rPr>
          <w:rFonts w:eastAsia="方正仿宋_GBK"/>
          <w:b/>
          <w:color w:val="000000"/>
          <w:sz w:val="28"/>
        </w:rPr>
        <w:t>“三公”经费：</w:t>
      </w:r>
      <w:r>
        <w:rPr>
          <w:rFonts w:eastAsia="方正仿宋_GBK"/>
          <w:color w:val="000000"/>
          <w:sz w:val="28"/>
        </w:rPr>
        <w:t>纳入</w:t>
      </w:r>
      <w:r>
        <w:rPr>
          <w:rFonts w:hint="eastAsia" w:eastAsia="方正仿宋_GBK"/>
          <w:color w:val="000000"/>
          <w:sz w:val="28"/>
          <w:lang w:eastAsia="zh-CN"/>
        </w:rPr>
        <w:t>市</w:t>
      </w:r>
      <w:r>
        <w:rPr>
          <w:rFonts w:eastAsia="方正仿宋_GBK"/>
          <w:color w:val="000000"/>
          <w:sz w:val="28"/>
        </w:rPr>
        <w:t>级财政预算管理的“三公”经费，是指</w:t>
      </w:r>
      <w:r>
        <w:rPr>
          <w:rFonts w:hint="eastAsia" w:eastAsia="方正仿宋_GBK"/>
          <w:color w:val="000000"/>
          <w:sz w:val="28"/>
          <w:lang w:eastAsia="zh-CN"/>
        </w:rPr>
        <w:t>市</w:t>
      </w:r>
      <w:r>
        <w:rPr>
          <w:rFonts w:eastAsia="方正仿宋_GBK"/>
          <w:color w:val="000000"/>
          <w:sz w:val="28"/>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16D051B6">
      <w:pPr>
        <w:spacing w:line="500" w:lineRule="exact"/>
        <w:ind w:firstLine="560"/>
      </w:pPr>
      <w:r>
        <w:rPr>
          <w:rFonts w:eastAsia="方正仿宋_GBK"/>
          <w:color w:val="000000"/>
          <w:sz w:val="28"/>
        </w:rPr>
        <w:t>8、</w:t>
      </w:r>
      <w:r>
        <w:rPr>
          <w:rFonts w:eastAsia="方正仿宋_GBK"/>
          <w:b/>
          <w:color w:val="000000"/>
          <w:sz w:val="28"/>
        </w:rPr>
        <w:t>机关运行费：</w:t>
      </w:r>
      <w:r>
        <w:rPr>
          <w:rFonts w:eastAsia="方正仿宋_GBK"/>
          <w:color w:val="000000"/>
          <w:sz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14:paraId="097F96E9">
      <w:pPr>
        <w:spacing w:line="500" w:lineRule="exact"/>
        <w:ind w:firstLine="560"/>
      </w:pPr>
      <w:r>
        <w:rPr>
          <w:rFonts w:eastAsia="方正仿宋_GBK"/>
          <w:color w:val="000000"/>
          <w:sz w:val="28"/>
        </w:rPr>
        <w:t>9、</w:t>
      </w:r>
      <w:r>
        <w:rPr>
          <w:rFonts w:eastAsia="方正仿宋_GBK"/>
          <w:b/>
          <w:color w:val="000000"/>
          <w:sz w:val="28"/>
        </w:rPr>
        <w:t>上年结转：</w:t>
      </w:r>
      <w:r>
        <w:rPr>
          <w:rFonts w:eastAsia="方正仿宋_GBK"/>
          <w:color w:val="000000"/>
          <w:sz w:val="28"/>
        </w:rPr>
        <w:t>指以前年度尚未完成、结转到本年仍按原规定用途继续使用的资金。</w:t>
      </w:r>
    </w:p>
    <w:p w14:paraId="37841FA1">
      <w:pPr>
        <w:spacing w:line="500" w:lineRule="exact"/>
        <w:ind w:firstLine="560"/>
      </w:pPr>
      <w:r>
        <w:rPr>
          <w:rFonts w:eastAsia="方正仿宋_GBK"/>
          <w:color w:val="000000"/>
          <w:sz w:val="28"/>
        </w:rPr>
        <w:t>10、</w:t>
      </w:r>
      <w:r>
        <w:rPr>
          <w:rFonts w:eastAsia="方正仿宋_GBK"/>
          <w:b/>
          <w:color w:val="000000"/>
          <w:sz w:val="28"/>
        </w:rPr>
        <w:t>事业单位经营支出：</w:t>
      </w:r>
      <w:r>
        <w:rPr>
          <w:rFonts w:eastAsia="方正仿宋_GBK"/>
          <w:color w:val="000000"/>
          <w:sz w:val="28"/>
        </w:rPr>
        <w:t>指事业单位在专业业务活动及其辅助活动之外开展非独立核算经营活动发生的支出。</w:t>
      </w:r>
    </w:p>
    <w:p w14:paraId="21E17A5D">
      <w:pPr>
        <w:spacing w:before="10" w:after="10"/>
        <w:ind w:firstLine="640"/>
        <w:outlineLvl w:val="2"/>
        <w:rPr>
          <w:rFonts w:ascii="黑体" w:hAnsi="黑体" w:eastAsia="黑体" w:cs="黑体"/>
          <w:color w:val="000000"/>
          <w:sz w:val="32"/>
        </w:rPr>
      </w:pPr>
      <w:bookmarkStart w:id="8" w:name="_Toc_3_3_0000000018"/>
    </w:p>
    <w:p w14:paraId="58CAD46D">
      <w:pPr>
        <w:spacing w:before="10" w:after="10"/>
        <w:ind w:firstLine="640"/>
        <w:outlineLvl w:val="2"/>
        <w:rPr>
          <w:sz w:val="32"/>
          <w:szCs w:val="32"/>
        </w:rPr>
      </w:pPr>
      <w:r>
        <w:rPr>
          <w:rFonts w:ascii="黑体" w:hAnsi="黑体" w:eastAsia="黑体" w:cs="黑体"/>
          <w:color w:val="000000"/>
          <w:sz w:val="32"/>
          <w:szCs w:val="32"/>
        </w:rPr>
        <w:t>九、其他需要说明的事项</w:t>
      </w:r>
      <w:bookmarkEnd w:id="8"/>
    </w:p>
    <w:p w14:paraId="5D270C00">
      <w:pPr>
        <w:spacing w:line="500" w:lineRule="exact"/>
        <w:ind w:firstLine="560"/>
        <w:rPr>
          <w:rFonts w:hint="eastAsia" w:eastAsia="方正仿宋_GBK"/>
          <w:lang w:eastAsia="zh-CN"/>
        </w:rPr>
      </w:pPr>
      <w:r>
        <w:rPr>
          <w:rFonts w:eastAsia="方正仿宋_GBK"/>
          <w:color w:val="000000"/>
          <w:sz w:val="28"/>
        </w:rPr>
        <w:t>我部门无其他需要说明</w:t>
      </w:r>
      <w:r>
        <w:rPr>
          <w:rFonts w:hint="eastAsia" w:eastAsia="方正仿宋_GBK"/>
          <w:color w:val="000000"/>
          <w:sz w:val="28"/>
          <w:lang w:eastAsia="zh-CN"/>
        </w:rPr>
        <w:t>的事项</w:t>
      </w:r>
    </w:p>
    <w:sectPr>
      <w:pgSz w:w="16838" w:h="11906" w:orient="landscape"/>
      <w:pgMar w:top="1803" w:right="1440" w:bottom="1803" w:left="1440" w:header="851" w:footer="992" w:gutter="0"/>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Arial Unicode MS"/>
    <w:panose1 w:val="02000000000000000000"/>
    <w:charset w:val="86"/>
    <w:family w:val="roman"/>
    <w:pitch w:val="default"/>
    <w:sig w:usb0="00000000" w:usb1="00000000" w:usb2="00082016" w:usb3="00000000" w:csb0="00040001" w:csb1="00000000"/>
  </w:font>
  <w:font w:name="方正书宋_GBK">
    <w:altName w:val="Arial Unicode MS"/>
    <w:panose1 w:val="02000000000000000000"/>
    <w:charset w:val="86"/>
    <w:family w:val="roman"/>
    <w:pitch w:val="default"/>
    <w:sig w:usb0="00000000" w:usb1="00000000" w:usb2="00082016" w:usb3="00000000" w:csb0="00040001" w:csb1="00000000"/>
  </w:font>
  <w:font w:name="方正小标宋_GBK">
    <w:altName w:val="Arial Unicode MS"/>
    <w:panose1 w:val="02000000000000000000"/>
    <w:charset w:val="86"/>
    <w:family w:val="roman"/>
    <w:pitch w:val="default"/>
    <w:sig w:usb0="00000000" w:usb1="00000000" w:usb2="00082016" w:usb3="00000000" w:csb0="00040001" w:csb1="00000000"/>
  </w:font>
  <w:font w:name="方正小标宋简体">
    <w:altName w:val="Arial Unicode MS"/>
    <w:panose1 w:val="03000509000000000000"/>
    <w:charset w:val="86"/>
    <w:family w:val="auto"/>
    <w:pitch w:val="default"/>
    <w:sig w:usb0="00000000" w:usb1="00000000" w:usb2="00000000" w:usb3="00000000" w:csb0="00040000" w:csb1="00000000"/>
  </w:font>
  <w:font w:name="方正楷体_GBK">
    <w:altName w:val="Arial Unicode MS"/>
    <w:panose1 w:val="02000000000000000000"/>
    <w:charset w:val="86"/>
    <w:family w:val="roman"/>
    <w:pitch w:val="default"/>
    <w:sig w:usb0="00000000" w:usb1="00000000" w:usb2="00082016" w:usb3="00000000" w:csb0="00040001" w:csb1="00000000"/>
  </w:font>
  <w:font w:name="CESI楷体-GB2312">
    <w:altName w:val="宋体"/>
    <w:panose1 w:val="02000500000000000000"/>
    <w:charset w:val="86"/>
    <w:family w:val="auto"/>
    <w:pitch w:val="default"/>
    <w:sig w:usb0="00000000" w:usb1="00000000" w:usb2="00000012"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4B1AA1F4">
    <w:panose1 w:val="020B0604020202020204"/>
    <w:charset w:val="86"/>
    <w:family w:val="auto"/>
    <w:pitch w:val="default"/>
    <w:sig w:usb0="00000001" w:usb1="00000000" w:usb2="00000000" w:usb3="00000000" w:csb0="00040001" w:csb1="00000000"/>
  </w:font>
  <w:font w:name="KSOFAAFE89F0">
    <w:panose1 w:val="020B0604020202020204"/>
    <w:charset w:val="86"/>
    <w:family w:val="auto"/>
    <w:pitch w:val="default"/>
    <w:sig w:usb0="00000001" w:usb1="00000000" w:usb2="00000000" w:usb3="00000000" w:csb0="00040001" w:csb1="00000000"/>
  </w:font>
  <w:font w:name="KSOF6F906C0F">
    <w:panose1 w:val="020B0604020202020204"/>
    <w:charset w:val="86"/>
    <w:family w:val="auto"/>
    <w:pitch w:val="default"/>
    <w:sig w:usb0="00000001" w:usb1="00000000" w:usb2="00000000" w:usb3="00000000" w:csb0="00040001" w:csb1="00000000"/>
  </w:font>
  <w:font w:name="KSOF51D5AD36">
    <w:panose1 w:val="020B0604020202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D97B2A"/>
    <w:rsid w:val="0F1B7668"/>
    <w:rsid w:val="16BC3707"/>
    <w:rsid w:val="19772BA9"/>
    <w:rsid w:val="1BFF22CD"/>
    <w:rsid w:val="1FCD5B35"/>
    <w:rsid w:val="2736834E"/>
    <w:rsid w:val="27F755D2"/>
    <w:rsid w:val="2DFBFDA3"/>
    <w:rsid w:val="2FDFBA6B"/>
    <w:rsid w:val="337F2F26"/>
    <w:rsid w:val="35C90ACC"/>
    <w:rsid w:val="376F04B1"/>
    <w:rsid w:val="37E95B9C"/>
    <w:rsid w:val="3AE69B93"/>
    <w:rsid w:val="3AED8872"/>
    <w:rsid w:val="3B8A09CE"/>
    <w:rsid w:val="3D37F9E4"/>
    <w:rsid w:val="3DDFD6B6"/>
    <w:rsid w:val="3EC7AA47"/>
    <w:rsid w:val="3EF14FCD"/>
    <w:rsid w:val="3F6B52C8"/>
    <w:rsid w:val="47FF137D"/>
    <w:rsid w:val="4D9F59C8"/>
    <w:rsid w:val="5A195B55"/>
    <w:rsid w:val="5B74F2F7"/>
    <w:rsid w:val="5BF72B9A"/>
    <w:rsid w:val="5DFB03E1"/>
    <w:rsid w:val="5E3BE05C"/>
    <w:rsid w:val="5EF5FB8E"/>
    <w:rsid w:val="5EF7EC44"/>
    <w:rsid w:val="5F7717C3"/>
    <w:rsid w:val="5FBF13C5"/>
    <w:rsid w:val="5FBFBA24"/>
    <w:rsid w:val="5FF33EE0"/>
    <w:rsid w:val="5FFF262E"/>
    <w:rsid w:val="679F8AD0"/>
    <w:rsid w:val="67BF1E52"/>
    <w:rsid w:val="69FCABC4"/>
    <w:rsid w:val="6AD31D0D"/>
    <w:rsid w:val="6D9F2886"/>
    <w:rsid w:val="6DFC58DC"/>
    <w:rsid w:val="6F22D9F2"/>
    <w:rsid w:val="6FBF4241"/>
    <w:rsid w:val="6FF6B531"/>
    <w:rsid w:val="72FEB1A2"/>
    <w:rsid w:val="73BEAA4B"/>
    <w:rsid w:val="73D31641"/>
    <w:rsid w:val="73FF6140"/>
    <w:rsid w:val="75FB0C82"/>
    <w:rsid w:val="75FE9EC6"/>
    <w:rsid w:val="75FFF715"/>
    <w:rsid w:val="776F2275"/>
    <w:rsid w:val="777FDC65"/>
    <w:rsid w:val="77D7E1B9"/>
    <w:rsid w:val="77E9DC5E"/>
    <w:rsid w:val="77FD01F5"/>
    <w:rsid w:val="77FF16C0"/>
    <w:rsid w:val="77FF1F3A"/>
    <w:rsid w:val="782A73AD"/>
    <w:rsid w:val="789F1C53"/>
    <w:rsid w:val="798F6A84"/>
    <w:rsid w:val="7A3C2D6A"/>
    <w:rsid w:val="7A7B9D1D"/>
    <w:rsid w:val="7A9107C9"/>
    <w:rsid w:val="7AEF3683"/>
    <w:rsid w:val="7B7AFF5D"/>
    <w:rsid w:val="7BF594E5"/>
    <w:rsid w:val="7BFA31D6"/>
    <w:rsid w:val="7BFB97A4"/>
    <w:rsid w:val="7C773FCD"/>
    <w:rsid w:val="7CED40EB"/>
    <w:rsid w:val="7D9F3C32"/>
    <w:rsid w:val="7DD70DC3"/>
    <w:rsid w:val="7DF7BA43"/>
    <w:rsid w:val="7DFD135B"/>
    <w:rsid w:val="7E555D72"/>
    <w:rsid w:val="7EF7BACD"/>
    <w:rsid w:val="7F3FEC9A"/>
    <w:rsid w:val="7F6A9A8C"/>
    <w:rsid w:val="7FAFFDEA"/>
    <w:rsid w:val="7FB70B36"/>
    <w:rsid w:val="7FB9BE6B"/>
    <w:rsid w:val="7FBF0817"/>
    <w:rsid w:val="7FC5B54F"/>
    <w:rsid w:val="7FDF36A3"/>
    <w:rsid w:val="7FF5549E"/>
    <w:rsid w:val="7FFF6354"/>
    <w:rsid w:val="7FFFABDF"/>
    <w:rsid w:val="867E001C"/>
    <w:rsid w:val="8B7DC0D3"/>
    <w:rsid w:val="8EFC7CDF"/>
    <w:rsid w:val="8EFF7117"/>
    <w:rsid w:val="9DE7F7E1"/>
    <w:rsid w:val="ADF7E56C"/>
    <w:rsid w:val="AE5B9816"/>
    <w:rsid w:val="AEF75BB6"/>
    <w:rsid w:val="AFA9BE4C"/>
    <w:rsid w:val="B5E7C271"/>
    <w:rsid w:val="B6FCA288"/>
    <w:rsid w:val="B7333AB2"/>
    <w:rsid w:val="B97FB7B1"/>
    <w:rsid w:val="BAFF3228"/>
    <w:rsid w:val="BAFFD25B"/>
    <w:rsid w:val="BB67C8B8"/>
    <w:rsid w:val="BD5E001B"/>
    <w:rsid w:val="BD5F1512"/>
    <w:rsid w:val="BDD72577"/>
    <w:rsid w:val="BDFA7753"/>
    <w:rsid w:val="BDFF9F50"/>
    <w:rsid w:val="BDFFBABD"/>
    <w:rsid w:val="BEEF9640"/>
    <w:rsid w:val="BF5C4B52"/>
    <w:rsid w:val="BF6BBD5C"/>
    <w:rsid w:val="BFDFD4C9"/>
    <w:rsid w:val="BFEFA877"/>
    <w:rsid w:val="BFF3152E"/>
    <w:rsid w:val="BFF7EDB1"/>
    <w:rsid w:val="BFFB2520"/>
    <w:rsid w:val="CCFBFE63"/>
    <w:rsid w:val="CFBE90AE"/>
    <w:rsid w:val="D7551526"/>
    <w:rsid w:val="D7DAB9F2"/>
    <w:rsid w:val="D7DB2DA3"/>
    <w:rsid w:val="DAFF5696"/>
    <w:rsid w:val="DBBFB9BD"/>
    <w:rsid w:val="DC9D1957"/>
    <w:rsid w:val="DDFF2DAE"/>
    <w:rsid w:val="DE9D6D7B"/>
    <w:rsid w:val="DED8C6AE"/>
    <w:rsid w:val="DEFFABAA"/>
    <w:rsid w:val="DF73BBF0"/>
    <w:rsid w:val="DF7BD35B"/>
    <w:rsid w:val="DF7DEA1A"/>
    <w:rsid w:val="DFBD348E"/>
    <w:rsid w:val="DFBE800D"/>
    <w:rsid w:val="DFFF9A3E"/>
    <w:rsid w:val="E0EFD5DD"/>
    <w:rsid w:val="E1EF2038"/>
    <w:rsid w:val="E3124DAD"/>
    <w:rsid w:val="E3FE9CB6"/>
    <w:rsid w:val="E7DE026B"/>
    <w:rsid w:val="E7FB9435"/>
    <w:rsid w:val="EB2B5F84"/>
    <w:rsid w:val="EDF38940"/>
    <w:rsid w:val="EDFC29C1"/>
    <w:rsid w:val="EDFE3A94"/>
    <w:rsid w:val="EE7BF04B"/>
    <w:rsid w:val="EFCA7B55"/>
    <w:rsid w:val="EFE74AFD"/>
    <w:rsid w:val="EFE7A85D"/>
    <w:rsid w:val="EFEB19B5"/>
    <w:rsid w:val="EFEDAC29"/>
    <w:rsid w:val="EFFD0D2E"/>
    <w:rsid w:val="EFFD8D29"/>
    <w:rsid w:val="EFFF1EDB"/>
    <w:rsid w:val="EFFFE3DA"/>
    <w:rsid w:val="F2FFCEB9"/>
    <w:rsid w:val="F57A8275"/>
    <w:rsid w:val="F67FC9DF"/>
    <w:rsid w:val="F777A651"/>
    <w:rsid w:val="F7EFF679"/>
    <w:rsid w:val="F7FFC745"/>
    <w:rsid w:val="F99B84FA"/>
    <w:rsid w:val="F9DFFD72"/>
    <w:rsid w:val="FAF397C5"/>
    <w:rsid w:val="FBBFDBA1"/>
    <w:rsid w:val="FBCF6FF3"/>
    <w:rsid w:val="FBEB93B0"/>
    <w:rsid w:val="FBEF326A"/>
    <w:rsid w:val="FBFF7333"/>
    <w:rsid w:val="FDD550CB"/>
    <w:rsid w:val="FDD8EBEB"/>
    <w:rsid w:val="FE3C85AF"/>
    <w:rsid w:val="FE96A29C"/>
    <w:rsid w:val="FEBE912A"/>
    <w:rsid w:val="FEBF2ECA"/>
    <w:rsid w:val="FEF73920"/>
    <w:rsid w:val="FF2D0A55"/>
    <w:rsid w:val="FF4692AF"/>
    <w:rsid w:val="FF5F4550"/>
    <w:rsid w:val="FF6DFBA7"/>
    <w:rsid w:val="FF6FA888"/>
    <w:rsid w:val="FF7F8A45"/>
    <w:rsid w:val="FF9F6E3B"/>
    <w:rsid w:val="FFB3EE74"/>
    <w:rsid w:val="FFB513D6"/>
    <w:rsid w:val="FFB8DF18"/>
    <w:rsid w:val="FFDF3ACC"/>
    <w:rsid w:val="FFDFD6DB"/>
    <w:rsid w:val="FFEFB509"/>
    <w:rsid w:val="FFFB35ED"/>
    <w:rsid w:val="FFFDDD56"/>
    <w:rsid w:val="FFFF27FC"/>
    <w:rsid w:val="FFFF4FAE"/>
    <w:rsid w:val="FFFF8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Times New Roman" w:cs="Times New Roman"/>
      <w:sz w:val="24"/>
      <w:szCs w:val="24"/>
      <w:lang w:val="en-US" w:eastAsia="uk-UA"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Body Text"/>
    <w:basedOn w:val="1"/>
    <w:qFormat/>
    <w:uiPriority w:val="0"/>
    <w:pPr>
      <w:spacing w:after="120" w:afterLines="0"/>
    </w:pPr>
  </w:style>
  <w:style w:type="paragraph" w:styleId="4">
    <w:name w:val="footnote text"/>
    <w:basedOn w:val="1"/>
    <w:next w:val="3"/>
    <w:qFormat/>
    <w:uiPriority w:val="0"/>
    <w:pPr>
      <w:snapToGrid w:val="0"/>
      <w:jc w:val="left"/>
    </w:pPr>
    <w:rPr>
      <w:sz w:val="18"/>
      <w:szCs w:val="18"/>
    </w:rPr>
  </w:style>
  <w:style w:type="paragraph" w:customStyle="1" w:styleId="7">
    <w:name w:val="插入文本样式-插入部门职责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8">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9">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0">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1">
    <w:name w:val="插入文本样式-插入预算公开部门预算安排的总体情况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2">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3">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4">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5">
    <w:name w:val="Normal_eb4064d9-440f-4a7a-a295-dd60c5760560"/>
    <w:qFormat/>
    <w:uiPriority w:val="0"/>
    <w:rPr>
      <w:rFonts w:ascii="Times New Roman" w:hAnsi="Times New Roman" w:eastAsia="Times New Roman" w:cs="Times New Roman"/>
      <w:sz w:val="24"/>
      <w:szCs w:val="24"/>
      <w:lang w:val="en-US" w:eastAsia="uk-UA" w:bidi="ar-SA"/>
    </w:rPr>
  </w:style>
  <w:style w:type="paragraph" w:customStyle="1" w:styleId="16">
    <w:name w:val="单元格样式1_45d09030-f01d-4216-bff9-a4e7720cdf53"/>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7">
    <w:name w:val="单元格样式2_ba1bae25-de4e-4992-89ac-7cfa36efbd7e"/>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8">
    <w:name w:val="单元格样式3_bccf6086-f46f-4283-8bde-f1f4569afafe"/>
    <w:basedOn w:val="1"/>
    <w:qFormat/>
    <w:uiPriority w:val="0"/>
    <w:pPr>
      <w:spacing w:before="0" w:after="0"/>
      <w:ind w:firstLine="0"/>
      <w:jc w:val="center"/>
      <w:outlineLvl w:val="9"/>
    </w:pPr>
    <w:rPr>
      <w:rFonts w:ascii="方正书宋_GBK" w:hAnsi="方正书宋_GBK" w:eastAsia="方正书宋_GBK" w:cs="方正书宋_GBK"/>
      <w:sz w:val="21"/>
    </w:rPr>
  </w:style>
  <w:style w:type="paragraph" w:customStyle="1" w:styleId="19">
    <w:name w:val="单元格样式20"/>
    <w:basedOn w:val="1"/>
    <w:qFormat/>
    <w:uiPriority w:val="0"/>
    <w:pPr>
      <w:spacing w:before="0" w:after="0"/>
      <w:ind w:firstLine="0"/>
      <w:jc w:val="left"/>
      <w:outlineLvl w:val="9"/>
    </w:pPr>
    <w:rPr>
      <w:rFonts w:ascii="方正小标宋_GBK" w:hAnsi="方正小标宋_GBK" w:eastAsia="方正小标宋_GBK" w:cs="方正小标宋_GBK"/>
      <w:sz w:val="24"/>
    </w:rPr>
  </w:style>
  <w:style w:type="paragraph" w:customStyle="1" w:styleId="20">
    <w:name w:val="单元格样式23"/>
    <w:basedOn w:val="1"/>
    <w:qFormat/>
    <w:uiPriority w:val="0"/>
    <w:pPr>
      <w:spacing w:before="0" w:after="0"/>
      <w:ind w:firstLine="0"/>
      <w:jc w:val="right"/>
      <w:outlineLvl w:val="9"/>
    </w:pPr>
    <w:rPr>
      <w:rFonts w:ascii="方正书宋_GBK" w:hAnsi="方正书宋_GBK" w:eastAsia="方正书宋_GBK" w:cs="方正书宋_GBK"/>
      <w:sz w:val="24"/>
    </w:rPr>
  </w:style>
  <w:style w:type="paragraph" w:customStyle="1" w:styleId="21">
    <w:name w:val="单元格样式6"/>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22">
    <w:name w:val="单元格样式7"/>
    <w:basedOn w:val="1"/>
    <w:qFormat/>
    <w:uiPriority w:val="0"/>
    <w:pPr>
      <w:spacing w:before="0" w:after="0"/>
      <w:ind w:firstLine="0"/>
      <w:jc w:val="right"/>
      <w:outlineLvl w:val="9"/>
    </w:pPr>
    <w:rPr>
      <w:rFonts w:ascii="方正书宋_GBK" w:hAnsi="方正书宋_GBK" w:eastAsia="方正书宋_GBK" w:cs="方正书宋_GBK"/>
      <w:b/>
      <w:sz w:val="21"/>
    </w:rPr>
  </w:style>
  <w:style w:type="paragraph" w:customStyle="1" w:styleId="23">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24">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5621</Words>
  <Characters>5839</Characters>
  <Lines>0</Lines>
  <Paragraphs>0</Paragraphs>
  <TotalTime>32</TotalTime>
  <ScaleCrop>false</ScaleCrop>
  <LinksUpToDate>false</LinksUpToDate>
  <CharactersWithSpaces>5863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2022-02-19T20:02:00Z</dcterms:created>
  <dc:creator>Administrator</dc:creator>
  <cp:lastModifiedBy>BianL</cp:lastModifiedBy>
  <cp:lastPrinted>2022-02-19T22:25:00Z</cp:lastPrinted>
  <dcterms:modified xsi:type="dcterms:W3CDTF">2023-02-01T05:05:53Z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EAC6DC72CB2E4621811B0EF0C8F2F750</vt:lpwstr>
  </property>
  <property fmtid="{D5CDD505-2E9C-101B-9397-08002B2CF9AE}" pid="4" name="KSOTemplateDocerSaveRecord">
    <vt:lpwstr>eyJoZGlkIjoiZmY5NWQxY2YwYjNiOWFiZTFhMWQ1YWJmNzAxNWU0MmEifQ==</vt:lpwstr>
  </property>
</Properties>
</file>