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1B198">
      <w:pPr>
        <w:spacing w:line="584" w:lineRule="exact"/>
        <w:ind w:firstLine="880" w:firstLineChars="200"/>
        <w:jc w:val="center"/>
        <w:rPr>
          <w:rFonts w:hint="default" w:ascii="Times New Roman" w:hAnsi="Times New Roman" w:eastAsia="仿宋_GB2312" w:cs="Times New Roman"/>
          <w:sz w:val="44"/>
          <w:szCs w:val="44"/>
        </w:rPr>
      </w:pPr>
    </w:p>
    <w:p w14:paraId="10BA26C9">
      <w:pPr>
        <w:keepNext w:val="0"/>
        <w:keepLines w:val="0"/>
        <w:pageBreakBefore w:val="0"/>
        <w:kinsoku/>
        <w:wordWrap/>
        <w:overflowPunct/>
        <w:topLinePunct w:val="0"/>
        <w:bidi w:val="0"/>
        <w:snapToGrid/>
        <w:spacing w:line="584" w:lineRule="exact"/>
        <w:ind w:firstLine="880" w:firstLineChars="200"/>
        <w:jc w:val="center"/>
        <w:textAlignment w:val="auto"/>
        <w:rPr>
          <w:rFonts w:hint="default" w:ascii="Times New Roman" w:hAnsi="Times New Roman" w:eastAsia="仿宋_GB2312" w:cs="Times New Roman"/>
          <w:sz w:val="44"/>
          <w:szCs w:val="44"/>
        </w:rPr>
      </w:pPr>
    </w:p>
    <w:p w14:paraId="3D9C1E40">
      <w:pPr>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lang w:eastAsia="zh-CN"/>
        </w:rPr>
        <w:t>中共廊坊市委组织部</w:t>
      </w:r>
      <w:r>
        <w:rPr>
          <w:rFonts w:hint="default" w:ascii="Times New Roman" w:hAnsi="Times New Roman" w:eastAsia="方正小标宋简体" w:cs="Times New Roman"/>
          <w:sz w:val="44"/>
          <w:szCs w:val="44"/>
        </w:rPr>
        <w:t>202</w:t>
      </w:r>
      <w:r>
        <w:rPr>
          <w:rFonts w:hint="eastAsia" w:ascii="Times New Roman" w:hAnsi="Times New Roman" w:eastAsia="方正小标宋简体" w:cs="Times New Roman"/>
          <w:sz w:val="44"/>
          <w:szCs w:val="44"/>
          <w:lang w:val="en-US" w:eastAsia="zh-CN"/>
        </w:rPr>
        <w:t>3</w:t>
      </w:r>
      <w:r>
        <w:rPr>
          <w:rFonts w:hint="default" w:ascii="Times New Roman" w:hAnsi="Times New Roman" w:eastAsia="方正小标宋简体" w:cs="Times New Roman"/>
          <w:sz w:val="44"/>
          <w:szCs w:val="44"/>
        </w:rPr>
        <w:t>年部门预算信息公开情况说明</w:t>
      </w:r>
    </w:p>
    <w:p w14:paraId="479B4CF5">
      <w:pPr>
        <w:keepNext w:val="0"/>
        <w:keepLines w:val="0"/>
        <w:pageBreakBefore w:val="0"/>
        <w:kinsoku/>
        <w:wordWrap/>
        <w:overflowPunct/>
        <w:topLinePunct w:val="0"/>
        <w:bidi w:val="0"/>
        <w:snapToGrid/>
        <w:spacing w:line="584" w:lineRule="exact"/>
        <w:ind w:firstLine="880" w:firstLineChars="200"/>
        <w:jc w:val="center"/>
        <w:textAlignment w:val="auto"/>
        <w:rPr>
          <w:rFonts w:hint="default" w:ascii="Times New Roman" w:hAnsi="Times New Roman" w:eastAsia="仿宋_GB2312" w:cs="Times New Roman"/>
          <w:sz w:val="44"/>
          <w:szCs w:val="44"/>
        </w:rPr>
      </w:pPr>
    </w:p>
    <w:p w14:paraId="0CFF7143">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按照《中华人民共和国预算法》、《中华人民共和国预算法实施条例》、《地方预决算公开操作规程》和《河北省省级预算公开办法》规定，现将</w:t>
      </w:r>
      <w:r>
        <w:rPr>
          <w:rFonts w:hint="default" w:ascii="Times New Roman" w:hAnsi="Times New Roman" w:eastAsia="仿宋_GB2312" w:cs="Times New Roman"/>
          <w:sz w:val="32"/>
          <w:szCs w:val="32"/>
          <w:lang w:eastAsia="zh-CN"/>
        </w:rPr>
        <w:t>中共廊坊市委组织部</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年部门预算公开如下：</w:t>
      </w:r>
    </w:p>
    <w:p w14:paraId="3A3C89E5">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一、部门职责及机构设置情况</w:t>
      </w:r>
    </w:p>
    <w:p w14:paraId="15E57DB7">
      <w:pPr>
        <w:keepNext w:val="0"/>
        <w:keepLines w:val="0"/>
        <w:pageBreakBefore w:val="0"/>
        <w:kinsoku/>
        <w:wordWrap/>
        <w:overflowPunct/>
        <w:topLinePunct w:val="0"/>
        <w:bidi w:val="0"/>
        <w:snapToGrid/>
        <w:spacing w:line="584"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部门职责：</w:t>
      </w:r>
    </w:p>
    <w:p w14:paraId="1FB0282E">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承担市委党的建设（基层组织建设）工作领导小组办公室工作职责。围绕党的重大理论和实践问题调查研究，提出加强全市党的建设的建议；负责党的建设制度改革的宏观指导，综合研究党的组织工作、干部工作、人才工作重要方针政策，制定或参与制定全市性重要政策和制度。</w:t>
      </w:r>
    </w:p>
    <w:p w14:paraId="29AE9FC1">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统筹全市党员队伍建设、组织员队伍建设的宏观指导以及全市党员发展、教育、管理工作。指导全市党的组织制度、党内生活制度建设；协调指导全市党代表大会、党代表会议、人民代表大会的选举工作；负责全市党代表大会代表的日常管理和服务工作；负责全市党组织建设特别是党的基层组织建设的调查研究、政策制定和宏观指导；负责全市抓党建促脱贫攻坚工作的谋划指导和组织推动；承担市委非公有制经济组织和社会组织工作委员会职责。</w:t>
      </w:r>
    </w:p>
    <w:p w14:paraId="73250DAF">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负责各级领导班子和干部队伍建设的宏观管理。研究提出领导班子和领导干部队伍建设规划以及干部管理体制的建议，指导领导班子思想作风建设；负责事业单位领导人员宏观管理；负责提出各县（市、区）、廊坊开发区和市直各部门以及其他列入市委管理的领导班子调整、配备的建议；负责市委管理干部的考察，办理职务任免、工资、待遇、退休审批手续；综合管理优秀年轻干部队伍，统筹选育管用工作，指导协调妇女干部、少数民族干部和党外干部培养选拔工作；负责对口支援西藏、新疆干部人才的选派管理及有关工作；负责团职军队转业干部安置工作；负责各县（市、区）、廊坊开发区和市直部门部分乡（科）级干部的备案工作；负责全市选调生、大学生村官的选拔、管理、培养和宏观指导。</w:t>
      </w:r>
    </w:p>
    <w:p w14:paraId="6A9E6C38">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负责全市干部教育培训的宏观管理、统筹协调、指导检查；研究拟订全市干部教育工作规划；组织实施市委管理干部和一定层次其他干部的培训；承担市委党员干部教育工作领导小组办公室职责。负责全市组织系统干部监督工作的综合协调和宏观指导；组织开展选人用人工作和执行干部监督制度规定情况的监督检查，处置反映违反干部选拔任用工作政策法规选人用人问题及领导干部相关问题的举报。负责全市干部考核工作的宏观指导和督导检查，组织实施对市委管理领导班子和领导干部的考核工作；指导全市机关目标绩效管理及市级机关职能绩效目标考核；承担市委干部考核领导小组办公室职责。</w:t>
      </w:r>
    </w:p>
    <w:p w14:paraId="1A7818FA">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研究拟订公务员、参照公务员法管理事业单位工作人员管理政策并组织实施。负责公务员、参照公务员法管理事业单位工作人员录用调配、考核奖惩、培训和工资福利等工作；指导全市公务员、参照公务员法管理事业单位工作人员队伍建设。</w:t>
      </w:r>
    </w:p>
    <w:p w14:paraId="486C9A6F">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负责全市人才工作和人才队伍建设的牵头抓总、统筹协调、推进落实。负责牵头人才规划的制定、实施，人才发展体制机制的改革推进；负责“两院”院士、省管高层次人才及市管专家等高端人才的联系服务工作；负责市管优秀专家的选拔管理；负责通武廊人才一体化发展组织实施；承担市委人才工作领导小组办公室职责。</w:t>
      </w:r>
    </w:p>
    <w:p w14:paraId="1F7128DE">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（七）负责全市组织工作的检查督促，及时向市委反映重要情况，提出建议。</w:t>
      </w:r>
    </w:p>
    <w:p w14:paraId="2F890B17">
      <w:pPr>
        <w:pStyle w:val="20"/>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（八）统一管理市委机构编制委员会办公室，归口管理市委老干部局。</w:t>
      </w:r>
    </w:p>
    <w:p w14:paraId="6D71D7FE">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（九）完成市委交办的其他任务。</w:t>
      </w:r>
    </w:p>
    <w:p w14:paraId="12266E47">
      <w:pPr>
        <w:keepNext w:val="0"/>
        <w:keepLines w:val="0"/>
        <w:pageBreakBefore w:val="0"/>
        <w:kinsoku/>
        <w:wordWrap/>
        <w:overflowPunct/>
        <w:topLinePunct w:val="0"/>
        <w:autoSpaceDE w:val="0"/>
        <w:autoSpaceDN w:val="0"/>
        <w:bidi w:val="0"/>
        <w:adjustRightInd w:val="0"/>
        <w:snapToGrid/>
        <w:spacing w:line="584" w:lineRule="exact"/>
        <w:ind w:firstLine="630" w:firstLineChars="196"/>
        <w:jc w:val="left"/>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机构设置：</w:t>
      </w:r>
    </w:p>
    <w:p w14:paraId="47874724">
      <w:pPr>
        <w:keepNext w:val="0"/>
        <w:keepLines w:val="0"/>
        <w:pageBreakBefore w:val="0"/>
        <w:kinsoku/>
        <w:wordWrap/>
        <w:overflowPunct/>
        <w:topLinePunct w:val="0"/>
        <w:bidi w:val="0"/>
        <w:snapToGrid/>
        <w:spacing w:line="584" w:lineRule="exact"/>
        <w:jc w:val="center"/>
        <w:textAlignment w:val="auto"/>
        <w:outlineLvl w:val="0"/>
        <w:rPr>
          <w:rFonts w:hint="default" w:ascii="Times New Roman" w:hAnsi="Times New Roman" w:eastAsia="仿宋_GB2312" w:cs="Times New Roman"/>
          <w:b/>
          <w:sz w:val="32"/>
          <w:szCs w:val="24"/>
        </w:rPr>
      </w:pPr>
      <w:r>
        <w:rPr>
          <w:rFonts w:hint="default" w:ascii="Times New Roman" w:hAnsi="Times New Roman" w:eastAsia="仿宋_GB2312" w:cs="Times New Roman"/>
          <w:b/>
          <w:sz w:val="32"/>
          <w:szCs w:val="24"/>
        </w:rPr>
        <w:t>部门机构设置情况</w:t>
      </w:r>
    </w:p>
    <w:tbl>
      <w:tblPr>
        <w:tblStyle w:val="9"/>
        <w:tblW w:w="1094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737"/>
        <w:gridCol w:w="1812"/>
        <w:gridCol w:w="1935"/>
        <w:gridCol w:w="2465"/>
      </w:tblGrid>
      <w:tr w14:paraId="7650EC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737" w:type="dxa"/>
            <w:vMerge w:val="restart"/>
            <w:shd w:val="clear" w:color="auto" w:fill="auto"/>
            <w:vAlign w:val="center"/>
          </w:tcPr>
          <w:p w14:paraId="5BD681E5">
            <w:pPr>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单位名称</w:t>
            </w:r>
          </w:p>
        </w:tc>
        <w:tc>
          <w:tcPr>
            <w:tcW w:w="1812" w:type="dxa"/>
            <w:vMerge w:val="restart"/>
            <w:shd w:val="clear" w:color="auto" w:fill="auto"/>
            <w:vAlign w:val="center"/>
          </w:tcPr>
          <w:p w14:paraId="22115127">
            <w:pPr>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单位性质</w:t>
            </w:r>
          </w:p>
        </w:tc>
        <w:tc>
          <w:tcPr>
            <w:tcW w:w="1935" w:type="dxa"/>
            <w:vMerge w:val="restart"/>
            <w:shd w:val="clear" w:color="auto" w:fill="auto"/>
            <w:vAlign w:val="center"/>
          </w:tcPr>
          <w:p w14:paraId="7E61FD57">
            <w:pPr>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单位规格</w:t>
            </w:r>
          </w:p>
        </w:tc>
        <w:tc>
          <w:tcPr>
            <w:tcW w:w="2465" w:type="dxa"/>
            <w:vMerge w:val="restart"/>
            <w:shd w:val="clear" w:color="auto" w:fill="auto"/>
            <w:vAlign w:val="center"/>
          </w:tcPr>
          <w:p w14:paraId="2B562C83">
            <w:pPr>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经费保障形式</w:t>
            </w:r>
          </w:p>
        </w:tc>
      </w:tr>
      <w:tr w14:paraId="24DB93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737" w:type="dxa"/>
            <w:vMerge w:val="continue"/>
            <w:shd w:val="clear" w:color="auto" w:fill="auto"/>
            <w:vAlign w:val="center"/>
          </w:tcPr>
          <w:p w14:paraId="61B2BC39">
            <w:pPr>
              <w:keepNext w:val="0"/>
              <w:keepLines w:val="0"/>
              <w:pageBreakBefore w:val="0"/>
              <w:kinsoku/>
              <w:wordWrap/>
              <w:overflowPunct/>
              <w:topLinePunct w:val="0"/>
              <w:bidi w:val="0"/>
              <w:snapToGrid/>
              <w:spacing w:line="584" w:lineRule="exact"/>
              <w:textAlignment w:val="auto"/>
              <w:rPr>
                <w:rFonts w:hint="default" w:ascii="Times New Roman" w:hAnsi="Times New Roman" w:cs="Times New Roman"/>
                <w:sz w:val="28"/>
                <w:szCs w:val="28"/>
              </w:rPr>
            </w:pPr>
          </w:p>
        </w:tc>
        <w:tc>
          <w:tcPr>
            <w:tcW w:w="1812" w:type="dxa"/>
            <w:vMerge w:val="continue"/>
            <w:shd w:val="clear" w:color="auto" w:fill="auto"/>
            <w:vAlign w:val="center"/>
          </w:tcPr>
          <w:p w14:paraId="28AB6325">
            <w:pPr>
              <w:keepNext w:val="0"/>
              <w:keepLines w:val="0"/>
              <w:pageBreakBefore w:val="0"/>
              <w:kinsoku/>
              <w:wordWrap/>
              <w:overflowPunct/>
              <w:topLinePunct w:val="0"/>
              <w:bidi w:val="0"/>
              <w:snapToGrid/>
              <w:spacing w:line="584" w:lineRule="exact"/>
              <w:textAlignment w:val="auto"/>
              <w:rPr>
                <w:rFonts w:hint="default" w:ascii="Times New Roman" w:hAnsi="Times New Roman" w:cs="Times New Roman"/>
                <w:sz w:val="28"/>
                <w:szCs w:val="28"/>
              </w:rPr>
            </w:pPr>
          </w:p>
        </w:tc>
        <w:tc>
          <w:tcPr>
            <w:tcW w:w="1935" w:type="dxa"/>
            <w:vMerge w:val="continue"/>
            <w:shd w:val="clear" w:color="auto" w:fill="auto"/>
            <w:vAlign w:val="center"/>
          </w:tcPr>
          <w:p w14:paraId="66D0B59E">
            <w:pPr>
              <w:keepNext w:val="0"/>
              <w:keepLines w:val="0"/>
              <w:pageBreakBefore w:val="0"/>
              <w:kinsoku/>
              <w:wordWrap/>
              <w:overflowPunct/>
              <w:topLinePunct w:val="0"/>
              <w:bidi w:val="0"/>
              <w:snapToGrid/>
              <w:spacing w:line="584" w:lineRule="exact"/>
              <w:textAlignment w:val="auto"/>
              <w:rPr>
                <w:rFonts w:hint="default" w:ascii="Times New Roman" w:hAnsi="Times New Roman" w:cs="Times New Roman"/>
                <w:sz w:val="28"/>
                <w:szCs w:val="28"/>
              </w:rPr>
            </w:pPr>
          </w:p>
        </w:tc>
        <w:tc>
          <w:tcPr>
            <w:tcW w:w="2465" w:type="dxa"/>
            <w:vMerge w:val="continue"/>
            <w:shd w:val="clear" w:color="auto" w:fill="auto"/>
            <w:vAlign w:val="center"/>
          </w:tcPr>
          <w:p w14:paraId="4DF82C17">
            <w:pPr>
              <w:keepNext w:val="0"/>
              <w:keepLines w:val="0"/>
              <w:pageBreakBefore w:val="0"/>
              <w:kinsoku/>
              <w:wordWrap/>
              <w:overflowPunct/>
              <w:topLinePunct w:val="0"/>
              <w:bidi w:val="0"/>
              <w:snapToGrid/>
              <w:spacing w:line="584" w:lineRule="exact"/>
              <w:textAlignment w:val="auto"/>
              <w:rPr>
                <w:rFonts w:hint="default" w:ascii="Times New Roman" w:hAnsi="Times New Roman" w:cs="Times New Roman"/>
                <w:sz w:val="28"/>
                <w:szCs w:val="28"/>
              </w:rPr>
            </w:pPr>
          </w:p>
        </w:tc>
      </w:tr>
      <w:tr w14:paraId="374379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737" w:type="dxa"/>
            <w:shd w:val="clear" w:color="auto" w:fill="auto"/>
            <w:vAlign w:val="center"/>
          </w:tcPr>
          <w:p w14:paraId="1B6FA849">
            <w:pPr>
              <w:pStyle w:val="15"/>
              <w:keepNext w:val="0"/>
              <w:keepLines w:val="0"/>
              <w:pageBreakBefore w:val="0"/>
              <w:kinsoku/>
              <w:wordWrap/>
              <w:overflowPunct/>
              <w:topLinePunct w:val="0"/>
              <w:bidi w:val="0"/>
              <w:snapToGrid/>
              <w:spacing w:line="584" w:lineRule="exact"/>
              <w:jc w:val="center"/>
              <w:textAlignment w:val="auto"/>
              <w:rPr>
                <w:rFonts w:hint="default" w:ascii="Times New Roman" w:hAnsi="Times New Roman" w:eastAsia="仿宋_GB2312" w:cs="Times New Roman"/>
                <w:kern w:val="0"/>
                <w:sz w:val="28"/>
                <w:szCs w:val="28"/>
                <w:lang w:val="en-US" w:eastAsia="uk-UA" w:bidi="ar-SA"/>
              </w:rPr>
            </w:pPr>
            <w:r>
              <w:rPr>
                <w:rFonts w:hint="default" w:ascii="Times New Roman" w:hAnsi="Times New Roman" w:eastAsia="仿宋_GB2312" w:cs="Times New Roman"/>
                <w:sz w:val="28"/>
                <w:szCs w:val="28"/>
              </w:rPr>
              <w:t>中共廊坊市委组织部本级</w:t>
            </w:r>
          </w:p>
        </w:tc>
        <w:tc>
          <w:tcPr>
            <w:tcW w:w="1812" w:type="dxa"/>
            <w:shd w:val="clear" w:color="auto" w:fill="auto"/>
            <w:vAlign w:val="center"/>
          </w:tcPr>
          <w:p w14:paraId="261BE7B0">
            <w:pPr>
              <w:pStyle w:val="16"/>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0"/>
                <w:sz w:val="28"/>
                <w:szCs w:val="28"/>
                <w:lang w:val="en-US" w:eastAsia="uk-UA" w:bidi="ar-SA"/>
              </w:rPr>
            </w:pPr>
            <w:r>
              <w:rPr>
                <w:rFonts w:hint="default" w:ascii="Times New Roman" w:hAnsi="Times New Roman" w:eastAsia="仿宋_GB2312" w:cs="Times New Roman"/>
                <w:sz w:val="28"/>
                <w:szCs w:val="28"/>
              </w:rPr>
              <w:t>行政</w:t>
            </w:r>
          </w:p>
        </w:tc>
        <w:tc>
          <w:tcPr>
            <w:tcW w:w="1935" w:type="dxa"/>
            <w:shd w:val="clear" w:color="auto" w:fill="auto"/>
            <w:vAlign w:val="center"/>
          </w:tcPr>
          <w:p w14:paraId="24CBF007">
            <w:pPr>
              <w:pStyle w:val="16"/>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0"/>
                <w:sz w:val="28"/>
                <w:szCs w:val="28"/>
                <w:lang w:val="en-US" w:eastAsia="uk-UA" w:bidi="ar-SA"/>
              </w:rPr>
            </w:pPr>
            <w:r>
              <w:rPr>
                <w:rFonts w:hint="default" w:ascii="Times New Roman" w:hAnsi="Times New Roman" w:eastAsia="仿宋_GB2312" w:cs="Times New Roman"/>
                <w:sz w:val="28"/>
                <w:szCs w:val="28"/>
              </w:rPr>
              <w:t>正处级</w:t>
            </w:r>
          </w:p>
        </w:tc>
        <w:tc>
          <w:tcPr>
            <w:tcW w:w="2465" w:type="dxa"/>
            <w:shd w:val="clear" w:color="auto" w:fill="auto"/>
            <w:vAlign w:val="center"/>
          </w:tcPr>
          <w:p w14:paraId="3817D0BE">
            <w:pPr>
              <w:pStyle w:val="16"/>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0"/>
                <w:sz w:val="28"/>
                <w:szCs w:val="28"/>
                <w:lang w:val="en-US" w:eastAsia="uk-UA" w:bidi="ar-SA"/>
              </w:rPr>
            </w:pPr>
            <w:r>
              <w:rPr>
                <w:rFonts w:hint="default" w:ascii="Times New Roman" w:hAnsi="Times New Roman" w:eastAsia="仿宋_GB2312" w:cs="Times New Roman"/>
                <w:sz w:val="28"/>
                <w:szCs w:val="28"/>
              </w:rPr>
              <w:t>财政拨款</w:t>
            </w:r>
          </w:p>
        </w:tc>
      </w:tr>
    </w:tbl>
    <w:p w14:paraId="130C0170">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二、部门预算安排的总体情况</w:t>
      </w:r>
    </w:p>
    <w:p w14:paraId="11668FFC">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按照预算管理有关规定，目前我市部门预算的编制实行综合预算制度，即全部收入和支出都反映在预算中。</w:t>
      </w:r>
      <w:r>
        <w:rPr>
          <w:rFonts w:hint="default" w:ascii="Times New Roman" w:hAnsi="Times New Roman" w:eastAsia="仿宋_GB2312" w:cs="Times New Roman"/>
          <w:sz w:val="32"/>
          <w:szCs w:val="32"/>
          <w:lang w:val="en-US" w:eastAsia="zh-CN"/>
        </w:rPr>
        <w:t>中共廊坊市委组织部</w:t>
      </w:r>
      <w:r>
        <w:rPr>
          <w:rFonts w:hint="default" w:ascii="Times New Roman" w:hAnsi="Times New Roman" w:eastAsia="仿宋_GB2312" w:cs="Times New Roman"/>
          <w:sz w:val="32"/>
          <w:szCs w:val="32"/>
        </w:rPr>
        <w:t>机关及所属事业单位的收支包含在部门预算中。</w:t>
      </w:r>
    </w:p>
    <w:p w14:paraId="2D7BE676">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1、收入说明</w:t>
      </w:r>
    </w:p>
    <w:p w14:paraId="612B6ACA">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反映本部门当年全部收入。202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4196.63</w:t>
      </w:r>
      <w:r>
        <w:rPr>
          <w:rFonts w:hint="default"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4196.63</w:t>
      </w:r>
      <w:r>
        <w:rPr>
          <w:rFonts w:hint="default" w:ascii="Times New Roman" w:hAnsi="Times New Roman" w:eastAsia="仿宋_GB2312" w:cs="Times New Roman"/>
          <w:sz w:val="32"/>
          <w:szCs w:val="32"/>
        </w:rPr>
        <w:t>万元，基金预算收入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万元，财政专户核拨收入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万元，其他来源收入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万元，上年结转</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14:paraId="0E2DAD28">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2、支出说明</w:t>
      </w:r>
    </w:p>
    <w:p w14:paraId="6B926EDE">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收支预算总表支出栏、基本支出表、项目支出表按经济分类和支出功能分类科目编制，反映中共廊坊市委组织部202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年度部门预算中支出预算的总体情况。202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4196.63</w:t>
      </w:r>
      <w:r>
        <w:rPr>
          <w:rFonts w:hint="default"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1712.98</w:t>
      </w:r>
      <w:r>
        <w:rPr>
          <w:rFonts w:hint="default"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1516.98</w:t>
      </w:r>
      <w:r>
        <w:rPr>
          <w:rFonts w:hint="default" w:ascii="Times New Roman" w:hAnsi="Times New Roman" w:eastAsia="仿宋_GB2312" w:cs="Times New Roman"/>
          <w:sz w:val="32"/>
          <w:szCs w:val="32"/>
        </w:rPr>
        <w:t>万元和运转类公用项目经费</w:t>
      </w:r>
      <w:r>
        <w:rPr>
          <w:rFonts w:hint="eastAsia" w:ascii="Times New Roman" w:hAnsi="Times New Roman" w:eastAsia="仿宋_GB2312" w:cs="Times New Roman"/>
          <w:sz w:val="32"/>
          <w:szCs w:val="32"/>
          <w:lang w:val="en-US" w:eastAsia="zh-CN"/>
        </w:rPr>
        <w:t>196</w:t>
      </w:r>
      <w:r>
        <w:rPr>
          <w:rFonts w:hint="default"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2483.65</w:t>
      </w:r>
      <w:r>
        <w:rPr>
          <w:rFonts w:hint="default" w:ascii="Times New Roman" w:hAnsi="Times New Roman" w:eastAsia="仿宋_GB2312" w:cs="Times New Roman"/>
          <w:sz w:val="32"/>
          <w:szCs w:val="32"/>
        </w:rPr>
        <w:t>万元，包括本级支出，主要为</w:t>
      </w:r>
      <w:r>
        <w:rPr>
          <w:rFonts w:hint="default" w:ascii="Times New Roman" w:hAnsi="Times New Roman" w:eastAsia="仿宋_GB2312" w:cs="Times New Roman"/>
          <w:sz w:val="32"/>
          <w:szCs w:val="32"/>
          <w:lang w:val="en-US" w:eastAsia="zh-CN"/>
        </w:rPr>
        <w:t>人才管理经费、干部教育经费</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人事考试</w:t>
      </w:r>
      <w:r>
        <w:rPr>
          <w:rFonts w:hint="default" w:ascii="Times New Roman" w:hAnsi="Times New Roman" w:eastAsia="仿宋_GB2312" w:cs="Times New Roman"/>
          <w:sz w:val="32"/>
          <w:szCs w:val="32"/>
          <w:lang w:val="en-US" w:eastAsia="zh-CN"/>
        </w:rPr>
        <w:t>经费</w:t>
      </w:r>
      <w:r>
        <w:rPr>
          <w:rFonts w:hint="default" w:ascii="Times New Roman" w:hAnsi="Times New Roman" w:eastAsia="仿宋_GB2312" w:cs="Times New Roman"/>
          <w:sz w:val="32"/>
          <w:szCs w:val="32"/>
        </w:rPr>
        <w:t>等。</w:t>
      </w:r>
    </w:p>
    <w:p w14:paraId="3753E959">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3、比上年增减情况</w:t>
      </w:r>
    </w:p>
    <w:p w14:paraId="5951F5CD">
      <w:pPr>
        <w:keepNext w:val="0"/>
        <w:keepLines w:val="0"/>
        <w:pageBreakBefore w:val="0"/>
        <w:kinsoku/>
        <w:wordWrap/>
        <w:overflowPunct/>
        <w:topLinePunct w:val="0"/>
        <w:bidi w:val="0"/>
        <w:snapToGrid/>
        <w:spacing w:line="584" w:lineRule="exact"/>
        <w:ind w:firstLine="64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年预算收支安排</w:t>
      </w:r>
      <w:r>
        <w:rPr>
          <w:rFonts w:hint="eastAsia" w:ascii="Times New Roman" w:hAnsi="Times New Roman" w:eastAsia="仿宋_GB2312" w:cs="Times New Roman"/>
          <w:sz w:val="32"/>
          <w:szCs w:val="32"/>
          <w:highlight w:val="none"/>
          <w:lang w:val="en-US" w:eastAsia="zh-CN"/>
        </w:rPr>
        <w:t>4196.63</w:t>
      </w:r>
      <w:r>
        <w:rPr>
          <w:rFonts w:hint="default" w:ascii="Times New Roman" w:hAnsi="Times New Roman" w:eastAsia="仿宋_GB2312" w:cs="Times New Roman"/>
          <w:sz w:val="32"/>
          <w:szCs w:val="32"/>
          <w:highlight w:val="none"/>
        </w:rPr>
        <w:t>万元，较202</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年预算</w:t>
      </w:r>
      <w:r>
        <w:rPr>
          <w:rFonts w:hint="default" w:ascii="Times New Roman" w:hAnsi="Times New Roman" w:eastAsia="仿宋_GB2312" w:cs="Times New Roman"/>
          <w:sz w:val="32"/>
          <w:szCs w:val="32"/>
          <w:highlight w:val="none"/>
          <w:lang w:val="en-US" w:eastAsia="zh-CN"/>
        </w:rPr>
        <w:t>减少</w:t>
      </w:r>
      <w:r>
        <w:rPr>
          <w:rFonts w:hint="eastAsia" w:ascii="Times New Roman" w:hAnsi="Times New Roman" w:eastAsia="仿宋_GB2312" w:cs="Times New Roman"/>
          <w:sz w:val="32"/>
          <w:szCs w:val="32"/>
          <w:highlight w:val="none"/>
          <w:lang w:val="en-US" w:eastAsia="zh-CN"/>
        </w:rPr>
        <w:t>1423.5</w:t>
      </w:r>
      <w:r>
        <w:rPr>
          <w:rFonts w:hint="default" w:ascii="Times New Roman" w:hAnsi="Times New Roman" w:eastAsia="仿宋_GB2312" w:cs="Times New Roman"/>
          <w:sz w:val="32"/>
          <w:szCs w:val="32"/>
          <w:highlight w:val="none"/>
        </w:rPr>
        <w:t>万元，其中：基本支出增加</w:t>
      </w:r>
      <w:r>
        <w:rPr>
          <w:rFonts w:hint="eastAsia" w:ascii="Times New Roman" w:hAnsi="Times New Roman" w:eastAsia="仿宋_GB2312" w:cs="Times New Roman"/>
          <w:sz w:val="32"/>
          <w:szCs w:val="32"/>
          <w:highlight w:val="none"/>
          <w:lang w:val="en-US" w:eastAsia="zh-CN"/>
        </w:rPr>
        <w:t>96.1</w:t>
      </w:r>
      <w:r>
        <w:rPr>
          <w:rFonts w:hint="default" w:ascii="Times New Roman" w:hAnsi="Times New Roman" w:eastAsia="仿宋_GB2312" w:cs="Times New Roman"/>
          <w:sz w:val="32"/>
          <w:szCs w:val="32"/>
          <w:highlight w:val="none"/>
        </w:rPr>
        <w:t>万元，主要为社会保障和就业支出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机关事业单位基本养老保险缴费支出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住房保障支出；项目支出</w:t>
      </w:r>
      <w:r>
        <w:rPr>
          <w:rFonts w:hint="default" w:ascii="Times New Roman" w:hAnsi="Times New Roman" w:eastAsia="仿宋_GB2312" w:cs="Times New Roman"/>
          <w:sz w:val="32"/>
          <w:szCs w:val="32"/>
          <w:highlight w:val="none"/>
          <w:lang w:val="en-US" w:eastAsia="zh-CN"/>
        </w:rPr>
        <w:t>减少</w:t>
      </w:r>
      <w:r>
        <w:rPr>
          <w:rFonts w:hint="eastAsia" w:ascii="Times New Roman" w:hAnsi="Times New Roman" w:eastAsia="仿宋_GB2312" w:cs="Times New Roman"/>
          <w:sz w:val="32"/>
          <w:szCs w:val="32"/>
          <w:highlight w:val="none"/>
          <w:lang w:val="en-US" w:eastAsia="zh-CN"/>
        </w:rPr>
        <w:t>1519.6</w:t>
      </w:r>
      <w:r>
        <w:rPr>
          <w:rFonts w:hint="default" w:ascii="Times New Roman" w:hAnsi="Times New Roman" w:eastAsia="仿宋_GB2312" w:cs="Times New Roman"/>
          <w:sz w:val="32"/>
          <w:szCs w:val="32"/>
          <w:highlight w:val="none"/>
        </w:rPr>
        <w:t>万元，主要为</w:t>
      </w:r>
      <w:r>
        <w:rPr>
          <w:rFonts w:hint="default" w:ascii="Times New Roman" w:hAnsi="Times New Roman" w:eastAsia="仿宋_GB2312" w:cs="Times New Roman"/>
          <w:sz w:val="32"/>
          <w:szCs w:val="32"/>
          <w:highlight w:val="none"/>
          <w:lang w:val="en-US" w:eastAsia="zh-CN"/>
        </w:rPr>
        <w:t>重点工作大督查经费、</w:t>
      </w:r>
      <w:r>
        <w:rPr>
          <w:rFonts w:hint="default" w:ascii="Times New Roman" w:hAnsi="Times New Roman" w:eastAsia="仿宋_GB2312" w:cs="Times New Roman"/>
          <w:sz w:val="32"/>
          <w:szCs w:val="32"/>
          <w:lang w:val="en-US" w:eastAsia="zh-CN"/>
        </w:rPr>
        <w:t>干部教育经费</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考核奖励经费、党建培训经费干部档案集中管理智能库房建设项目经费</w:t>
      </w:r>
      <w:r>
        <w:rPr>
          <w:rFonts w:hint="default" w:ascii="Times New Roman" w:hAnsi="Times New Roman" w:eastAsia="仿宋_GB2312" w:cs="Times New Roman"/>
          <w:sz w:val="32"/>
          <w:szCs w:val="32"/>
          <w:highlight w:val="none"/>
        </w:rPr>
        <w:t>支出。</w:t>
      </w:r>
    </w:p>
    <w:p w14:paraId="5DFF8426">
      <w:pPr>
        <w:keepNext w:val="0"/>
        <w:keepLines w:val="0"/>
        <w:pageBreakBefore w:val="0"/>
        <w:kinsoku/>
        <w:wordWrap/>
        <w:overflowPunct/>
        <w:topLinePunct w:val="0"/>
        <w:autoSpaceDE w:val="0"/>
        <w:autoSpaceDN w:val="0"/>
        <w:bidi w:val="0"/>
        <w:adjustRightInd w:val="0"/>
        <w:snapToGrid/>
        <w:spacing w:line="584" w:lineRule="exact"/>
        <w:ind w:firstLine="640" w:firstLineChars="200"/>
        <w:jc w:val="left"/>
        <w:textAlignment w:val="auto"/>
        <w:rPr>
          <w:rFonts w:hint="default" w:ascii="Times New Roman" w:hAnsi="Times New Roman" w:eastAsia="黑体" w:cs="Times New Roman"/>
          <w:sz w:val="32"/>
          <w:szCs w:val="32"/>
          <w:highlight w:val="green"/>
        </w:rPr>
      </w:pPr>
      <w:r>
        <w:rPr>
          <w:rFonts w:hint="default" w:ascii="Times New Roman" w:hAnsi="Times New Roman" w:eastAsia="黑体" w:cs="Times New Roman"/>
          <w:sz w:val="32"/>
          <w:szCs w:val="32"/>
          <w:highlight w:val="none"/>
        </w:rPr>
        <w:t>三、机关运行经费安排情况</w:t>
      </w:r>
    </w:p>
    <w:p w14:paraId="71FEB13A">
      <w:pPr>
        <w:keepNext w:val="0"/>
        <w:keepLines w:val="0"/>
        <w:pageBreakBefore w:val="0"/>
        <w:kinsoku/>
        <w:wordWrap/>
        <w:overflowPunct/>
        <w:topLinePunct w:val="0"/>
        <w:autoSpaceDE w:val="0"/>
        <w:autoSpaceDN w:val="0"/>
        <w:bidi w:val="0"/>
        <w:adjustRightInd w:val="0"/>
        <w:snapToGrid/>
        <w:spacing w:line="584"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年，我</w:t>
      </w:r>
      <w:r>
        <w:rPr>
          <w:rFonts w:hint="default" w:ascii="Times New Roman" w:hAnsi="Times New Roman" w:eastAsia="仿宋_GB2312" w:cs="Times New Roman"/>
          <w:sz w:val="32"/>
          <w:szCs w:val="32"/>
          <w:lang w:val="en-US" w:eastAsia="zh-CN"/>
        </w:rPr>
        <w:t>部</w:t>
      </w:r>
      <w:r>
        <w:rPr>
          <w:rFonts w:hint="default" w:ascii="Times New Roman" w:hAnsi="Times New Roman" w:eastAsia="仿宋_GB2312" w:cs="Times New Roman"/>
          <w:sz w:val="32"/>
          <w:szCs w:val="32"/>
        </w:rPr>
        <w:t>机关运行经费共计安排</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96</w:t>
      </w:r>
      <w:r>
        <w:rPr>
          <w:rFonts w:hint="default" w:ascii="Times New Roman" w:hAnsi="Times New Roman" w:eastAsia="仿宋_GB2312" w:cs="Times New Roman"/>
          <w:sz w:val="32"/>
          <w:szCs w:val="32"/>
        </w:rPr>
        <w:t>万元，主要用于中共廊坊市委组织部办公区的日常维修、办公费、邮电费、公务用车运行维护费、其他交通费等日常运行支出。</w:t>
      </w:r>
    </w:p>
    <w:p w14:paraId="32A5EC78">
      <w:pPr>
        <w:keepNext w:val="0"/>
        <w:keepLines w:val="0"/>
        <w:pageBreakBefore w:val="0"/>
        <w:kinsoku/>
        <w:wordWrap/>
        <w:overflowPunct/>
        <w:topLinePunct w:val="0"/>
        <w:autoSpaceDE w:val="0"/>
        <w:autoSpaceDN w:val="0"/>
        <w:bidi w:val="0"/>
        <w:adjustRightInd w:val="0"/>
        <w:snapToGrid/>
        <w:spacing w:line="584" w:lineRule="exact"/>
        <w:ind w:firstLine="643" w:firstLineChars="200"/>
        <w:jc w:val="left"/>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四、财政拨款“三公”经费预算情况及增减变化原因</w:t>
      </w:r>
    </w:p>
    <w:p w14:paraId="178E513F">
      <w:pPr>
        <w:keepNext w:val="0"/>
        <w:keepLines w:val="0"/>
        <w:pageBreakBefore w:val="0"/>
        <w:kinsoku/>
        <w:wordWrap/>
        <w:overflowPunct/>
        <w:topLinePunct w:val="0"/>
        <w:autoSpaceDE w:val="0"/>
        <w:autoSpaceDN w:val="0"/>
        <w:bidi w:val="0"/>
        <w:adjustRightInd w:val="0"/>
        <w:snapToGrid/>
        <w:spacing w:line="584"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年，我</w:t>
      </w:r>
      <w:r>
        <w:rPr>
          <w:rFonts w:hint="eastAsia" w:ascii="Times New Roman" w:hAnsi="Times New Roman" w:eastAsia="仿宋_GB2312" w:cs="Times New Roman"/>
          <w:sz w:val="32"/>
          <w:szCs w:val="32"/>
          <w:lang w:val="en-US" w:eastAsia="zh-CN"/>
        </w:rPr>
        <w:t>部</w:t>
      </w:r>
      <w:r>
        <w:rPr>
          <w:rFonts w:hint="default" w:ascii="Times New Roman" w:hAnsi="Times New Roman" w:eastAsia="仿宋_GB2312" w:cs="Times New Roman"/>
          <w:sz w:val="32"/>
          <w:szCs w:val="32"/>
        </w:rPr>
        <w:t>财政拨款“三公”经费预算安排</w:t>
      </w:r>
      <w:r>
        <w:rPr>
          <w:rFonts w:hint="default" w:ascii="Times New Roman" w:hAnsi="Times New Roman" w:eastAsia="仿宋_GB2312" w:cs="Times New Roman"/>
          <w:sz w:val="32"/>
          <w:szCs w:val="32"/>
          <w:lang w:val="en-US" w:eastAsia="zh-CN"/>
        </w:rPr>
        <w:t>20.02</w:t>
      </w:r>
      <w:r>
        <w:rPr>
          <w:rFonts w:hint="default" w:ascii="Times New Roman" w:hAnsi="Times New Roman" w:eastAsia="仿宋_GB2312" w:cs="Times New Roman"/>
          <w:sz w:val="32"/>
          <w:szCs w:val="32"/>
        </w:rPr>
        <w:t>万元。其中，因公出国（境）费</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万元；公务用车购置及运维费</w:t>
      </w:r>
      <w:r>
        <w:rPr>
          <w:rFonts w:hint="default" w:ascii="Times New Roman" w:hAnsi="Times New Roman" w:eastAsia="仿宋_GB2312" w:cs="Times New Roman"/>
          <w:sz w:val="32"/>
          <w:szCs w:val="32"/>
          <w:lang w:val="en-US" w:eastAsia="zh-CN"/>
        </w:rPr>
        <w:t>20.02</w:t>
      </w:r>
      <w:r>
        <w:rPr>
          <w:rFonts w:hint="default" w:ascii="Times New Roman" w:hAnsi="Times New Roman" w:eastAsia="仿宋_GB2312" w:cs="Times New Roman"/>
          <w:sz w:val="32"/>
          <w:szCs w:val="32"/>
        </w:rPr>
        <w:t>万元（其中：公务用车购置费为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万元，公务用车运维费</w:t>
      </w:r>
      <w:r>
        <w:rPr>
          <w:rFonts w:hint="default" w:ascii="Times New Roman" w:hAnsi="Times New Roman" w:eastAsia="仿宋_GB2312" w:cs="Times New Roman"/>
          <w:sz w:val="32"/>
          <w:szCs w:val="32"/>
          <w:lang w:val="en-US" w:eastAsia="zh-CN"/>
        </w:rPr>
        <w:t>20.02</w:t>
      </w:r>
      <w:r>
        <w:rPr>
          <w:rFonts w:hint="default" w:ascii="Times New Roman" w:hAnsi="Times New Roman" w:eastAsia="仿宋_GB2312" w:cs="Times New Roman"/>
          <w:sz w:val="32"/>
          <w:szCs w:val="32"/>
        </w:rPr>
        <w:t>万元)；公务接待费</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万元。与202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年相比</w:t>
      </w:r>
      <w:r>
        <w:rPr>
          <w:rFonts w:hint="eastAsia" w:ascii="Times New Roman" w:hAnsi="Times New Roman" w:eastAsia="仿宋_GB2312" w:cs="Times New Roman"/>
          <w:sz w:val="32"/>
          <w:szCs w:val="32"/>
          <w:lang w:val="en-US" w:eastAsia="zh-CN"/>
        </w:rPr>
        <w:t>持平，无增减变化</w:t>
      </w:r>
      <w:r>
        <w:rPr>
          <w:rFonts w:hint="default" w:ascii="Times New Roman" w:hAnsi="Times New Roman" w:eastAsia="仿宋_GB2312" w:cs="Times New Roman"/>
          <w:sz w:val="32"/>
          <w:szCs w:val="32"/>
        </w:rPr>
        <w:t>。</w:t>
      </w:r>
    </w:p>
    <w:p w14:paraId="3F146357">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五、绩效预算信息</w:t>
      </w:r>
    </w:p>
    <w:p w14:paraId="6F60CCB8">
      <w:pPr>
        <w:keepNext w:val="0"/>
        <w:keepLines w:val="0"/>
        <w:pageBreakBefore w:val="0"/>
        <w:kinsoku/>
        <w:wordWrap/>
        <w:overflowPunct/>
        <w:topLinePunct w:val="0"/>
        <w:bidi w:val="0"/>
        <w:snapToGrid/>
        <w:spacing w:line="584"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第一部分 部门整体绩效目标</w:t>
      </w:r>
    </w:p>
    <w:p w14:paraId="16E71D45">
      <w:pPr>
        <w:keepNext w:val="0"/>
        <w:keepLines w:val="0"/>
        <w:pageBreakBefore w:val="0"/>
        <w:kinsoku/>
        <w:wordWrap/>
        <w:overflowPunct/>
        <w:topLinePunct w:val="0"/>
        <w:bidi w:val="0"/>
        <w:snapToGrid/>
        <w:spacing w:line="584"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（一）总体绩效目标</w:t>
      </w:r>
    </w:p>
    <w:p w14:paraId="10CB7BAD">
      <w:pPr>
        <w:keepNext w:val="0"/>
        <w:keepLines w:val="0"/>
        <w:pageBreakBefore w:val="0"/>
        <w:kinsoku/>
        <w:wordWrap/>
        <w:overflowPunct/>
        <w:topLinePunct w:val="0"/>
        <w:autoSpaceDE w:val="0"/>
        <w:autoSpaceDN w:val="0"/>
        <w:bidi w:val="0"/>
        <w:adjustRightInd w:val="0"/>
        <w:snapToGrid/>
        <w:spacing w:line="584"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坚持全面从严治党，落实新时代党的组织路线，树立正确用人导向，选好配强各级领导班子和领导干部，加快干部年轻化进程，激励广大干部担当作为；加强全市基层党组织、党员队伍、领导班子和领导干部、公务员队伍建设工作；完成市管领导班子和领导干部年度综合考核评价工作，加强干部监督调研，做好科级以下年度考核及奖励审批工作；做好公务员四级联考招录、选调生招录、党群系统事业单位人员招聘、市直机关单位公务员公开遴选选调工作；建立科学规范的干部教育培训体系，提升全市党员干部整体素质；加强高层次创新创业人才扶持工作，加大引才育才力度，评选7个左右人才兴廊工程优秀项目、落实88名市管优秀专家、50名市青年拔尖人才、90名硕博人才、49名农村青年拔尖人才、210名定向选调生扶持资金，做好全职、柔性引才支持工作。</w:t>
      </w:r>
    </w:p>
    <w:p w14:paraId="664A79C3">
      <w:pPr>
        <w:keepNext w:val="0"/>
        <w:keepLines w:val="0"/>
        <w:pageBreakBefore w:val="0"/>
        <w:kinsoku/>
        <w:wordWrap/>
        <w:overflowPunct/>
        <w:topLinePunct w:val="0"/>
        <w:bidi w:val="0"/>
        <w:snapToGrid/>
        <w:spacing w:line="584" w:lineRule="exact"/>
        <w:ind w:firstLine="643" w:firstLineChars="200"/>
        <w:textAlignment w:val="auto"/>
        <w:rPr>
          <w:rFonts w:hint="default" w:ascii="Times New Roman" w:hAnsi="Times New Roman" w:eastAsia="楷体_GB2312" w:cs="Times New Roman"/>
          <w:b/>
          <w:sz w:val="32"/>
          <w:szCs w:val="32"/>
          <w:highlight w:val="green"/>
        </w:rPr>
      </w:pPr>
      <w:r>
        <w:rPr>
          <w:rFonts w:hint="default" w:ascii="Times New Roman" w:hAnsi="Times New Roman" w:eastAsia="楷体_GB2312" w:cs="Times New Roman"/>
          <w:b/>
          <w:sz w:val="32"/>
          <w:szCs w:val="32"/>
          <w:highlight w:val="none"/>
        </w:rPr>
        <w:t>（二）分项绩效目标</w:t>
      </w:r>
    </w:p>
    <w:p w14:paraId="271E16DC">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w:t>
      </w:r>
      <w:r>
        <w:rPr>
          <w:rFonts w:hint="default" w:ascii="Times New Roman" w:hAnsi="Times New Roman" w:eastAsia="仿宋_GB2312" w:cs="Times New Roman"/>
          <w:kern w:val="2"/>
          <w:sz w:val="32"/>
          <w:szCs w:val="32"/>
          <w:lang w:val="en-US" w:eastAsia="zh-CN" w:bidi="ar-SA"/>
        </w:rPr>
        <w:t>党组织建设及党员教育管理</w:t>
      </w:r>
    </w:p>
    <w:p w14:paraId="289FF32C">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加强基层领导班子建设；加强非公经济组织和社会组织党建工作；健全全市党的组织制度、党内生活制度建设；加强民主集中制建设和民主生活会宏观指导；协调和指导市县党代会、人代会、政协会和乡镇党代会、人代会；做好代表补选、罢免等事宜。</w:t>
      </w:r>
    </w:p>
    <w:p w14:paraId="07EF4453">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绩效指标：农村干部基础职务补贴等资金发放率达到100%；非公经济组织和社会组织党的组织和工作覆盖率分别达到95%和100%；组织培训完成率达到100%。</w:t>
      </w:r>
    </w:p>
    <w:p w14:paraId="63623F99">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w:t>
      </w:r>
      <w:r>
        <w:rPr>
          <w:rFonts w:hint="default" w:ascii="Times New Roman" w:hAnsi="Times New Roman" w:eastAsia="仿宋_GB2312" w:cs="Times New Roman"/>
          <w:kern w:val="2"/>
          <w:sz w:val="32"/>
          <w:szCs w:val="32"/>
          <w:lang w:val="en-US" w:eastAsia="zh-CN" w:bidi="ar-SA"/>
        </w:rPr>
        <w:t>省市委管理干部管理</w:t>
      </w:r>
    </w:p>
    <w:p w14:paraId="77E5CE75">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配合省委组织部做好省管干部任职考察；协助省委组织部做好省管干部的日常管理；负责市委管理干部的考察和办理任免、退休审批手续；参与研究全市干部工资政策和市管干部离退休待遇政策；落实省管理干部工资、审批市管干部工资及退休费。</w:t>
      </w:r>
    </w:p>
    <w:p w14:paraId="2CD6E2F8">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绩效指标：省市管干部考察完成率达到100%；省市管干部个人待遇政策落实率达到100%。</w:t>
      </w:r>
    </w:p>
    <w:p w14:paraId="2268907B">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US" w:eastAsia="zh-CN" w:bidi="ar-SA"/>
        </w:rPr>
        <w:t>干部队伍管理</w:t>
      </w:r>
    </w:p>
    <w:p w14:paraId="29DC60D4">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及时完成干部统计工作；严格落实档案管理制度；完成干部监督及个人事项报告核查工作；完成市管领导班子和领导干部年度综合考核评价工作，加强干部监督调研，做好科级以下年度考核及奖励审批工作。</w:t>
      </w:r>
    </w:p>
    <w:p w14:paraId="4C87895D">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市管领导班子和领导干部、科级及以下公务员年度考核工作完成率达到100%；及时完成选调生招录工作；人才交流挂职工作完成率达到100%；军转干部安置工作完成率达到100%；市管干部个人有关事项报告完成率100%。</w:t>
      </w:r>
    </w:p>
    <w:p w14:paraId="61705F9C">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US" w:eastAsia="zh-CN" w:bidi="ar-SA"/>
        </w:rPr>
        <w:t>干部培养选拔</w:t>
      </w:r>
    </w:p>
    <w:p w14:paraId="40DE96F3">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绩效目标：为建设高素质专业化公务员队伍，优化公职人员队伍结构。组织公务员四级联考招录、选调生招录、党群系统事业单位人员招聘、市直机关单位公务员公开遴选选调工作。</w:t>
      </w:r>
    </w:p>
    <w:p w14:paraId="13CB0F4F">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绩效指标：组织4项人事考试，完成公务员四级联考招录、选调生招录、党群系统事业单位人员招聘、市直机关单位公务员公开遴选选调工作。</w:t>
      </w:r>
    </w:p>
    <w:p w14:paraId="61640016">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w:t>
      </w:r>
      <w:r>
        <w:rPr>
          <w:rFonts w:hint="default" w:ascii="Times New Roman" w:hAnsi="Times New Roman" w:eastAsia="仿宋_GB2312" w:cs="Times New Roman"/>
          <w:kern w:val="2"/>
          <w:sz w:val="32"/>
          <w:szCs w:val="32"/>
          <w:lang w:val="en-US" w:eastAsia="zh-CN" w:bidi="ar-SA"/>
        </w:rPr>
        <w:t>援边干部管理</w:t>
      </w:r>
    </w:p>
    <w:p w14:paraId="72174C1A">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绩效目标：按照中组部、省委组织部统一部署以及分配指标名额，做好援疆援藏干部人才选派轮换、考核考察、管理服务等工作。</w:t>
      </w:r>
    </w:p>
    <w:p w14:paraId="4DDB9CB1">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绩效指标：援派干部人才数量完成率达100%；援派干部期满返回安置工作完成达100%。</w:t>
      </w:r>
    </w:p>
    <w:p w14:paraId="5262F01B">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6.</w:t>
      </w:r>
      <w:r>
        <w:rPr>
          <w:rFonts w:hint="default" w:ascii="Times New Roman" w:hAnsi="Times New Roman" w:eastAsia="仿宋_GB2312" w:cs="Times New Roman"/>
          <w:kern w:val="2"/>
          <w:sz w:val="32"/>
          <w:szCs w:val="32"/>
          <w:lang w:val="en-US" w:eastAsia="zh-CN" w:bidi="ar-SA"/>
        </w:rPr>
        <w:t>干部教育培训</w:t>
      </w:r>
    </w:p>
    <w:p w14:paraId="1CD6719E">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绩效目标：建立科学规范的干部教育培训体系；不断提高工作的科学化、制度化、规范化水平。</w:t>
      </w:r>
    </w:p>
    <w:p w14:paraId="104BEDB7">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绩效指标：干部教育培训计划完成率达到90%；干部培训学员合格率达到90%；干部对教育培训的满意度达到90%。</w:t>
      </w:r>
    </w:p>
    <w:p w14:paraId="073D4F3E">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7.</w:t>
      </w:r>
      <w:r>
        <w:rPr>
          <w:rFonts w:hint="default" w:ascii="Times New Roman" w:hAnsi="Times New Roman" w:eastAsia="仿宋_GB2312" w:cs="Times New Roman"/>
          <w:kern w:val="2"/>
          <w:sz w:val="32"/>
          <w:szCs w:val="32"/>
          <w:lang w:val="en-US" w:eastAsia="zh-CN" w:bidi="ar-SA"/>
        </w:rPr>
        <w:t>全市人才工作及队伍建设</w:t>
      </w:r>
    </w:p>
    <w:p w14:paraId="465F877B">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做好全局性人才工作事项的统筹谋划，推进重点领域和关键环节内人才发展体制机制改革，抓好重要人才政策的制定实施、重大人才工作项目的组织开展、重点人才的选拔服务等工作；承担市委人才工作领导小组有关会议筹备、文件起草、协调联络服务等工作；代市委联系市高端人才、“千人计划”专家、市管优秀专家等高层次专家人才，围绕人才理论和全市人才工作进展中的实际问题开展调查研究，提出加强和改进人才工作的意见和建议。</w:t>
      </w:r>
    </w:p>
    <w:p w14:paraId="669BD62B">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通过项目的开展，加强高层次创新创业人才扶持工作，加大引才育才力度。评选7个左右人才兴廊工程优秀项目、落实88名市管优秀专家、50名市青年拔尖人才、90名硕博人才、49名农村青年拔尖人才、210名定向选调生扶持资金。做好全职、柔性引才支持工作。</w:t>
      </w:r>
    </w:p>
    <w:p w14:paraId="6F89FD14">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8.</w:t>
      </w:r>
      <w:r>
        <w:rPr>
          <w:rFonts w:hint="default" w:ascii="Times New Roman" w:hAnsi="Times New Roman" w:eastAsia="仿宋_GB2312" w:cs="Times New Roman"/>
          <w:kern w:val="2"/>
          <w:sz w:val="32"/>
          <w:szCs w:val="32"/>
          <w:lang w:val="en-US" w:eastAsia="zh-CN" w:bidi="ar-SA"/>
        </w:rPr>
        <w:t>综合事务管理</w:t>
      </w:r>
    </w:p>
    <w:p w14:paraId="1F14A968">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全力做好组织工作综合研究、重要文稿起草、重点课题调研、党建制度改革相关工作、组织史资料征编等工作，为领导决策提供科学依据。组织、指导、协调全市组织系统新闻和网络宣传工作；网络运行正常。</w:t>
      </w:r>
    </w:p>
    <w:p w14:paraId="7DCD90A0">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w:t>
      </w:r>
      <w:r>
        <w:rPr>
          <w:rFonts w:hint="eastAsia" w:ascii="Times New Roman" w:hAnsi="Times New Roman" w:eastAsia="仿宋_GB2312" w:cs="Times New Roman"/>
          <w:kern w:val="2"/>
          <w:sz w:val="32"/>
          <w:szCs w:val="32"/>
          <w:lang w:val="en-US" w:eastAsia="zh-CN" w:bidi="ar-SA"/>
        </w:rPr>
        <w:t>网络</w:t>
      </w:r>
      <w:r>
        <w:rPr>
          <w:rFonts w:hint="default" w:ascii="Times New Roman" w:hAnsi="Times New Roman" w:eastAsia="仿宋_GB2312" w:cs="Times New Roman"/>
          <w:kern w:val="2"/>
          <w:sz w:val="32"/>
          <w:szCs w:val="32"/>
          <w:lang w:val="en-US" w:eastAsia="zh-CN" w:bidi="ar-SA"/>
        </w:rPr>
        <w:t>故障处理完成率达到100%，全市组织系统网宣工作量完成率达到100%；按时保质保量完成组织史征编任务；组织工作综合研究和重点课题调研工作完成率达到100%。</w:t>
      </w:r>
    </w:p>
    <w:p w14:paraId="1FB08731">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9.</w:t>
      </w:r>
      <w:r>
        <w:rPr>
          <w:rFonts w:hint="default" w:ascii="Times New Roman" w:hAnsi="Times New Roman" w:eastAsia="仿宋_GB2312" w:cs="Times New Roman"/>
          <w:kern w:val="2"/>
          <w:sz w:val="32"/>
          <w:szCs w:val="32"/>
          <w:lang w:val="en-US" w:eastAsia="zh-CN" w:bidi="ar-SA"/>
        </w:rPr>
        <w:t>公务员管理</w:t>
      </w:r>
    </w:p>
    <w:p w14:paraId="07A849C9">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绩效目标：加强对各县（市、区）公务员法规落实情况的监督与指导，认真做好全市职级职数管理工作，提高公务员依法行政、管理能力。</w:t>
      </w:r>
    </w:p>
    <w:p w14:paraId="75729F1F">
      <w:pPr>
        <w:pStyle w:val="21"/>
        <w:keepNext w:val="0"/>
        <w:keepLines w:val="0"/>
        <w:pageBreakBefore w:val="0"/>
        <w:kinsoku/>
        <w:wordWrap/>
        <w:overflowPunct/>
        <w:topLinePunct w:val="0"/>
        <w:bidi w:val="0"/>
        <w:snapToGrid/>
        <w:spacing w:line="584"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绩效指标：任职机关公务员考核、评比、监督工作完成率达到100%；机关及公务员调查满意率达到95%；机关公务员选拔、考核完成率达到100%。</w:t>
      </w:r>
    </w:p>
    <w:p w14:paraId="1DBD16F4">
      <w:pPr>
        <w:keepNext w:val="0"/>
        <w:keepLines w:val="0"/>
        <w:pageBreakBefore w:val="0"/>
        <w:kinsoku/>
        <w:wordWrap/>
        <w:overflowPunct/>
        <w:topLinePunct w:val="0"/>
        <w:bidi w:val="0"/>
        <w:snapToGrid/>
        <w:spacing w:line="584" w:lineRule="exact"/>
        <w:ind w:firstLine="643" w:firstLineChars="200"/>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（三）工作保障措施</w:t>
      </w:r>
    </w:p>
    <w:p w14:paraId="5191FC48">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w:t>
      </w:r>
      <w:r>
        <w:rPr>
          <w:rFonts w:hint="default" w:ascii="Times New Roman" w:hAnsi="Times New Roman" w:eastAsia="仿宋_GB2312" w:cs="Times New Roman"/>
          <w:kern w:val="2"/>
          <w:sz w:val="32"/>
          <w:szCs w:val="32"/>
          <w:lang w:val="en-US" w:eastAsia="zh-CN" w:bidi="ar-SA"/>
        </w:rPr>
        <w:t>完善制度建设。进一步完善部门预算绩效管理工作制度，制定部门事前绩效评估、事中监控和事后绩效自评等一系列相关绩效的管理制度，做好保障工作，为全年预算绩效目标的实现奠定制度基础。</w:t>
      </w:r>
    </w:p>
    <w:p w14:paraId="4B597D59">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w:t>
      </w:r>
      <w:r>
        <w:rPr>
          <w:rFonts w:hint="default" w:ascii="Times New Roman" w:hAnsi="Times New Roman" w:eastAsia="仿宋_GB2312" w:cs="Times New Roman"/>
          <w:kern w:val="2"/>
          <w:sz w:val="32"/>
          <w:szCs w:val="32"/>
          <w:lang w:val="en-US" w:eastAsia="zh-CN" w:bidi="ar-SA"/>
        </w:rPr>
        <w:t>加强支出管理。积极优化和整合相关资金，把年度部门预算编细、编实、编准，有针对性地提高年初预算到位率，及早将资金预算落实到具体项目，制定保障措施，保证按规定及时下达资金，确保支出进度达标。</w:t>
      </w:r>
    </w:p>
    <w:p w14:paraId="2292606F">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US" w:eastAsia="zh-CN" w:bidi="ar-SA"/>
        </w:rPr>
        <w:t>加强绩效运行监控。部门绩效管理小组对绩效运行监控的内容、实施方式等提出要求，内容包括绩效目标预期完成情况、项目实施情况、资金管理情况、项目管理情况等。定期采集绩效运行信息并汇总分析，加强对绩效目标运行情况的跟踪管理和督促检查，促进绩效目标的顺利实现。跟踪监控中发现绩效运行目标与预期绩效目标发生偏离时，及时采取措施予以纠正，情况严重的暂缓或停止该项目的执行。</w:t>
      </w:r>
    </w:p>
    <w:p w14:paraId="30A4E403">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US" w:eastAsia="zh-CN" w:bidi="ar-SA"/>
        </w:rPr>
        <w:t>做好绩效自评。预算执行结束后，及时对预算资金的产出和结果进行绩效自我评价，编写绩效自评报告。认真分析研究评价结果所反映的问题，努力查找资金使用和管理中的薄弱环节，制定改进和提高绩效管理工作的措施。</w:t>
      </w:r>
    </w:p>
    <w:p w14:paraId="5C537F8F">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w:t>
      </w:r>
      <w:r>
        <w:rPr>
          <w:rFonts w:hint="default" w:ascii="Times New Roman" w:hAnsi="Times New Roman" w:eastAsia="仿宋_GB2312" w:cs="Times New Roman"/>
          <w:kern w:val="2"/>
          <w:sz w:val="32"/>
          <w:szCs w:val="32"/>
          <w:lang w:val="en-US" w:eastAsia="zh-CN" w:bidi="ar-SA"/>
        </w:rPr>
        <w:t>规范财务资产管理。完善财务管理制度，严格审批程序，加强固定资产登记、使用和报废处置管理，做到支出合理，物尽其用。建立科学、合理的内部控制制度，完善的内部审批制度，加强对各项经济业务开支的事前控制，严格执行规章制度，从根本上提高财务管理水平。</w:t>
      </w:r>
    </w:p>
    <w:p w14:paraId="57659AE6">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6.</w:t>
      </w:r>
      <w:r>
        <w:rPr>
          <w:rFonts w:hint="default" w:ascii="Times New Roman" w:hAnsi="Times New Roman" w:eastAsia="仿宋_GB2312" w:cs="Times New Roman"/>
          <w:kern w:val="2"/>
          <w:sz w:val="32"/>
          <w:szCs w:val="32"/>
          <w:lang w:val="en-US" w:eastAsia="zh-CN" w:bidi="ar-SA"/>
        </w:rPr>
        <w:t>加强内部监督。加强内部监督制度建设，对绩效运行情况、重大支出决策、资产处置及其他重要经济业务事项的决策和执行进行督导，对会计资料进行内部审计，并配合做好审计、财政监督等外部监督工作，确保财政资金安全有效。</w:t>
      </w:r>
    </w:p>
    <w:p w14:paraId="2B6063B5">
      <w:pPr>
        <w:pStyle w:val="21"/>
        <w:keepNext w:val="0"/>
        <w:keepLines w:val="0"/>
        <w:pageBreakBefore w:val="0"/>
        <w:kinsoku/>
        <w:wordWrap/>
        <w:overflowPunct/>
        <w:topLinePunct w:val="0"/>
        <w:bidi w:val="0"/>
        <w:snapToGrid/>
        <w:spacing w:line="584" w:lineRule="exact"/>
        <w:ind w:left="0" w:lef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7.</w:t>
      </w:r>
      <w:r>
        <w:rPr>
          <w:rFonts w:hint="default" w:ascii="Times New Roman" w:hAnsi="Times New Roman" w:eastAsia="仿宋_GB2312" w:cs="Times New Roman"/>
          <w:kern w:val="2"/>
          <w:sz w:val="32"/>
          <w:szCs w:val="32"/>
          <w:lang w:val="en-US" w:eastAsia="zh-CN" w:bidi="ar-SA"/>
        </w:rPr>
        <w:t>加强宣传培训调研等。深入推进人才培养战略，提高市委统战部业务素质；加强调研，提出优化财政资金配置、提高资金使用效益的意见；加大宣传力度，强化预算绩效管理意识，促进预算绩效管理水平进一步提升。</w:t>
      </w:r>
    </w:p>
    <w:p w14:paraId="4C54CB12">
      <w:pPr>
        <w:overflowPunct w:val="0"/>
        <w:adjustRightInd w:val="0"/>
        <w:snapToGrid w:val="0"/>
        <w:spacing w:after="156" w:afterLines="50" w:line="580" w:lineRule="exact"/>
        <w:ind w:firstLine="630" w:firstLineChars="196"/>
        <w:jc w:val="left"/>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（四）部门整体支出绩效指标</w:t>
      </w:r>
    </w:p>
    <w:tbl>
      <w:tblPr>
        <w:tblStyle w:val="9"/>
        <w:tblW w:w="14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612"/>
        <w:gridCol w:w="636"/>
        <w:gridCol w:w="1940"/>
        <w:gridCol w:w="3270"/>
        <w:gridCol w:w="3240"/>
        <w:gridCol w:w="660"/>
        <w:gridCol w:w="450"/>
        <w:gridCol w:w="630"/>
        <w:gridCol w:w="2597"/>
      </w:tblGrid>
      <w:tr w14:paraId="3A989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trPr>
        <w:tc>
          <w:tcPr>
            <w:tcW w:w="612" w:type="dxa"/>
            <w:vMerge w:val="restart"/>
            <w:tcBorders>
              <w:tl2br w:val="nil"/>
              <w:tr2bl w:val="nil"/>
            </w:tcBorders>
            <w:vAlign w:val="center"/>
          </w:tcPr>
          <w:p w14:paraId="19963EC4">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一级指标</w:t>
            </w:r>
          </w:p>
        </w:tc>
        <w:tc>
          <w:tcPr>
            <w:tcW w:w="636" w:type="dxa"/>
            <w:vMerge w:val="restart"/>
            <w:tcBorders>
              <w:tl2br w:val="nil"/>
              <w:tr2bl w:val="nil"/>
            </w:tcBorders>
            <w:vAlign w:val="center"/>
          </w:tcPr>
          <w:p w14:paraId="4D574F65">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二级</w:t>
            </w:r>
          </w:p>
          <w:p w14:paraId="0D0E181F">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指标</w:t>
            </w:r>
          </w:p>
        </w:tc>
        <w:tc>
          <w:tcPr>
            <w:tcW w:w="1940" w:type="dxa"/>
            <w:vMerge w:val="restart"/>
            <w:tcBorders>
              <w:tl2br w:val="nil"/>
              <w:tr2bl w:val="nil"/>
            </w:tcBorders>
            <w:vAlign w:val="center"/>
          </w:tcPr>
          <w:p w14:paraId="7C7A3716">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三级</w:t>
            </w:r>
          </w:p>
          <w:p w14:paraId="7319A82D">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指标</w:t>
            </w:r>
          </w:p>
        </w:tc>
        <w:tc>
          <w:tcPr>
            <w:tcW w:w="3270" w:type="dxa"/>
            <w:vMerge w:val="restart"/>
            <w:tcBorders>
              <w:tl2br w:val="nil"/>
              <w:tr2bl w:val="nil"/>
            </w:tcBorders>
            <w:vAlign w:val="center"/>
          </w:tcPr>
          <w:p w14:paraId="72BF05C7">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评（扣）分标准</w:t>
            </w:r>
          </w:p>
        </w:tc>
        <w:tc>
          <w:tcPr>
            <w:tcW w:w="3240" w:type="dxa"/>
            <w:vMerge w:val="restart"/>
            <w:tcBorders>
              <w:tl2br w:val="nil"/>
              <w:tr2bl w:val="nil"/>
            </w:tcBorders>
            <w:vAlign w:val="center"/>
          </w:tcPr>
          <w:p w14:paraId="7F4A14D2">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绩效指标</w:t>
            </w:r>
          </w:p>
          <w:p w14:paraId="201FF663">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描述</w:t>
            </w:r>
          </w:p>
        </w:tc>
        <w:tc>
          <w:tcPr>
            <w:tcW w:w="1740" w:type="dxa"/>
            <w:gridSpan w:val="3"/>
            <w:tcBorders>
              <w:tl2br w:val="nil"/>
              <w:tr2bl w:val="nil"/>
            </w:tcBorders>
            <w:vAlign w:val="center"/>
          </w:tcPr>
          <w:p w14:paraId="04386CF2">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指标值</w:t>
            </w:r>
          </w:p>
        </w:tc>
        <w:tc>
          <w:tcPr>
            <w:tcW w:w="2597" w:type="dxa"/>
            <w:vMerge w:val="restart"/>
            <w:tcBorders>
              <w:tl2br w:val="nil"/>
              <w:tr2bl w:val="nil"/>
            </w:tcBorders>
            <w:vAlign w:val="center"/>
          </w:tcPr>
          <w:p w14:paraId="71BE5946">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指标值</w:t>
            </w:r>
          </w:p>
          <w:p w14:paraId="6A2D8DF3">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确定依据</w:t>
            </w:r>
          </w:p>
        </w:tc>
      </w:tr>
      <w:tr w14:paraId="0707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trPr>
        <w:tc>
          <w:tcPr>
            <w:tcW w:w="612" w:type="dxa"/>
            <w:vMerge w:val="continue"/>
            <w:tcBorders>
              <w:tl2br w:val="nil"/>
              <w:tr2bl w:val="nil"/>
            </w:tcBorders>
            <w:vAlign w:val="center"/>
          </w:tcPr>
          <w:p w14:paraId="1F6E46AD">
            <w:pPr>
              <w:jc w:val="center"/>
              <w:rPr>
                <w:rFonts w:hint="default" w:ascii="Times New Roman" w:hAnsi="Times New Roman" w:cs="Times New Roman"/>
              </w:rPr>
            </w:pPr>
          </w:p>
        </w:tc>
        <w:tc>
          <w:tcPr>
            <w:tcW w:w="636" w:type="dxa"/>
            <w:vMerge w:val="continue"/>
            <w:tcBorders>
              <w:tl2br w:val="nil"/>
              <w:tr2bl w:val="nil"/>
            </w:tcBorders>
            <w:vAlign w:val="center"/>
          </w:tcPr>
          <w:p w14:paraId="55DAD5E8">
            <w:pPr>
              <w:jc w:val="center"/>
              <w:rPr>
                <w:rFonts w:hint="default" w:ascii="Times New Roman" w:hAnsi="Times New Roman" w:cs="Times New Roman"/>
              </w:rPr>
            </w:pPr>
          </w:p>
        </w:tc>
        <w:tc>
          <w:tcPr>
            <w:tcW w:w="1940" w:type="dxa"/>
            <w:vMerge w:val="continue"/>
            <w:tcBorders>
              <w:tl2br w:val="nil"/>
              <w:tr2bl w:val="nil"/>
            </w:tcBorders>
            <w:vAlign w:val="center"/>
          </w:tcPr>
          <w:p w14:paraId="59BA1A6A">
            <w:pPr>
              <w:jc w:val="center"/>
              <w:rPr>
                <w:rFonts w:hint="default" w:ascii="Times New Roman" w:hAnsi="Times New Roman" w:cs="Times New Roman"/>
              </w:rPr>
            </w:pPr>
          </w:p>
        </w:tc>
        <w:tc>
          <w:tcPr>
            <w:tcW w:w="3270" w:type="dxa"/>
            <w:vMerge w:val="continue"/>
            <w:tcBorders>
              <w:tl2br w:val="nil"/>
              <w:tr2bl w:val="nil"/>
            </w:tcBorders>
            <w:vAlign w:val="center"/>
          </w:tcPr>
          <w:p w14:paraId="425B165B">
            <w:pPr>
              <w:jc w:val="center"/>
              <w:rPr>
                <w:rFonts w:hint="default" w:ascii="Times New Roman" w:hAnsi="Times New Roman" w:cs="Times New Roman"/>
              </w:rPr>
            </w:pPr>
          </w:p>
        </w:tc>
        <w:tc>
          <w:tcPr>
            <w:tcW w:w="3240" w:type="dxa"/>
            <w:vMerge w:val="continue"/>
            <w:tcBorders>
              <w:tl2br w:val="nil"/>
              <w:tr2bl w:val="nil"/>
            </w:tcBorders>
            <w:vAlign w:val="center"/>
          </w:tcPr>
          <w:p w14:paraId="493B1E4B">
            <w:pPr>
              <w:jc w:val="center"/>
              <w:rPr>
                <w:rFonts w:hint="default" w:ascii="Times New Roman" w:hAnsi="Times New Roman" w:cs="Times New Roman"/>
              </w:rPr>
            </w:pPr>
          </w:p>
        </w:tc>
        <w:tc>
          <w:tcPr>
            <w:tcW w:w="660" w:type="dxa"/>
            <w:tcBorders>
              <w:tl2br w:val="nil"/>
              <w:tr2bl w:val="nil"/>
            </w:tcBorders>
            <w:vAlign w:val="center"/>
          </w:tcPr>
          <w:p w14:paraId="4155173C">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符号</w:t>
            </w:r>
          </w:p>
        </w:tc>
        <w:tc>
          <w:tcPr>
            <w:tcW w:w="450" w:type="dxa"/>
            <w:tcBorders>
              <w:tl2br w:val="nil"/>
              <w:tr2bl w:val="nil"/>
            </w:tcBorders>
            <w:vAlign w:val="center"/>
          </w:tcPr>
          <w:p w14:paraId="44EF7750">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值</w:t>
            </w:r>
          </w:p>
        </w:tc>
        <w:tc>
          <w:tcPr>
            <w:tcW w:w="630" w:type="dxa"/>
            <w:tcBorders>
              <w:tl2br w:val="nil"/>
              <w:tr2bl w:val="nil"/>
            </w:tcBorders>
            <w:vAlign w:val="center"/>
          </w:tcPr>
          <w:p w14:paraId="6C34CD8A">
            <w:pPr>
              <w:widowControl/>
              <w:adjustRightInd w:val="0"/>
              <w:snapToGrid w:val="0"/>
              <w:jc w:val="center"/>
              <w:rPr>
                <w:rFonts w:hint="default" w:ascii="Times New Roman" w:hAnsi="Times New Roman" w:eastAsia="方正书宋_GBK" w:cs="Times New Roman"/>
                <w:b/>
              </w:rPr>
            </w:pPr>
            <w:r>
              <w:rPr>
                <w:rFonts w:hint="default" w:ascii="Times New Roman" w:hAnsi="Times New Roman" w:eastAsia="方正书宋_GBK" w:cs="Times New Roman"/>
                <w:b/>
              </w:rPr>
              <w:t>单位</w:t>
            </w:r>
          </w:p>
        </w:tc>
        <w:tc>
          <w:tcPr>
            <w:tcW w:w="2597" w:type="dxa"/>
            <w:vMerge w:val="continue"/>
            <w:tcBorders>
              <w:tl2br w:val="nil"/>
              <w:tr2bl w:val="nil"/>
            </w:tcBorders>
            <w:vAlign w:val="center"/>
          </w:tcPr>
          <w:p w14:paraId="28594A87">
            <w:pPr>
              <w:jc w:val="center"/>
              <w:rPr>
                <w:rFonts w:hint="default" w:ascii="Times New Roman" w:hAnsi="Times New Roman" w:cs="Times New Roman"/>
              </w:rPr>
            </w:pPr>
          </w:p>
        </w:tc>
      </w:tr>
      <w:tr w14:paraId="60A1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trPr>
        <w:tc>
          <w:tcPr>
            <w:tcW w:w="612" w:type="dxa"/>
            <w:vMerge w:val="restart"/>
            <w:tcBorders>
              <w:tl2br w:val="nil"/>
              <w:tr2bl w:val="nil"/>
            </w:tcBorders>
            <w:vAlign w:val="center"/>
          </w:tcPr>
          <w:p w14:paraId="38D4D3DB">
            <w:pPr>
              <w:keepNext w:val="0"/>
              <w:keepLines w:val="0"/>
              <w:pageBreakBefore w:val="0"/>
              <w:widowControl/>
              <w:kinsoku/>
              <w:wordWrap/>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部门产出</w:t>
            </w:r>
          </w:p>
        </w:tc>
        <w:tc>
          <w:tcPr>
            <w:tcW w:w="636" w:type="dxa"/>
            <w:tcBorders>
              <w:tl2br w:val="nil"/>
              <w:tr2bl w:val="nil"/>
            </w:tcBorders>
            <w:vAlign w:val="center"/>
          </w:tcPr>
          <w:p w14:paraId="649B3F1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数量</w:t>
            </w:r>
          </w:p>
        </w:tc>
        <w:tc>
          <w:tcPr>
            <w:tcW w:w="1940" w:type="dxa"/>
            <w:tcBorders>
              <w:tl2br w:val="nil"/>
              <w:tr2bl w:val="nil"/>
            </w:tcBorders>
            <w:vAlign w:val="center"/>
          </w:tcPr>
          <w:p w14:paraId="5E9E917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干部考核</w:t>
            </w:r>
            <w:r>
              <w:rPr>
                <w:rFonts w:hint="eastAsia" w:ascii="仿宋_GB2312" w:hAnsi="仿宋_GB2312" w:eastAsia="仿宋_GB2312" w:cs="仿宋_GB2312"/>
                <w:kern w:val="0"/>
                <w:sz w:val="24"/>
                <w:szCs w:val="24"/>
                <w:highlight w:val="none"/>
                <w:lang w:val="en-US" w:eastAsia="zh-CN"/>
              </w:rPr>
              <w:t>数量</w:t>
            </w:r>
          </w:p>
        </w:tc>
        <w:tc>
          <w:tcPr>
            <w:tcW w:w="3270" w:type="dxa"/>
            <w:tcBorders>
              <w:tl2br w:val="nil"/>
              <w:tr2bl w:val="nil"/>
            </w:tcBorders>
            <w:vAlign w:val="center"/>
          </w:tcPr>
          <w:p w14:paraId="3CEF31D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完成目标得权重分值的100%，每少完成一项扣减权重分值的50%，扣完为止</w:t>
            </w:r>
          </w:p>
        </w:tc>
        <w:tc>
          <w:tcPr>
            <w:tcW w:w="3240" w:type="dxa"/>
            <w:tcBorders>
              <w:tl2br w:val="nil"/>
              <w:tr2bl w:val="nil"/>
            </w:tcBorders>
            <w:vAlign w:val="center"/>
          </w:tcPr>
          <w:p w14:paraId="6EAA80B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反映市委组织部对全市市管领导干部和市直科级以下干部年度考核实施情况</w:t>
            </w:r>
          </w:p>
        </w:tc>
        <w:tc>
          <w:tcPr>
            <w:tcW w:w="660" w:type="dxa"/>
            <w:tcBorders>
              <w:tl2br w:val="nil"/>
              <w:tr2bl w:val="nil"/>
            </w:tcBorders>
            <w:vAlign w:val="center"/>
          </w:tcPr>
          <w:p w14:paraId="1D3D6C7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68C5C18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2</w:t>
            </w:r>
          </w:p>
        </w:tc>
        <w:tc>
          <w:tcPr>
            <w:tcW w:w="630" w:type="dxa"/>
            <w:tcBorders>
              <w:tl2br w:val="nil"/>
              <w:tr2bl w:val="nil"/>
            </w:tcBorders>
            <w:vAlign w:val="center"/>
          </w:tcPr>
          <w:p w14:paraId="09286AA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类</w:t>
            </w:r>
          </w:p>
        </w:tc>
        <w:tc>
          <w:tcPr>
            <w:tcW w:w="2597" w:type="dxa"/>
            <w:tcBorders>
              <w:tl2br w:val="nil"/>
              <w:tr2bl w:val="nil"/>
            </w:tcBorders>
            <w:vAlign w:val="center"/>
          </w:tcPr>
          <w:p w14:paraId="63E065F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《廊坊市市管领导班子和领导干部年度考核评价办法(试行)》《关于印发〈公务员考核规定（试行）〉的通知》（中组发〔2007〕26号）</w:t>
            </w:r>
          </w:p>
        </w:tc>
      </w:tr>
      <w:tr w14:paraId="2286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3F46F092">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3CB5738A">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数量指标</w:t>
            </w:r>
          </w:p>
        </w:tc>
        <w:tc>
          <w:tcPr>
            <w:tcW w:w="1940" w:type="dxa"/>
            <w:tcBorders>
              <w:tl2br w:val="nil"/>
              <w:tr2bl w:val="nil"/>
            </w:tcBorders>
            <w:vAlign w:val="center"/>
          </w:tcPr>
          <w:p w14:paraId="476C22A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干部教育培训次数</w:t>
            </w:r>
          </w:p>
        </w:tc>
        <w:tc>
          <w:tcPr>
            <w:tcW w:w="3270" w:type="dxa"/>
            <w:tcBorders>
              <w:tl2br w:val="nil"/>
              <w:tr2bl w:val="nil"/>
            </w:tcBorders>
            <w:vAlign w:val="center"/>
          </w:tcPr>
          <w:p w14:paraId="1F12913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达到或超过目标得权重分值的100%，每少完成1次扣减权重分值的10%，扣完为止</w:t>
            </w:r>
          </w:p>
        </w:tc>
        <w:tc>
          <w:tcPr>
            <w:tcW w:w="3240" w:type="dxa"/>
            <w:tcBorders>
              <w:tl2br w:val="nil"/>
              <w:tr2bl w:val="nil"/>
            </w:tcBorders>
            <w:vAlign w:val="center"/>
          </w:tcPr>
          <w:p w14:paraId="7376B9E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考察组织各类干部教育培训的总体情况</w:t>
            </w:r>
          </w:p>
        </w:tc>
        <w:tc>
          <w:tcPr>
            <w:tcW w:w="660" w:type="dxa"/>
            <w:tcBorders>
              <w:tl2br w:val="nil"/>
              <w:tr2bl w:val="nil"/>
            </w:tcBorders>
            <w:vAlign w:val="center"/>
          </w:tcPr>
          <w:p w14:paraId="419DF76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54B74C5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15</w:t>
            </w:r>
          </w:p>
        </w:tc>
        <w:tc>
          <w:tcPr>
            <w:tcW w:w="630" w:type="dxa"/>
            <w:tcBorders>
              <w:tl2br w:val="nil"/>
              <w:tr2bl w:val="nil"/>
            </w:tcBorders>
            <w:vAlign w:val="center"/>
          </w:tcPr>
          <w:p w14:paraId="28E15E3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次</w:t>
            </w:r>
          </w:p>
        </w:tc>
        <w:tc>
          <w:tcPr>
            <w:tcW w:w="2597" w:type="dxa"/>
            <w:tcBorders>
              <w:tl2br w:val="nil"/>
              <w:tr2bl w:val="nil"/>
            </w:tcBorders>
            <w:vAlign w:val="center"/>
          </w:tcPr>
          <w:p w14:paraId="751BCFF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工作计划</w:t>
            </w:r>
          </w:p>
        </w:tc>
      </w:tr>
      <w:tr w14:paraId="4458C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155E1112">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7DE04A33">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数量指标</w:t>
            </w:r>
          </w:p>
        </w:tc>
        <w:tc>
          <w:tcPr>
            <w:tcW w:w="1940" w:type="dxa"/>
            <w:tcBorders>
              <w:tl2br w:val="nil"/>
              <w:tr2bl w:val="nil"/>
            </w:tcBorders>
            <w:vAlign w:val="center"/>
          </w:tcPr>
          <w:p w14:paraId="43C6569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党员教育片和课件制作数量</w:t>
            </w:r>
          </w:p>
        </w:tc>
        <w:tc>
          <w:tcPr>
            <w:tcW w:w="3270" w:type="dxa"/>
            <w:tcBorders>
              <w:tl2br w:val="nil"/>
              <w:tr2bl w:val="nil"/>
            </w:tcBorders>
            <w:vAlign w:val="center"/>
          </w:tcPr>
          <w:p w14:paraId="1538636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达到或超过目标得权重分值的100%，每少完成1部扣减权重分值的20%，扣完为止</w:t>
            </w:r>
          </w:p>
        </w:tc>
        <w:tc>
          <w:tcPr>
            <w:tcW w:w="3240" w:type="dxa"/>
            <w:tcBorders>
              <w:tl2br w:val="nil"/>
              <w:tr2bl w:val="nil"/>
            </w:tcBorders>
            <w:vAlign w:val="center"/>
          </w:tcPr>
          <w:p w14:paraId="6DA9D09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考察年度内党员教育片和课件制作实施完成量的情况</w:t>
            </w:r>
          </w:p>
        </w:tc>
        <w:tc>
          <w:tcPr>
            <w:tcW w:w="660" w:type="dxa"/>
            <w:tcBorders>
              <w:tl2br w:val="nil"/>
              <w:tr2bl w:val="nil"/>
            </w:tcBorders>
            <w:vAlign w:val="center"/>
          </w:tcPr>
          <w:p w14:paraId="3699B4E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1781012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5</w:t>
            </w:r>
          </w:p>
        </w:tc>
        <w:tc>
          <w:tcPr>
            <w:tcW w:w="630" w:type="dxa"/>
            <w:tcBorders>
              <w:tl2br w:val="nil"/>
              <w:tr2bl w:val="nil"/>
            </w:tcBorders>
            <w:vAlign w:val="center"/>
          </w:tcPr>
          <w:p w14:paraId="7B10B28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部</w:t>
            </w:r>
          </w:p>
        </w:tc>
        <w:tc>
          <w:tcPr>
            <w:tcW w:w="2597" w:type="dxa"/>
            <w:tcBorders>
              <w:tl2br w:val="nil"/>
              <w:tr2bl w:val="nil"/>
            </w:tcBorders>
            <w:vAlign w:val="center"/>
          </w:tcPr>
          <w:p w14:paraId="5645D66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《廊坊市农村党员干部现代远程教育工作实施方案》</w:t>
            </w:r>
          </w:p>
        </w:tc>
      </w:tr>
      <w:tr w14:paraId="2DD6D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3B8D9D61">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19CE5129">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数量指标</w:t>
            </w:r>
          </w:p>
        </w:tc>
        <w:tc>
          <w:tcPr>
            <w:tcW w:w="1940" w:type="dxa"/>
            <w:tcBorders>
              <w:tl2br w:val="nil"/>
              <w:tr2bl w:val="nil"/>
            </w:tcBorders>
            <w:vAlign w:val="center"/>
          </w:tcPr>
          <w:p w14:paraId="77038FE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本年开展“人才兴廊”项目实施情况评估总结次数</w:t>
            </w:r>
          </w:p>
        </w:tc>
        <w:tc>
          <w:tcPr>
            <w:tcW w:w="3270" w:type="dxa"/>
            <w:tcBorders>
              <w:tl2br w:val="nil"/>
              <w:tr2bl w:val="nil"/>
            </w:tcBorders>
            <w:vAlign w:val="center"/>
          </w:tcPr>
          <w:p w14:paraId="14BEB35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完成1次评估得满分，否则不得分</w:t>
            </w:r>
          </w:p>
        </w:tc>
        <w:tc>
          <w:tcPr>
            <w:tcW w:w="3240" w:type="dxa"/>
            <w:tcBorders>
              <w:tl2br w:val="nil"/>
              <w:tr2bl w:val="nil"/>
            </w:tcBorders>
            <w:vAlign w:val="center"/>
          </w:tcPr>
          <w:p w14:paraId="4AF694A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　考察对“人才兴廊”项目实施情况评估总结次数</w:t>
            </w:r>
          </w:p>
        </w:tc>
        <w:tc>
          <w:tcPr>
            <w:tcW w:w="660" w:type="dxa"/>
            <w:tcBorders>
              <w:tl2br w:val="nil"/>
              <w:tr2bl w:val="nil"/>
            </w:tcBorders>
            <w:vAlign w:val="center"/>
          </w:tcPr>
          <w:p w14:paraId="31E5D9E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6ACAB92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1</w:t>
            </w:r>
          </w:p>
        </w:tc>
        <w:tc>
          <w:tcPr>
            <w:tcW w:w="630" w:type="dxa"/>
            <w:tcBorders>
              <w:tl2br w:val="nil"/>
              <w:tr2bl w:val="nil"/>
            </w:tcBorders>
            <w:vAlign w:val="center"/>
          </w:tcPr>
          <w:p w14:paraId="0CCBB6E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次</w:t>
            </w:r>
          </w:p>
        </w:tc>
        <w:tc>
          <w:tcPr>
            <w:tcW w:w="2597" w:type="dxa"/>
            <w:tcBorders>
              <w:tl2br w:val="nil"/>
              <w:tr2bl w:val="nil"/>
            </w:tcBorders>
            <w:vAlign w:val="center"/>
          </w:tcPr>
          <w:p w14:paraId="0F463F3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相关评审</w:t>
            </w:r>
          </w:p>
          <w:p w14:paraId="0620EED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结果文件</w:t>
            </w:r>
          </w:p>
        </w:tc>
      </w:tr>
      <w:tr w14:paraId="62E28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78361EA0">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7F9418AF">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数量指标</w:t>
            </w:r>
          </w:p>
        </w:tc>
        <w:tc>
          <w:tcPr>
            <w:tcW w:w="1940" w:type="dxa"/>
            <w:tcBorders>
              <w:tl2br w:val="nil"/>
              <w:tr2bl w:val="nil"/>
            </w:tcBorders>
            <w:vAlign w:val="center"/>
          </w:tcPr>
          <w:p w14:paraId="6473B7A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人事</w:t>
            </w:r>
            <w:r>
              <w:rPr>
                <w:rFonts w:hint="eastAsia" w:ascii="仿宋_GB2312" w:hAnsi="仿宋_GB2312" w:eastAsia="仿宋_GB2312" w:cs="仿宋_GB2312"/>
                <w:kern w:val="0"/>
                <w:sz w:val="24"/>
                <w:szCs w:val="24"/>
                <w:highlight w:val="none"/>
                <w:lang w:val="en-US" w:eastAsia="zh-CN"/>
              </w:rPr>
              <w:t>考试招录工作开展率</w:t>
            </w:r>
          </w:p>
        </w:tc>
        <w:tc>
          <w:tcPr>
            <w:tcW w:w="3270" w:type="dxa"/>
            <w:tcBorders>
              <w:tl2br w:val="nil"/>
              <w:tr2bl w:val="nil"/>
            </w:tcBorders>
            <w:vAlign w:val="center"/>
          </w:tcPr>
          <w:p w14:paraId="3A66D15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每少1%扣权重分5%</w:t>
            </w:r>
          </w:p>
        </w:tc>
        <w:tc>
          <w:tcPr>
            <w:tcW w:w="3240" w:type="dxa"/>
            <w:tcBorders>
              <w:tl2br w:val="nil"/>
              <w:tr2bl w:val="nil"/>
            </w:tcBorders>
            <w:vAlign w:val="center"/>
          </w:tcPr>
          <w:p w14:paraId="7D21DD2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招录工作实际开展数量占应开展数量比值</w:t>
            </w:r>
          </w:p>
        </w:tc>
        <w:tc>
          <w:tcPr>
            <w:tcW w:w="660" w:type="dxa"/>
            <w:tcBorders>
              <w:tl2br w:val="nil"/>
              <w:tr2bl w:val="nil"/>
            </w:tcBorders>
            <w:vAlign w:val="center"/>
          </w:tcPr>
          <w:p w14:paraId="050D02F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450" w:type="dxa"/>
            <w:tcBorders>
              <w:tl2br w:val="nil"/>
              <w:tr2bl w:val="nil"/>
            </w:tcBorders>
            <w:vAlign w:val="center"/>
          </w:tcPr>
          <w:p w14:paraId="7ABA8A7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100</w:t>
            </w:r>
          </w:p>
        </w:tc>
        <w:tc>
          <w:tcPr>
            <w:tcW w:w="630" w:type="dxa"/>
            <w:tcBorders>
              <w:tl2br w:val="nil"/>
              <w:tr2bl w:val="nil"/>
            </w:tcBorders>
            <w:vAlign w:val="center"/>
          </w:tcPr>
          <w:p w14:paraId="0CE0CEB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2597" w:type="dxa"/>
            <w:tcBorders>
              <w:tl2br w:val="nil"/>
              <w:tr2bl w:val="nil"/>
            </w:tcBorders>
            <w:vAlign w:val="center"/>
          </w:tcPr>
          <w:p w14:paraId="5EE59D7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工作计划</w:t>
            </w:r>
          </w:p>
        </w:tc>
      </w:tr>
      <w:tr w14:paraId="28CA2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18" w:hRule="atLeast"/>
        </w:trPr>
        <w:tc>
          <w:tcPr>
            <w:tcW w:w="612" w:type="dxa"/>
            <w:vMerge w:val="continue"/>
            <w:tcBorders>
              <w:tl2br w:val="nil"/>
              <w:tr2bl w:val="nil"/>
            </w:tcBorders>
            <w:vAlign w:val="center"/>
          </w:tcPr>
          <w:p w14:paraId="78048765">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07F93F8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质量</w:t>
            </w:r>
          </w:p>
        </w:tc>
        <w:tc>
          <w:tcPr>
            <w:tcW w:w="1940" w:type="dxa"/>
            <w:tcBorders>
              <w:tl2br w:val="nil"/>
              <w:tr2bl w:val="nil"/>
            </w:tcBorders>
            <w:vAlign w:val="center"/>
          </w:tcPr>
          <w:p w14:paraId="7C711B8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及时</w:t>
            </w:r>
            <w:r>
              <w:rPr>
                <w:rFonts w:hint="eastAsia" w:ascii="仿宋_GB2312" w:hAnsi="仿宋_GB2312" w:eastAsia="仿宋_GB2312" w:cs="仿宋_GB2312"/>
                <w:kern w:val="0"/>
                <w:sz w:val="24"/>
                <w:szCs w:val="24"/>
                <w:highlight w:val="none"/>
              </w:rPr>
              <w:t>奖励金发放结果准确性</w:t>
            </w:r>
          </w:p>
        </w:tc>
        <w:tc>
          <w:tcPr>
            <w:tcW w:w="3270" w:type="dxa"/>
            <w:tcBorders>
              <w:tl2br w:val="nil"/>
              <w:tr2bl w:val="nil"/>
            </w:tcBorders>
            <w:vAlign w:val="center"/>
          </w:tcPr>
          <w:p w14:paraId="0915E98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达到目标得权重分值的100%，每降低1%扣减权重分值的10%，扣完为止</w:t>
            </w:r>
          </w:p>
        </w:tc>
        <w:tc>
          <w:tcPr>
            <w:tcW w:w="3240" w:type="dxa"/>
            <w:tcBorders>
              <w:tl2br w:val="nil"/>
              <w:tr2bl w:val="nil"/>
            </w:tcBorders>
            <w:vAlign w:val="center"/>
          </w:tcPr>
          <w:p w14:paraId="08D94EF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考察及时奖励发放</w:t>
            </w:r>
            <w:r>
              <w:rPr>
                <w:rFonts w:hint="eastAsia" w:ascii="仿宋_GB2312" w:hAnsi="仿宋_GB2312" w:eastAsia="仿宋_GB2312" w:cs="仿宋_GB2312"/>
                <w:kern w:val="0"/>
                <w:sz w:val="24"/>
                <w:szCs w:val="24"/>
                <w:highlight w:val="none"/>
              </w:rPr>
              <w:t>是否符合相关标准　</w:t>
            </w:r>
          </w:p>
        </w:tc>
        <w:tc>
          <w:tcPr>
            <w:tcW w:w="660" w:type="dxa"/>
            <w:tcBorders>
              <w:tl2br w:val="nil"/>
              <w:tr2bl w:val="nil"/>
            </w:tcBorders>
            <w:vAlign w:val="center"/>
          </w:tcPr>
          <w:p w14:paraId="394DB2E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0346911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100</w:t>
            </w:r>
          </w:p>
        </w:tc>
        <w:tc>
          <w:tcPr>
            <w:tcW w:w="630" w:type="dxa"/>
            <w:tcBorders>
              <w:tl2br w:val="nil"/>
              <w:tr2bl w:val="nil"/>
            </w:tcBorders>
            <w:vAlign w:val="center"/>
          </w:tcPr>
          <w:p w14:paraId="0C34A4B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2597" w:type="dxa"/>
            <w:tcBorders>
              <w:tl2br w:val="nil"/>
              <w:tr2bl w:val="nil"/>
            </w:tcBorders>
            <w:vAlign w:val="center"/>
          </w:tcPr>
          <w:p w14:paraId="6C25F30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申报审批材料</w:t>
            </w:r>
          </w:p>
        </w:tc>
      </w:tr>
      <w:tr w14:paraId="6A39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886" w:hRule="atLeast"/>
        </w:trPr>
        <w:tc>
          <w:tcPr>
            <w:tcW w:w="612" w:type="dxa"/>
            <w:vMerge w:val="continue"/>
            <w:tcBorders>
              <w:tl2br w:val="nil"/>
              <w:tr2bl w:val="nil"/>
            </w:tcBorders>
            <w:vAlign w:val="center"/>
          </w:tcPr>
          <w:p w14:paraId="16C1AAF5">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6767704D">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数量</w:t>
            </w:r>
          </w:p>
        </w:tc>
        <w:tc>
          <w:tcPr>
            <w:tcW w:w="1940" w:type="dxa"/>
            <w:tcBorders>
              <w:tl2br w:val="nil"/>
              <w:tr2bl w:val="nil"/>
            </w:tcBorders>
            <w:vAlign w:val="center"/>
          </w:tcPr>
          <w:p w14:paraId="5BF2768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培训合格率</w:t>
            </w:r>
          </w:p>
        </w:tc>
        <w:tc>
          <w:tcPr>
            <w:tcW w:w="3270" w:type="dxa"/>
            <w:tcBorders>
              <w:tl2br w:val="nil"/>
              <w:tr2bl w:val="nil"/>
            </w:tcBorders>
            <w:vAlign w:val="center"/>
          </w:tcPr>
          <w:p w14:paraId="24967BF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达到或超过目标得权重分的100%，每少完成一项扣减权重分的10%，扣完为止</w:t>
            </w:r>
          </w:p>
        </w:tc>
        <w:tc>
          <w:tcPr>
            <w:tcW w:w="3240" w:type="dxa"/>
            <w:tcBorders>
              <w:tl2br w:val="nil"/>
              <w:tr2bl w:val="nil"/>
            </w:tcBorders>
            <w:vAlign w:val="center"/>
          </w:tcPr>
          <w:p w14:paraId="30CD386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考察干部达到受训合格的整体比例</w:t>
            </w:r>
          </w:p>
        </w:tc>
        <w:tc>
          <w:tcPr>
            <w:tcW w:w="660" w:type="dxa"/>
            <w:tcBorders>
              <w:tl2br w:val="nil"/>
              <w:tr2bl w:val="nil"/>
            </w:tcBorders>
            <w:vAlign w:val="center"/>
          </w:tcPr>
          <w:p w14:paraId="67E2E22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66A82FA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9</w:t>
            </w:r>
            <w:r>
              <w:rPr>
                <w:rFonts w:hint="eastAsia" w:ascii="仿宋_GB2312" w:hAnsi="仿宋_GB2312" w:eastAsia="仿宋_GB2312" w:cs="仿宋_GB2312"/>
                <w:kern w:val="0"/>
                <w:sz w:val="24"/>
                <w:szCs w:val="24"/>
                <w:highlight w:val="none"/>
              </w:rPr>
              <w:t>0</w:t>
            </w:r>
          </w:p>
        </w:tc>
        <w:tc>
          <w:tcPr>
            <w:tcW w:w="630" w:type="dxa"/>
            <w:tcBorders>
              <w:tl2br w:val="nil"/>
              <w:tr2bl w:val="nil"/>
            </w:tcBorders>
            <w:vAlign w:val="center"/>
          </w:tcPr>
          <w:p w14:paraId="749D21D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2597" w:type="dxa"/>
            <w:tcBorders>
              <w:tl2br w:val="nil"/>
              <w:tr2bl w:val="nil"/>
            </w:tcBorders>
            <w:vAlign w:val="center"/>
          </w:tcPr>
          <w:p w14:paraId="4AB39E0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考核统计</w:t>
            </w:r>
          </w:p>
        </w:tc>
      </w:tr>
      <w:tr w14:paraId="4891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06" w:hRule="atLeast"/>
        </w:trPr>
        <w:tc>
          <w:tcPr>
            <w:tcW w:w="612" w:type="dxa"/>
            <w:vMerge w:val="continue"/>
            <w:tcBorders>
              <w:tl2br w:val="nil"/>
              <w:tr2bl w:val="nil"/>
            </w:tcBorders>
            <w:vAlign w:val="center"/>
          </w:tcPr>
          <w:p w14:paraId="5B9EE1FA">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1861E438">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质量</w:t>
            </w:r>
          </w:p>
        </w:tc>
        <w:tc>
          <w:tcPr>
            <w:tcW w:w="1940" w:type="dxa"/>
            <w:tcBorders>
              <w:tl2br w:val="nil"/>
              <w:tr2bl w:val="nil"/>
            </w:tcBorders>
            <w:vAlign w:val="center"/>
          </w:tcPr>
          <w:p w14:paraId="3688520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公务员信息系统入库人员信息正确率</w:t>
            </w:r>
          </w:p>
        </w:tc>
        <w:tc>
          <w:tcPr>
            <w:tcW w:w="3270" w:type="dxa"/>
            <w:tcBorders>
              <w:tl2br w:val="nil"/>
              <w:tr2bl w:val="nil"/>
            </w:tcBorders>
            <w:vAlign w:val="center"/>
          </w:tcPr>
          <w:p w14:paraId="398C170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达到或超过目标得权重分的100%，</w:t>
            </w:r>
            <w:r>
              <w:rPr>
                <w:rFonts w:hint="eastAsia" w:ascii="仿宋_GB2312" w:hAnsi="仿宋_GB2312" w:eastAsia="仿宋_GB2312" w:cs="仿宋_GB2312"/>
                <w:kern w:val="0"/>
                <w:sz w:val="24"/>
                <w:szCs w:val="24"/>
                <w:highlight w:val="none"/>
                <w:lang w:val="en-US" w:eastAsia="zh-CN"/>
              </w:rPr>
              <w:t>每少1%，扣5%权重分，</w:t>
            </w:r>
            <w:r>
              <w:rPr>
                <w:rFonts w:hint="eastAsia" w:ascii="仿宋_GB2312" w:hAnsi="仿宋_GB2312" w:eastAsia="仿宋_GB2312" w:cs="仿宋_GB2312"/>
                <w:kern w:val="0"/>
                <w:sz w:val="24"/>
                <w:szCs w:val="24"/>
                <w:highlight w:val="none"/>
              </w:rPr>
              <w:t>扣完为止</w:t>
            </w:r>
          </w:p>
        </w:tc>
        <w:tc>
          <w:tcPr>
            <w:tcW w:w="3240" w:type="dxa"/>
            <w:tcBorders>
              <w:tl2br w:val="nil"/>
              <w:tr2bl w:val="nil"/>
            </w:tcBorders>
            <w:vAlign w:val="center"/>
          </w:tcPr>
          <w:p w14:paraId="2BAFABF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入库人员信息正确的占全部入库人员比率</w:t>
            </w:r>
          </w:p>
        </w:tc>
        <w:tc>
          <w:tcPr>
            <w:tcW w:w="660" w:type="dxa"/>
            <w:tcBorders>
              <w:tl2br w:val="nil"/>
              <w:tr2bl w:val="nil"/>
            </w:tcBorders>
            <w:vAlign w:val="center"/>
          </w:tcPr>
          <w:p w14:paraId="2F96F86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450" w:type="dxa"/>
            <w:tcBorders>
              <w:tl2br w:val="nil"/>
              <w:tr2bl w:val="nil"/>
            </w:tcBorders>
            <w:vAlign w:val="center"/>
          </w:tcPr>
          <w:p w14:paraId="6D3EB1B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90</w:t>
            </w:r>
          </w:p>
        </w:tc>
        <w:tc>
          <w:tcPr>
            <w:tcW w:w="630" w:type="dxa"/>
            <w:tcBorders>
              <w:tl2br w:val="nil"/>
              <w:tr2bl w:val="nil"/>
            </w:tcBorders>
            <w:vAlign w:val="center"/>
          </w:tcPr>
          <w:p w14:paraId="5D6A0CC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2597" w:type="dxa"/>
            <w:tcBorders>
              <w:tl2br w:val="nil"/>
              <w:tr2bl w:val="nil"/>
            </w:tcBorders>
            <w:vAlign w:val="center"/>
          </w:tcPr>
          <w:p w14:paraId="0C7E8272">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中组部下发的系统校核工具</w:t>
            </w:r>
          </w:p>
        </w:tc>
      </w:tr>
      <w:tr w14:paraId="4A40B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54" w:hRule="atLeast"/>
        </w:trPr>
        <w:tc>
          <w:tcPr>
            <w:tcW w:w="612" w:type="dxa"/>
            <w:vMerge w:val="continue"/>
            <w:tcBorders>
              <w:tl2br w:val="nil"/>
              <w:tr2bl w:val="nil"/>
            </w:tcBorders>
            <w:vAlign w:val="center"/>
          </w:tcPr>
          <w:p w14:paraId="1F224445">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0B944909">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质量</w:t>
            </w:r>
          </w:p>
        </w:tc>
        <w:tc>
          <w:tcPr>
            <w:tcW w:w="1940" w:type="dxa"/>
            <w:tcBorders>
              <w:tl2br w:val="nil"/>
              <w:tr2bl w:val="nil"/>
            </w:tcBorders>
            <w:vAlign w:val="center"/>
          </w:tcPr>
          <w:p w14:paraId="7D6D233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党员教育片和课件内容原创率</w:t>
            </w:r>
          </w:p>
        </w:tc>
        <w:tc>
          <w:tcPr>
            <w:tcW w:w="3270" w:type="dxa"/>
            <w:tcBorders>
              <w:tl2br w:val="nil"/>
              <w:tr2bl w:val="nil"/>
            </w:tcBorders>
            <w:vAlign w:val="center"/>
          </w:tcPr>
          <w:p w14:paraId="21A4A11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达到或超过目标得权重分的100%，每少完成一项扣减权重分的10%，扣完为止</w:t>
            </w:r>
          </w:p>
        </w:tc>
        <w:tc>
          <w:tcPr>
            <w:tcW w:w="3240" w:type="dxa"/>
            <w:tcBorders>
              <w:tl2br w:val="nil"/>
              <w:tr2bl w:val="nil"/>
            </w:tcBorders>
            <w:vAlign w:val="center"/>
          </w:tcPr>
          <w:p w14:paraId="4C1DDD1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原创课件占全部党员教育片和课件的比率</w:t>
            </w:r>
          </w:p>
        </w:tc>
        <w:tc>
          <w:tcPr>
            <w:tcW w:w="660" w:type="dxa"/>
            <w:tcBorders>
              <w:tl2br w:val="nil"/>
              <w:tr2bl w:val="nil"/>
            </w:tcBorders>
            <w:vAlign w:val="center"/>
          </w:tcPr>
          <w:p w14:paraId="3FBE90C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2E87480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7</w:t>
            </w:r>
            <w:r>
              <w:rPr>
                <w:rFonts w:hint="eastAsia" w:ascii="仿宋_GB2312" w:hAnsi="仿宋_GB2312" w:eastAsia="仿宋_GB2312" w:cs="仿宋_GB2312"/>
                <w:kern w:val="0"/>
                <w:sz w:val="24"/>
                <w:szCs w:val="24"/>
                <w:highlight w:val="none"/>
              </w:rPr>
              <w:t>0</w:t>
            </w:r>
          </w:p>
        </w:tc>
        <w:tc>
          <w:tcPr>
            <w:tcW w:w="630" w:type="dxa"/>
            <w:tcBorders>
              <w:tl2br w:val="nil"/>
              <w:tr2bl w:val="nil"/>
            </w:tcBorders>
            <w:vAlign w:val="center"/>
          </w:tcPr>
          <w:p w14:paraId="0374320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2597" w:type="dxa"/>
            <w:tcBorders>
              <w:tl2br w:val="nil"/>
              <w:tr2bl w:val="nil"/>
            </w:tcBorders>
            <w:vAlign w:val="center"/>
          </w:tcPr>
          <w:p w14:paraId="03FD17A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《廊坊市农村党员干部现代远程教育工作实施方案》</w:t>
            </w:r>
          </w:p>
        </w:tc>
      </w:tr>
      <w:tr w14:paraId="104A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trPr>
        <w:tc>
          <w:tcPr>
            <w:tcW w:w="612" w:type="dxa"/>
            <w:vMerge w:val="continue"/>
            <w:tcBorders>
              <w:tl2br w:val="nil"/>
              <w:tr2bl w:val="nil"/>
            </w:tcBorders>
            <w:vAlign w:val="center"/>
          </w:tcPr>
          <w:p w14:paraId="4F78445E">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5BEF889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时效</w:t>
            </w:r>
          </w:p>
        </w:tc>
        <w:tc>
          <w:tcPr>
            <w:tcW w:w="1940" w:type="dxa"/>
            <w:tcBorders>
              <w:tl2br w:val="nil"/>
              <w:tr2bl w:val="nil"/>
            </w:tcBorders>
            <w:vAlign w:val="center"/>
          </w:tcPr>
          <w:p w14:paraId="13F06DC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干部教育培训内容更新及时性</w:t>
            </w:r>
          </w:p>
        </w:tc>
        <w:tc>
          <w:tcPr>
            <w:tcW w:w="3270" w:type="dxa"/>
            <w:tcBorders>
              <w:tl2br w:val="nil"/>
              <w:tr2bl w:val="nil"/>
            </w:tcBorders>
            <w:vAlign w:val="center"/>
          </w:tcPr>
          <w:p w14:paraId="06B1E79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符合得满分，不符合不得分</w:t>
            </w:r>
          </w:p>
        </w:tc>
        <w:tc>
          <w:tcPr>
            <w:tcW w:w="3240" w:type="dxa"/>
            <w:tcBorders>
              <w:tl2br w:val="nil"/>
              <w:tr2bl w:val="nil"/>
            </w:tcBorders>
            <w:vAlign w:val="center"/>
          </w:tcPr>
          <w:p w14:paraId="51524EA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培训内容是否符合新形势新要求</w:t>
            </w:r>
          </w:p>
        </w:tc>
        <w:tc>
          <w:tcPr>
            <w:tcW w:w="660" w:type="dxa"/>
            <w:tcBorders>
              <w:tl2br w:val="nil"/>
              <w:tr2bl w:val="nil"/>
            </w:tcBorders>
            <w:vAlign w:val="center"/>
          </w:tcPr>
          <w:p w14:paraId="11416A8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文字描述</w:t>
            </w:r>
          </w:p>
        </w:tc>
        <w:tc>
          <w:tcPr>
            <w:tcW w:w="450" w:type="dxa"/>
            <w:tcBorders>
              <w:tl2br w:val="nil"/>
              <w:tr2bl w:val="nil"/>
            </w:tcBorders>
            <w:vAlign w:val="center"/>
          </w:tcPr>
          <w:p w14:paraId="7DA2C3B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p>
        </w:tc>
        <w:tc>
          <w:tcPr>
            <w:tcW w:w="630" w:type="dxa"/>
            <w:tcBorders>
              <w:tl2br w:val="nil"/>
              <w:tr2bl w:val="nil"/>
            </w:tcBorders>
            <w:vAlign w:val="center"/>
          </w:tcPr>
          <w:p w14:paraId="76878C2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符合</w:t>
            </w:r>
          </w:p>
        </w:tc>
        <w:tc>
          <w:tcPr>
            <w:tcW w:w="2597" w:type="dxa"/>
            <w:tcBorders>
              <w:tl2br w:val="nil"/>
              <w:tr2bl w:val="nil"/>
            </w:tcBorders>
            <w:vAlign w:val="center"/>
          </w:tcPr>
          <w:p w14:paraId="3EA47E5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相关工作文件</w:t>
            </w:r>
          </w:p>
        </w:tc>
      </w:tr>
      <w:tr w14:paraId="066A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trPr>
        <w:tc>
          <w:tcPr>
            <w:tcW w:w="612" w:type="dxa"/>
            <w:vMerge w:val="continue"/>
            <w:tcBorders>
              <w:tl2br w:val="nil"/>
              <w:tr2bl w:val="nil"/>
            </w:tcBorders>
            <w:vAlign w:val="center"/>
          </w:tcPr>
          <w:p w14:paraId="2D28D303">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71C853A0">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时效</w:t>
            </w:r>
          </w:p>
        </w:tc>
        <w:tc>
          <w:tcPr>
            <w:tcW w:w="1940" w:type="dxa"/>
            <w:tcBorders>
              <w:tl2br w:val="nil"/>
              <w:tr2bl w:val="nil"/>
            </w:tcBorders>
            <w:vAlign w:val="center"/>
          </w:tcPr>
          <w:p w14:paraId="351D007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考核实施计划性</w:t>
            </w:r>
          </w:p>
        </w:tc>
        <w:tc>
          <w:tcPr>
            <w:tcW w:w="3270" w:type="dxa"/>
            <w:tcBorders>
              <w:tl2br w:val="nil"/>
              <w:tr2bl w:val="nil"/>
            </w:tcBorders>
            <w:vAlign w:val="center"/>
          </w:tcPr>
          <w:p w14:paraId="2C561D6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及时得</w:t>
            </w:r>
            <w:r>
              <w:rPr>
                <w:rFonts w:hint="eastAsia" w:ascii="仿宋_GB2312" w:hAnsi="仿宋_GB2312" w:eastAsia="仿宋_GB2312" w:cs="仿宋_GB2312"/>
                <w:kern w:val="0"/>
                <w:sz w:val="24"/>
                <w:szCs w:val="24"/>
                <w:highlight w:val="none"/>
                <w:lang w:val="en-US" w:eastAsia="zh-CN"/>
              </w:rPr>
              <w:t>满分，不及时不得分</w:t>
            </w:r>
          </w:p>
        </w:tc>
        <w:tc>
          <w:tcPr>
            <w:tcW w:w="3240" w:type="dxa"/>
            <w:tcBorders>
              <w:tl2br w:val="nil"/>
              <w:tr2bl w:val="nil"/>
            </w:tcBorders>
            <w:vAlign w:val="center"/>
          </w:tcPr>
          <w:p w14:paraId="68C4622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考察</w:t>
            </w:r>
            <w:r>
              <w:rPr>
                <w:rFonts w:hint="eastAsia" w:ascii="仿宋_GB2312" w:hAnsi="仿宋_GB2312" w:eastAsia="仿宋_GB2312" w:cs="仿宋_GB2312"/>
                <w:kern w:val="0"/>
                <w:sz w:val="24"/>
                <w:szCs w:val="24"/>
                <w:highlight w:val="none"/>
                <w:lang w:val="en-US" w:eastAsia="zh-CN"/>
              </w:rPr>
              <w:t>各类</w:t>
            </w:r>
            <w:r>
              <w:rPr>
                <w:rFonts w:hint="eastAsia" w:ascii="仿宋_GB2312" w:hAnsi="仿宋_GB2312" w:eastAsia="仿宋_GB2312" w:cs="仿宋_GB2312"/>
                <w:kern w:val="0"/>
                <w:sz w:val="24"/>
                <w:szCs w:val="24"/>
                <w:highlight w:val="none"/>
              </w:rPr>
              <w:t>考核工作是否按计划安排及时有效地开展</w:t>
            </w:r>
          </w:p>
        </w:tc>
        <w:tc>
          <w:tcPr>
            <w:tcW w:w="660" w:type="dxa"/>
            <w:tcBorders>
              <w:tl2br w:val="nil"/>
              <w:tr2bl w:val="nil"/>
            </w:tcBorders>
            <w:vAlign w:val="center"/>
          </w:tcPr>
          <w:p w14:paraId="1A9B161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文字描述</w:t>
            </w:r>
          </w:p>
        </w:tc>
        <w:tc>
          <w:tcPr>
            <w:tcW w:w="450" w:type="dxa"/>
            <w:tcBorders>
              <w:tl2br w:val="nil"/>
              <w:tr2bl w:val="nil"/>
            </w:tcBorders>
            <w:vAlign w:val="center"/>
          </w:tcPr>
          <w:p w14:paraId="6B02CA1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p>
        </w:tc>
        <w:tc>
          <w:tcPr>
            <w:tcW w:w="630" w:type="dxa"/>
            <w:tcBorders>
              <w:tl2br w:val="nil"/>
              <w:tr2bl w:val="nil"/>
            </w:tcBorders>
            <w:vAlign w:val="center"/>
          </w:tcPr>
          <w:p w14:paraId="0EA32090">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及时</w:t>
            </w:r>
          </w:p>
        </w:tc>
        <w:tc>
          <w:tcPr>
            <w:tcW w:w="2597" w:type="dxa"/>
            <w:tcBorders>
              <w:tl2br w:val="nil"/>
              <w:tr2bl w:val="nil"/>
            </w:tcBorders>
            <w:vAlign w:val="center"/>
          </w:tcPr>
          <w:p w14:paraId="6E18352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工作计划</w:t>
            </w:r>
          </w:p>
        </w:tc>
      </w:tr>
      <w:tr w14:paraId="2C91E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7468F59E">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0046F28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成本</w:t>
            </w:r>
          </w:p>
        </w:tc>
        <w:tc>
          <w:tcPr>
            <w:tcW w:w="1940" w:type="dxa"/>
            <w:tcBorders>
              <w:tl2br w:val="nil"/>
              <w:tr2bl w:val="nil"/>
            </w:tcBorders>
            <w:vAlign w:val="center"/>
          </w:tcPr>
          <w:p w14:paraId="330D5EE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培训标准</w:t>
            </w:r>
          </w:p>
        </w:tc>
        <w:tc>
          <w:tcPr>
            <w:tcW w:w="3270" w:type="dxa"/>
            <w:tcBorders>
              <w:tl2br w:val="nil"/>
              <w:tr2bl w:val="nil"/>
            </w:tcBorders>
            <w:vAlign w:val="center"/>
          </w:tcPr>
          <w:p w14:paraId="0C87068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符合得满分，不符合不得分</w:t>
            </w:r>
          </w:p>
        </w:tc>
        <w:tc>
          <w:tcPr>
            <w:tcW w:w="3240" w:type="dxa"/>
            <w:tcBorders>
              <w:tl2br w:val="nil"/>
              <w:tr2bl w:val="nil"/>
            </w:tcBorders>
            <w:vAlign w:val="center"/>
          </w:tcPr>
          <w:p w14:paraId="1B13FDE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是否符合培训费规定的标准</w:t>
            </w:r>
          </w:p>
        </w:tc>
        <w:tc>
          <w:tcPr>
            <w:tcW w:w="660" w:type="dxa"/>
            <w:tcBorders>
              <w:tl2br w:val="nil"/>
              <w:tr2bl w:val="nil"/>
            </w:tcBorders>
            <w:vAlign w:val="center"/>
          </w:tcPr>
          <w:p w14:paraId="2F50133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文字描述</w:t>
            </w:r>
          </w:p>
        </w:tc>
        <w:tc>
          <w:tcPr>
            <w:tcW w:w="450" w:type="dxa"/>
            <w:tcBorders>
              <w:tl2br w:val="nil"/>
              <w:tr2bl w:val="nil"/>
            </w:tcBorders>
            <w:vAlign w:val="center"/>
          </w:tcPr>
          <w:p w14:paraId="346E583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p>
        </w:tc>
        <w:tc>
          <w:tcPr>
            <w:tcW w:w="630" w:type="dxa"/>
            <w:tcBorders>
              <w:tl2br w:val="nil"/>
              <w:tr2bl w:val="nil"/>
            </w:tcBorders>
            <w:vAlign w:val="center"/>
          </w:tcPr>
          <w:p w14:paraId="1FFA0D1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符合</w:t>
            </w:r>
          </w:p>
        </w:tc>
        <w:tc>
          <w:tcPr>
            <w:tcW w:w="2597" w:type="dxa"/>
            <w:tcBorders>
              <w:tl2br w:val="nil"/>
              <w:tr2bl w:val="nil"/>
            </w:tcBorders>
            <w:vAlign w:val="center"/>
          </w:tcPr>
          <w:p w14:paraId="31C961D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培训费规定及支出情况</w:t>
            </w:r>
          </w:p>
        </w:tc>
      </w:tr>
      <w:tr w14:paraId="7C11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restart"/>
            <w:tcBorders>
              <w:tl2br w:val="nil"/>
              <w:tr2bl w:val="nil"/>
            </w:tcBorders>
            <w:vAlign w:val="center"/>
          </w:tcPr>
          <w:p w14:paraId="663CBB87">
            <w:pPr>
              <w:keepNext w:val="0"/>
              <w:keepLines w:val="0"/>
              <w:pageBreakBefore w:val="0"/>
              <w:kinsoku/>
              <w:wordWrap/>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部门效果</w:t>
            </w:r>
          </w:p>
        </w:tc>
        <w:tc>
          <w:tcPr>
            <w:tcW w:w="636" w:type="dxa"/>
            <w:tcBorders>
              <w:tl2br w:val="nil"/>
              <w:tr2bl w:val="nil"/>
            </w:tcBorders>
            <w:vAlign w:val="center"/>
          </w:tcPr>
          <w:p w14:paraId="75603D01">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社会效益</w:t>
            </w:r>
          </w:p>
        </w:tc>
        <w:tc>
          <w:tcPr>
            <w:tcW w:w="1940" w:type="dxa"/>
            <w:tcBorders>
              <w:tl2br w:val="nil"/>
              <w:tr2bl w:val="nil"/>
            </w:tcBorders>
            <w:vAlign w:val="center"/>
          </w:tcPr>
          <w:p w14:paraId="6D420D9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公用经费控制率</w:t>
            </w:r>
          </w:p>
        </w:tc>
        <w:tc>
          <w:tcPr>
            <w:tcW w:w="3270" w:type="dxa"/>
            <w:tcBorders>
              <w:tl2br w:val="nil"/>
              <w:tr2bl w:val="nil"/>
            </w:tcBorders>
            <w:vAlign w:val="center"/>
          </w:tcPr>
          <w:p w14:paraId="3D164DD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经费实际支出数≤预算安排的三公经费数，得权重分的100%，否则不得分；日常公用经费决算数≤日常公用经费调整预算数，得权重分的100%，否则不得分</w:t>
            </w:r>
          </w:p>
        </w:tc>
        <w:tc>
          <w:tcPr>
            <w:tcW w:w="3240" w:type="dxa"/>
            <w:tcBorders>
              <w:tl2br w:val="nil"/>
              <w:tr2bl w:val="nil"/>
            </w:tcBorders>
            <w:vAlign w:val="center"/>
          </w:tcPr>
          <w:p w14:paraId="63AD75E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部门本年度实际支出的公用经费总额与预算安排的公用经费总额的比率，反映和考核部门对机构运转成本的实际可控制程度。</w:t>
            </w:r>
          </w:p>
        </w:tc>
        <w:tc>
          <w:tcPr>
            <w:tcW w:w="660" w:type="dxa"/>
            <w:tcBorders>
              <w:tl2br w:val="nil"/>
              <w:tr2bl w:val="nil"/>
            </w:tcBorders>
            <w:vAlign w:val="center"/>
          </w:tcPr>
          <w:p w14:paraId="326613B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tcBorders>
              <w:tl2br w:val="nil"/>
              <w:tr2bl w:val="nil"/>
            </w:tcBorders>
            <w:vAlign w:val="center"/>
          </w:tcPr>
          <w:p w14:paraId="2615971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100</w:t>
            </w:r>
          </w:p>
        </w:tc>
        <w:tc>
          <w:tcPr>
            <w:tcW w:w="630" w:type="dxa"/>
            <w:tcBorders>
              <w:tl2br w:val="nil"/>
              <w:tr2bl w:val="nil"/>
            </w:tcBorders>
            <w:vAlign w:val="center"/>
          </w:tcPr>
          <w:p w14:paraId="3E68DD45">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2597" w:type="dxa"/>
            <w:tcBorders>
              <w:tl2br w:val="nil"/>
              <w:tr2bl w:val="nil"/>
            </w:tcBorders>
            <w:vAlign w:val="center"/>
          </w:tcPr>
          <w:p w14:paraId="0D48B2B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预算</w:t>
            </w:r>
          </w:p>
        </w:tc>
      </w:tr>
      <w:tr w14:paraId="6484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1B1534F3">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213EBDF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社会效益</w:t>
            </w:r>
          </w:p>
        </w:tc>
        <w:tc>
          <w:tcPr>
            <w:tcW w:w="1940" w:type="dxa"/>
            <w:tcBorders>
              <w:tl2br w:val="nil"/>
              <w:tr2bl w:val="nil"/>
            </w:tcBorders>
            <w:vAlign w:val="center"/>
          </w:tcPr>
          <w:p w14:paraId="46C464B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促进优秀人才进入干部队伍</w:t>
            </w:r>
          </w:p>
        </w:tc>
        <w:tc>
          <w:tcPr>
            <w:tcW w:w="3270" w:type="dxa"/>
            <w:tcBorders>
              <w:tl2br w:val="nil"/>
              <w:tr2bl w:val="nil"/>
            </w:tcBorders>
            <w:vAlign w:val="center"/>
          </w:tcPr>
          <w:p w14:paraId="1A8B61F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促进得满分，未促进不得分</w:t>
            </w:r>
          </w:p>
        </w:tc>
        <w:tc>
          <w:tcPr>
            <w:tcW w:w="3240" w:type="dxa"/>
            <w:tcBorders>
              <w:tl2br w:val="nil"/>
              <w:tr2bl w:val="nil"/>
            </w:tcBorders>
            <w:vAlign w:val="center"/>
          </w:tcPr>
          <w:p w14:paraId="7DA3A4A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是否促进优秀人才进入干部队伍</w:t>
            </w:r>
          </w:p>
        </w:tc>
        <w:tc>
          <w:tcPr>
            <w:tcW w:w="660" w:type="dxa"/>
            <w:tcBorders>
              <w:tl2br w:val="nil"/>
              <w:tr2bl w:val="nil"/>
            </w:tcBorders>
            <w:vAlign w:val="center"/>
          </w:tcPr>
          <w:p w14:paraId="68D60D4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文字描述</w:t>
            </w:r>
          </w:p>
        </w:tc>
        <w:tc>
          <w:tcPr>
            <w:tcW w:w="450" w:type="dxa"/>
            <w:tcBorders>
              <w:tl2br w:val="nil"/>
              <w:tr2bl w:val="nil"/>
            </w:tcBorders>
            <w:vAlign w:val="center"/>
          </w:tcPr>
          <w:p w14:paraId="5A030A3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p>
        </w:tc>
        <w:tc>
          <w:tcPr>
            <w:tcW w:w="630" w:type="dxa"/>
            <w:tcBorders>
              <w:tl2br w:val="nil"/>
              <w:tr2bl w:val="nil"/>
            </w:tcBorders>
            <w:vAlign w:val="center"/>
          </w:tcPr>
          <w:p w14:paraId="0CF82A5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促进</w:t>
            </w:r>
          </w:p>
        </w:tc>
        <w:tc>
          <w:tcPr>
            <w:tcW w:w="2597" w:type="dxa"/>
            <w:tcBorders>
              <w:tl2br w:val="nil"/>
              <w:tr2bl w:val="nil"/>
            </w:tcBorders>
            <w:vAlign w:val="center"/>
          </w:tcPr>
          <w:p w14:paraId="42645D3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招录要求</w:t>
            </w:r>
          </w:p>
        </w:tc>
      </w:tr>
      <w:tr w14:paraId="28EBB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612" w:type="dxa"/>
            <w:vMerge w:val="continue"/>
            <w:tcBorders>
              <w:tl2br w:val="nil"/>
              <w:tr2bl w:val="nil"/>
            </w:tcBorders>
            <w:vAlign w:val="center"/>
          </w:tcPr>
          <w:p w14:paraId="1F667CFC">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7A58096D">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满意度</w:t>
            </w:r>
          </w:p>
        </w:tc>
        <w:tc>
          <w:tcPr>
            <w:tcW w:w="1940" w:type="dxa"/>
            <w:tcBorders>
              <w:tl2br w:val="nil"/>
              <w:tr2bl w:val="nil"/>
            </w:tcBorders>
            <w:vAlign w:val="center"/>
          </w:tcPr>
          <w:p w14:paraId="3970AD8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公务员能力提升</w:t>
            </w:r>
          </w:p>
        </w:tc>
        <w:tc>
          <w:tcPr>
            <w:tcW w:w="3270" w:type="dxa"/>
            <w:tcBorders>
              <w:tl2br w:val="nil"/>
              <w:tr2bl w:val="nil"/>
            </w:tcBorders>
            <w:vAlign w:val="center"/>
          </w:tcPr>
          <w:p w14:paraId="508B001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提升得满分，未提升不得分</w:t>
            </w:r>
          </w:p>
        </w:tc>
        <w:tc>
          <w:tcPr>
            <w:tcW w:w="3240" w:type="dxa"/>
            <w:tcBorders>
              <w:tl2br w:val="nil"/>
              <w:tr2bl w:val="nil"/>
            </w:tcBorders>
            <w:vAlign w:val="center"/>
          </w:tcPr>
          <w:p w14:paraId="6BEB770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反映公务员服务社会能力提升情况</w:t>
            </w:r>
          </w:p>
        </w:tc>
        <w:tc>
          <w:tcPr>
            <w:tcW w:w="660" w:type="dxa"/>
            <w:tcBorders>
              <w:tl2br w:val="nil"/>
              <w:tr2bl w:val="nil"/>
            </w:tcBorders>
            <w:vAlign w:val="center"/>
          </w:tcPr>
          <w:p w14:paraId="59147288">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文字描述</w:t>
            </w:r>
          </w:p>
        </w:tc>
        <w:tc>
          <w:tcPr>
            <w:tcW w:w="450" w:type="dxa"/>
            <w:tcBorders>
              <w:tl2br w:val="nil"/>
              <w:tr2bl w:val="nil"/>
            </w:tcBorders>
            <w:vAlign w:val="center"/>
          </w:tcPr>
          <w:p w14:paraId="2DB73344">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p>
        </w:tc>
        <w:tc>
          <w:tcPr>
            <w:tcW w:w="630" w:type="dxa"/>
            <w:tcBorders>
              <w:tl2br w:val="nil"/>
              <w:tr2bl w:val="nil"/>
            </w:tcBorders>
            <w:vAlign w:val="center"/>
          </w:tcPr>
          <w:p w14:paraId="30CEEF47">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提升</w:t>
            </w:r>
          </w:p>
        </w:tc>
        <w:tc>
          <w:tcPr>
            <w:tcW w:w="2597" w:type="dxa"/>
            <w:tcBorders>
              <w:tl2br w:val="nil"/>
              <w:tr2bl w:val="nil"/>
            </w:tcBorders>
            <w:vAlign w:val="center"/>
          </w:tcPr>
          <w:p w14:paraId="245AA5DE">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工作总结</w:t>
            </w:r>
          </w:p>
        </w:tc>
      </w:tr>
      <w:tr w14:paraId="6B56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70" w:hRule="atLeast"/>
        </w:trPr>
        <w:tc>
          <w:tcPr>
            <w:tcW w:w="612" w:type="dxa"/>
            <w:vMerge w:val="continue"/>
            <w:tcBorders>
              <w:tl2br w:val="nil"/>
              <w:tr2bl w:val="nil"/>
            </w:tcBorders>
            <w:vAlign w:val="center"/>
          </w:tcPr>
          <w:p w14:paraId="27BC7A89">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636" w:type="dxa"/>
            <w:tcBorders>
              <w:tl2br w:val="nil"/>
              <w:tr2bl w:val="nil"/>
            </w:tcBorders>
            <w:vAlign w:val="center"/>
          </w:tcPr>
          <w:p w14:paraId="59419C4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满意度</w:t>
            </w:r>
          </w:p>
        </w:tc>
        <w:tc>
          <w:tcPr>
            <w:tcW w:w="1940" w:type="dxa"/>
            <w:tcBorders>
              <w:tl2br w:val="nil"/>
              <w:tr2bl w:val="nil"/>
            </w:tcBorders>
            <w:noWrap/>
            <w:vAlign w:val="center"/>
          </w:tcPr>
          <w:p w14:paraId="021D1BC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查档人员满意度　</w:t>
            </w:r>
          </w:p>
        </w:tc>
        <w:tc>
          <w:tcPr>
            <w:tcW w:w="3270" w:type="dxa"/>
            <w:tcBorders>
              <w:tl2br w:val="nil"/>
              <w:tr2bl w:val="nil"/>
            </w:tcBorders>
            <w:noWrap/>
            <w:vAlign w:val="center"/>
          </w:tcPr>
          <w:p w14:paraId="798B93B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满意度达到95%以上得满分，每降低3%扣权重分10%。</w:t>
            </w:r>
          </w:p>
        </w:tc>
        <w:tc>
          <w:tcPr>
            <w:tcW w:w="3240" w:type="dxa"/>
            <w:tcBorders>
              <w:tl2br w:val="nil"/>
              <w:tr2bl w:val="nil"/>
            </w:tcBorders>
            <w:noWrap/>
            <w:vAlign w:val="center"/>
          </w:tcPr>
          <w:p w14:paraId="661415DF">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抽样考察档案查阅人员满意度　</w:t>
            </w:r>
          </w:p>
        </w:tc>
        <w:tc>
          <w:tcPr>
            <w:tcW w:w="660" w:type="dxa"/>
            <w:tcBorders>
              <w:tl2br w:val="nil"/>
              <w:tr2bl w:val="nil"/>
            </w:tcBorders>
            <w:vAlign w:val="center"/>
          </w:tcPr>
          <w:p w14:paraId="2CBB95CB">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450" w:type="dxa"/>
            <w:tcBorders>
              <w:tl2br w:val="nil"/>
              <w:tr2bl w:val="nil"/>
            </w:tcBorders>
            <w:vAlign w:val="center"/>
          </w:tcPr>
          <w:p w14:paraId="655CC56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95</w:t>
            </w:r>
          </w:p>
        </w:tc>
        <w:tc>
          <w:tcPr>
            <w:tcW w:w="630" w:type="dxa"/>
            <w:tcBorders>
              <w:tl2br w:val="nil"/>
              <w:tr2bl w:val="nil"/>
            </w:tcBorders>
            <w:vAlign w:val="center"/>
          </w:tcPr>
          <w:p w14:paraId="03F34746">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rPr>
              <w:t>%</w:t>
            </w:r>
          </w:p>
        </w:tc>
        <w:tc>
          <w:tcPr>
            <w:tcW w:w="2597" w:type="dxa"/>
            <w:tcBorders>
              <w:tl2br w:val="nil"/>
              <w:tr2bl w:val="nil"/>
            </w:tcBorders>
            <w:vAlign w:val="center"/>
          </w:tcPr>
          <w:p w14:paraId="26E53DA3">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调查问卷</w:t>
            </w:r>
          </w:p>
        </w:tc>
      </w:tr>
      <w:tr w14:paraId="145B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71" w:hRule="atLeast"/>
        </w:trPr>
        <w:tc>
          <w:tcPr>
            <w:tcW w:w="612" w:type="dxa"/>
            <w:vMerge w:val="continue"/>
          </w:tcPr>
          <w:p w14:paraId="11E91299">
            <w:pPr>
              <w:keepNext w:val="0"/>
              <w:keepLines w:val="0"/>
              <w:pageBreakBefore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p>
        </w:tc>
        <w:tc>
          <w:tcPr>
            <w:tcW w:w="0" w:type="auto"/>
            <w:vAlign w:val="center"/>
          </w:tcPr>
          <w:p w14:paraId="2DB7A1B6">
            <w:pPr>
              <w:keepNext w:val="0"/>
              <w:keepLines w:val="0"/>
              <w:pageBreakBefore w:val="0"/>
              <w:widowControl/>
              <w:suppressLineNumbers w:val="0"/>
              <w:kinsoku/>
              <w:wordWrap/>
              <w:topLinePunct w:val="0"/>
              <w:autoSpaceDE/>
              <w:autoSpaceDN/>
              <w:bidi w:val="0"/>
              <w:spacing w:line="24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highlight w:val="none"/>
              </w:rPr>
              <w:t>满意度</w:t>
            </w:r>
          </w:p>
        </w:tc>
        <w:tc>
          <w:tcPr>
            <w:tcW w:w="1940" w:type="dxa"/>
            <w:vAlign w:val="center"/>
          </w:tcPr>
          <w:p w14:paraId="632B610C">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受训对象满意度</w:t>
            </w:r>
          </w:p>
        </w:tc>
        <w:tc>
          <w:tcPr>
            <w:tcW w:w="3270" w:type="dxa"/>
            <w:vAlign w:val="center"/>
          </w:tcPr>
          <w:p w14:paraId="3666384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满意度大于或等于95%的，得权重分值的100%；满意度小于或等于60%的，得0分；满意度在60%—95%之间的，得分=（实际值-60%）/30%*权重分值</w:t>
            </w:r>
          </w:p>
        </w:tc>
        <w:tc>
          <w:tcPr>
            <w:tcW w:w="3240" w:type="dxa"/>
            <w:vAlign w:val="center"/>
          </w:tcPr>
          <w:p w14:paraId="4A5E239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参训学员及领导对培训工作的满意度</w:t>
            </w:r>
          </w:p>
        </w:tc>
        <w:tc>
          <w:tcPr>
            <w:tcW w:w="660" w:type="dxa"/>
            <w:vAlign w:val="center"/>
          </w:tcPr>
          <w:p w14:paraId="06E78FA9">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450" w:type="dxa"/>
            <w:vAlign w:val="center"/>
          </w:tcPr>
          <w:p w14:paraId="2AAD7ECD">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95</w:t>
            </w:r>
          </w:p>
        </w:tc>
        <w:tc>
          <w:tcPr>
            <w:tcW w:w="630" w:type="dxa"/>
            <w:vAlign w:val="center"/>
          </w:tcPr>
          <w:p w14:paraId="22919D1A">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w:t>
            </w:r>
          </w:p>
        </w:tc>
        <w:tc>
          <w:tcPr>
            <w:tcW w:w="2597" w:type="dxa"/>
            <w:vAlign w:val="center"/>
          </w:tcPr>
          <w:p w14:paraId="0A1DC2F1">
            <w:pPr>
              <w:keepNext w:val="0"/>
              <w:keepLines w:val="0"/>
              <w:pageBreakBefore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rPr>
              <w:t>调查问卷</w:t>
            </w:r>
          </w:p>
        </w:tc>
      </w:tr>
    </w:tbl>
    <w:p w14:paraId="2944C2D4">
      <w:pPr>
        <w:spacing w:line="584" w:lineRule="exact"/>
        <w:ind w:firstLine="640" w:firstLineChars="200"/>
        <w:rPr>
          <w:rFonts w:hint="default" w:ascii="Times New Roman" w:hAnsi="Times New Roman" w:eastAsia="黑体" w:cs="Times New Roman"/>
          <w:sz w:val="32"/>
          <w:szCs w:val="32"/>
        </w:rPr>
      </w:pPr>
    </w:p>
    <w:p w14:paraId="34F426D9">
      <w:pPr>
        <w:spacing w:line="584" w:lineRule="exact"/>
        <w:ind w:firstLine="640" w:firstLineChars="200"/>
        <w:rPr>
          <w:rFonts w:hint="default" w:ascii="Times New Roman" w:hAnsi="Times New Roman" w:eastAsia="黑体" w:cs="Times New Roman"/>
          <w:sz w:val="32"/>
          <w:szCs w:val="32"/>
        </w:rPr>
      </w:pPr>
    </w:p>
    <w:p w14:paraId="60ED3E3D">
      <w:pPr>
        <w:spacing w:line="584"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第二部分 资金绩效目标</w:t>
      </w:r>
    </w:p>
    <w:p w14:paraId="74ACE14C">
      <w:pPr>
        <w:pStyle w:val="23"/>
        <w:ind w:firstLine="560"/>
        <w:rPr>
          <w:rFonts w:hint="default" w:ascii="Times New Roman" w:hAnsi="Times New Roman" w:cs="Times New Roman"/>
        </w:rPr>
      </w:pPr>
      <w:r>
        <w:rPr>
          <w:rFonts w:hint="default" w:ascii="Times New Roman" w:hAnsi="Times New Roman" w:eastAsia="楷体_GB2312" w:cs="Times New Roman"/>
          <w:b/>
          <w:bCs/>
          <w:sz w:val="32"/>
          <w:szCs w:val="32"/>
        </w:rPr>
        <w:t>1.</w:t>
      </w:r>
      <w:r>
        <w:rPr>
          <w:rFonts w:hint="default" w:ascii="Times New Roman" w:hAnsi="Times New Roman" w:eastAsia="楷体_GB2312" w:cs="Times New Roman"/>
          <w:b/>
          <w:bCs/>
          <w:color w:val="000000"/>
          <w:sz w:val="32"/>
          <w:szCs w:val="32"/>
        </w:rPr>
        <w:t>机关工作经费绩效目标表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7ED9356">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2F8F0B02">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2493C9F3">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1.全力做好机关运行保障工作，保障基本业务开展。</w:t>
            </w:r>
          </w:p>
          <w:p w14:paraId="3CCA0641">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2.加强机关工作人员培训，提高工作人员服务群众能力。</w:t>
            </w:r>
          </w:p>
        </w:tc>
      </w:tr>
    </w:tbl>
    <w:p w14:paraId="55D4278C">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C4ACC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5751218F">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18DABF3A">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5AD14865">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7F705B71">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7B34832A">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0AF1A1CD">
            <w:pPr>
              <w:pStyle w:val="24"/>
              <w:rPr>
                <w:rFonts w:hint="default" w:ascii="Times New Roman" w:hAnsi="Times New Roman" w:cs="Times New Roman"/>
              </w:rPr>
            </w:pPr>
            <w:r>
              <w:rPr>
                <w:rFonts w:hint="default" w:ascii="Times New Roman" w:hAnsi="Times New Roman" w:cs="Times New Roman"/>
              </w:rPr>
              <w:t>指标值确定依据</w:t>
            </w:r>
          </w:p>
        </w:tc>
      </w:tr>
      <w:tr w14:paraId="2DCF37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9D7AF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uk-UA" w:bidi="ar"/>
              </w:rPr>
            </w:pPr>
            <w:r>
              <w:rPr>
                <w:rFonts w:hint="default" w:ascii="Times New Roman" w:hAnsi="Times New Roman" w:eastAsia="宋体" w:cs="Times New Roman"/>
                <w:i w:val="0"/>
                <w:iCs w:val="0"/>
                <w:color w:val="000000"/>
                <w:kern w:val="0"/>
                <w:sz w:val="22"/>
                <w:szCs w:val="22"/>
                <w:u w:val="none"/>
                <w:lang w:val="en-US" w:eastAsia="zh-CN" w:bidi="ar"/>
              </w:rPr>
              <w:t>产出指标</w:t>
            </w:r>
          </w:p>
          <w:p w14:paraId="63E82E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61711C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78B619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培训覆盖率</w:t>
            </w:r>
          </w:p>
        </w:tc>
        <w:tc>
          <w:tcPr>
            <w:tcW w:w="2835" w:type="dxa"/>
            <w:vAlign w:val="center"/>
          </w:tcPr>
          <w:p w14:paraId="1D79F3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本年度部机关工作人员参加业务培训人数占总人数的百分比</w:t>
            </w:r>
          </w:p>
        </w:tc>
        <w:tc>
          <w:tcPr>
            <w:tcW w:w="2551" w:type="dxa"/>
            <w:vAlign w:val="center"/>
          </w:tcPr>
          <w:p w14:paraId="0F9C44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2268" w:type="dxa"/>
            <w:vAlign w:val="center"/>
          </w:tcPr>
          <w:p w14:paraId="4B6563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培训计划</w:t>
            </w:r>
          </w:p>
        </w:tc>
      </w:tr>
      <w:tr w14:paraId="635BD1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816CCF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50AE9F0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2D45E2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印刷质量情况</w:t>
            </w:r>
          </w:p>
        </w:tc>
        <w:tc>
          <w:tcPr>
            <w:tcW w:w="2835" w:type="dxa"/>
            <w:vAlign w:val="center"/>
          </w:tcPr>
          <w:p w14:paraId="22BCC7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考察文件印刷质量是否合格</w:t>
            </w:r>
          </w:p>
        </w:tc>
        <w:tc>
          <w:tcPr>
            <w:tcW w:w="2551" w:type="dxa"/>
            <w:vAlign w:val="center"/>
          </w:tcPr>
          <w:p w14:paraId="49CFB66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合格</w:t>
            </w:r>
          </w:p>
        </w:tc>
        <w:tc>
          <w:tcPr>
            <w:tcW w:w="2268" w:type="dxa"/>
            <w:vAlign w:val="center"/>
          </w:tcPr>
          <w:p w14:paraId="180F48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合同约定</w:t>
            </w:r>
          </w:p>
        </w:tc>
      </w:tr>
      <w:tr w14:paraId="0013F0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9607A2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616221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565B42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培训内容更新及时性</w:t>
            </w:r>
          </w:p>
        </w:tc>
        <w:tc>
          <w:tcPr>
            <w:tcW w:w="2835" w:type="dxa"/>
            <w:vAlign w:val="center"/>
          </w:tcPr>
          <w:p w14:paraId="5A6B3A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考察机关培训内容是否及时更新</w:t>
            </w:r>
          </w:p>
        </w:tc>
        <w:tc>
          <w:tcPr>
            <w:tcW w:w="2551" w:type="dxa"/>
            <w:vAlign w:val="center"/>
          </w:tcPr>
          <w:p w14:paraId="457716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w:t>
            </w:r>
          </w:p>
        </w:tc>
        <w:tc>
          <w:tcPr>
            <w:tcW w:w="2268" w:type="dxa"/>
            <w:vAlign w:val="center"/>
          </w:tcPr>
          <w:p w14:paraId="7EB468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培训计划</w:t>
            </w:r>
          </w:p>
        </w:tc>
      </w:tr>
      <w:tr w14:paraId="3CC378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4C176E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607B18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1AB524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印刷成本</w:t>
            </w:r>
          </w:p>
        </w:tc>
        <w:tc>
          <w:tcPr>
            <w:tcW w:w="2835" w:type="dxa"/>
            <w:vAlign w:val="center"/>
          </w:tcPr>
          <w:p w14:paraId="34D654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考察印刷成本是否超过合同约定</w:t>
            </w:r>
          </w:p>
        </w:tc>
        <w:tc>
          <w:tcPr>
            <w:tcW w:w="2551" w:type="dxa"/>
            <w:vAlign w:val="center"/>
          </w:tcPr>
          <w:p w14:paraId="48EE7E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不超标</w:t>
            </w:r>
          </w:p>
        </w:tc>
        <w:tc>
          <w:tcPr>
            <w:tcW w:w="2268" w:type="dxa"/>
            <w:vAlign w:val="center"/>
          </w:tcPr>
          <w:p w14:paraId="4835909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合同约定</w:t>
            </w:r>
          </w:p>
        </w:tc>
      </w:tr>
      <w:tr w14:paraId="383822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56CC85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uk-UA" w:bidi="ar"/>
              </w:rPr>
            </w:pPr>
            <w:r>
              <w:rPr>
                <w:rFonts w:hint="default" w:ascii="Times New Roman" w:hAnsi="Times New Roman" w:eastAsia="宋体" w:cs="Times New Roman"/>
                <w:i w:val="0"/>
                <w:iCs w:val="0"/>
                <w:color w:val="000000"/>
                <w:kern w:val="0"/>
                <w:sz w:val="22"/>
                <w:szCs w:val="22"/>
                <w:u w:val="none"/>
                <w:lang w:val="en-US" w:eastAsia="zh-CN" w:bidi="ar"/>
              </w:rPr>
              <w:t>效益指标</w:t>
            </w:r>
          </w:p>
          <w:p w14:paraId="2F0079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613C8A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7666E1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机关工作人员服务群众能力</w:t>
            </w:r>
          </w:p>
        </w:tc>
        <w:tc>
          <w:tcPr>
            <w:tcW w:w="2835" w:type="dxa"/>
            <w:vAlign w:val="center"/>
          </w:tcPr>
          <w:p w14:paraId="5013783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机关工作人员服务群众能力是否提升</w:t>
            </w:r>
          </w:p>
        </w:tc>
        <w:tc>
          <w:tcPr>
            <w:tcW w:w="2551" w:type="dxa"/>
            <w:vAlign w:val="center"/>
          </w:tcPr>
          <w:p w14:paraId="2BB5FB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37CB8B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工作要求</w:t>
            </w:r>
          </w:p>
        </w:tc>
      </w:tr>
      <w:tr w14:paraId="43FF40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D55BD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5CC6CD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可持续影响指标</w:t>
            </w:r>
          </w:p>
        </w:tc>
        <w:tc>
          <w:tcPr>
            <w:tcW w:w="2835" w:type="dxa"/>
            <w:vAlign w:val="center"/>
          </w:tcPr>
          <w:p w14:paraId="2E1347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机关工作人员工作积极性</w:t>
            </w:r>
          </w:p>
        </w:tc>
        <w:tc>
          <w:tcPr>
            <w:tcW w:w="2835" w:type="dxa"/>
            <w:vAlign w:val="center"/>
          </w:tcPr>
          <w:p w14:paraId="2DBFC5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机关工作人员工作积极性是否提升</w:t>
            </w:r>
          </w:p>
        </w:tc>
        <w:tc>
          <w:tcPr>
            <w:tcW w:w="2551" w:type="dxa"/>
            <w:vAlign w:val="center"/>
          </w:tcPr>
          <w:p w14:paraId="691AE3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657A2C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工作要求</w:t>
            </w:r>
          </w:p>
        </w:tc>
      </w:tr>
      <w:tr w14:paraId="4E2508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8C369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2C34DC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31BDE9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机关工作人员满意度</w:t>
            </w:r>
          </w:p>
        </w:tc>
        <w:tc>
          <w:tcPr>
            <w:tcW w:w="2835" w:type="dxa"/>
            <w:vAlign w:val="center"/>
          </w:tcPr>
          <w:p w14:paraId="2292DD0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机关工作人员对机关日常保障工作满意的占参加调查工作人员的比例</w:t>
            </w:r>
          </w:p>
        </w:tc>
        <w:tc>
          <w:tcPr>
            <w:tcW w:w="2551" w:type="dxa"/>
            <w:vAlign w:val="center"/>
          </w:tcPr>
          <w:p w14:paraId="064300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3C38C2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调查问卷</w:t>
            </w:r>
          </w:p>
        </w:tc>
      </w:tr>
    </w:tbl>
    <w:p w14:paraId="1D66A381">
      <w:pPr>
        <w:pStyle w:val="23"/>
        <w:rPr>
          <w:rFonts w:hint="default" w:ascii="Times New Roman" w:hAnsi="Times New Roman" w:cs="Times New Roman"/>
        </w:rPr>
      </w:pPr>
    </w:p>
    <w:p w14:paraId="57BC3FFE">
      <w:pPr>
        <w:pStyle w:val="23"/>
        <w:ind w:firstLine="560"/>
        <w:rPr>
          <w:rFonts w:hint="default" w:ascii="Times New Roman" w:hAnsi="Times New Roman" w:cs="Times New Roman"/>
        </w:rPr>
      </w:pPr>
      <w:r>
        <w:rPr>
          <w:rFonts w:hint="default" w:ascii="Times New Roman" w:hAnsi="Times New Roman" w:eastAsia="楷体_GB2312" w:cs="Times New Roman"/>
          <w:b/>
          <w:bCs/>
          <w:sz w:val="32"/>
          <w:szCs w:val="32"/>
        </w:rPr>
        <w:t>2</w:t>
      </w:r>
      <w:r>
        <w:rPr>
          <w:rFonts w:hint="eastAsia" w:eastAsia="楷体_GB2312" w:cs="Times New Roman"/>
          <w:b/>
          <w:bCs/>
          <w:sz w:val="32"/>
          <w:szCs w:val="32"/>
          <w:lang w:val="en-US" w:eastAsia="zh-CN"/>
        </w:rPr>
        <w:t>.</w:t>
      </w:r>
      <w:r>
        <w:rPr>
          <w:rFonts w:hint="default" w:ascii="Times New Roman" w:hAnsi="Times New Roman" w:eastAsia="楷体_GB2312" w:cs="Times New Roman"/>
          <w:b/>
          <w:bCs/>
          <w:sz w:val="32"/>
          <w:szCs w:val="32"/>
        </w:rPr>
        <w:t>援藏援疆人员补贴绩效目标表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D24842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66A616D2">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28FD03ED">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1.通过项目的开展，为援藏援疆工作开展提供组织保障。</w:t>
            </w:r>
          </w:p>
          <w:p w14:paraId="06168A71">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2.达到鼓励广大干部人才支援新疆西藏热情。</w:t>
            </w:r>
          </w:p>
        </w:tc>
      </w:tr>
    </w:tbl>
    <w:p w14:paraId="3EF85B24">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23D33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60547C0">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09A13507">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4F441E00">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444B59AA">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7C970653">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1E886172">
            <w:pPr>
              <w:pStyle w:val="24"/>
              <w:rPr>
                <w:rFonts w:hint="default" w:ascii="Times New Roman" w:hAnsi="Times New Roman" w:cs="Times New Roman"/>
              </w:rPr>
            </w:pPr>
            <w:r>
              <w:rPr>
                <w:rFonts w:hint="default" w:ascii="Times New Roman" w:hAnsi="Times New Roman" w:cs="Times New Roman"/>
              </w:rPr>
              <w:t>指标值确定依据</w:t>
            </w:r>
          </w:p>
        </w:tc>
      </w:tr>
      <w:tr w14:paraId="2949B6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1CB4239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361A0B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6AF8499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发放人数</w:t>
            </w:r>
          </w:p>
        </w:tc>
        <w:tc>
          <w:tcPr>
            <w:tcW w:w="2835" w:type="dxa"/>
            <w:vAlign w:val="center"/>
          </w:tcPr>
          <w:p w14:paraId="12C03F9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考察发放人数</w:t>
            </w:r>
          </w:p>
        </w:tc>
        <w:tc>
          <w:tcPr>
            <w:tcW w:w="2551" w:type="dxa"/>
            <w:vAlign w:val="center"/>
          </w:tcPr>
          <w:p w14:paraId="02F430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1人</w:t>
            </w:r>
          </w:p>
        </w:tc>
        <w:tc>
          <w:tcPr>
            <w:tcW w:w="2268" w:type="dxa"/>
            <w:vAlign w:val="center"/>
          </w:tcPr>
          <w:p w14:paraId="4FEF6F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实际情况</w:t>
            </w:r>
          </w:p>
        </w:tc>
      </w:tr>
      <w:tr w14:paraId="6725F8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477CB0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6325EF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28480A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发放准确率</w:t>
            </w:r>
          </w:p>
        </w:tc>
        <w:tc>
          <w:tcPr>
            <w:tcW w:w="2835" w:type="dxa"/>
            <w:vAlign w:val="center"/>
          </w:tcPr>
          <w:p w14:paraId="7891FB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资金发放的准确情况</w:t>
            </w:r>
          </w:p>
        </w:tc>
        <w:tc>
          <w:tcPr>
            <w:tcW w:w="2551" w:type="dxa"/>
            <w:vAlign w:val="center"/>
          </w:tcPr>
          <w:p w14:paraId="29B922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准确</w:t>
            </w:r>
          </w:p>
        </w:tc>
        <w:tc>
          <w:tcPr>
            <w:tcW w:w="2268" w:type="dxa"/>
            <w:vAlign w:val="center"/>
          </w:tcPr>
          <w:p w14:paraId="5C5D97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实际情况</w:t>
            </w:r>
          </w:p>
        </w:tc>
      </w:tr>
      <w:tr w14:paraId="06D027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61C85E6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11234B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5CFAD29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发放及时率</w:t>
            </w:r>
          </w:p>
        </w:tc>
        <w:tc>
          <w:tcPr>
            <w:tcW w:w="2835" w:type="dxa"/>
            <w:vAlign w:val="center"/>
          </w:tcPr>
          <w:p w14:paraId="0666349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是否每次与机关车补通讯费同时发放</w:t>
            </w:r>
          </w:p>
        </w:tc>
        <w:tc>
          <w:tcPr>
            <w:tcW w:w="2551" w:type="dxa"/>
            <w:vAlign w:val="center"/>
          </w:tcPr>
          <w:p w14:paraId="7BF0A3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是</w:t>
            </w:r>
          </w:p>
        </w:tc>
        <w:tc>
          <w:tcPr>
            <w:tcW w:w="2268" w:type="dxa"/>
            <w:vAlign w:val="center"/>
          </w:tcPr>
          <w:p w14:paraId="1FA7CC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实际情况</w:t>
            </w:r>
          </w:p>
        </w:tc>
      </w:tr>
      <w:tr w14:paraId="66D953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7C1EE89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0ECD85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250193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发放成本</w:t>
            </w:r>
          </w:p>
        </w:tc>
        <w:tc>
          <w:tcPr>
            <w:tcW w:w="2835" w:type="dxa"/>
            <w:vAlign w:val="center"/>
          </w:tcPr>
          <w:p w14:paraId="794DC0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补贴发放成本</w:t>
            </w:r>
          </w:p>
        </w:tc>
        <w:tc>
          <w:tcPr>
            <w:tcW w:w="2551" w:type="dxa"/>
            <w:vAlign w:val="center"/>
          </w:tcPr>
          <w:p w14:paraId="786BFF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3.41万元</w:t>
            </w:r>
          </w:p>
        </w:tc>
        <w:tc>
          <w:tcPr>
            <w:tcW w:w="2268" w:type="dxa"/>
            <w:vAlign w:val="center"/>
          </w:tcPr>
          <w:p w14:paraId="2F8214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补贴标准</w:t>
            </w:r>
          </w:p>
        </w:tc>
      </w:tr>
      <w:tr w14:paraId="6541AF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610167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5C5F02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7021A8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鼓励干部人才支援新疆西藏热情</w:t>
            </w:r>
          </w:p>
        </w:tc>
        <w:tc>
          <w:tcPr>
            <w:tcW w:w="2835" w:type="dxa"/>
            <w:vAlign w:val="center"/>
          </w:tcPr>
          <w:p w14:paraId="26861D4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是否达到鼓励干部人才支援新疆西藏热情效果</w:t>
            </w:r>
          </w:p>
        </w:tc>
        <w:tc>
          <w:tcPr>
            <w:tcW w:w="2551" w:type="dxa"/>
            <w:vAlign w:val="center"/>
          </w:tcPr>
          <w:p w14:paraId="62BBC6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达到</w:t>
            </w:r>
          </w:p>
        </w:tc>
        <w:tc>
          <w:tcPr>
            <w:tcW w:w="2268" w:type="dxa"/>
            <w:vAlign w:val="center"/>
          </w:tcPr>
          <w:p w14:paraId="3855E13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申请援疆援藏情况</w:t>
            </w:r>
          </w:p>
        </w:tc>
      </w:tr>
      <w:tr w14:paraId="63F64D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2F42D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41F5F3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286756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援疆人员满意度</w:t>
            </w:r>
          </w:p>
        </w:tc>
        <w:tc>
          <w:tcPr>
            <w:tcW w:w="2835" w:type="dxa"/>
            <w:vAlign w:val="center"/>
          </w:tcPr>
          <w:p w14:paraId="5775BD2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考察本单援疆人员位待遇保障工作的满意率</w:t>
            </w:r>
          </w:p>
        </w:tc>
        <w:tc>
          <w:tcPr>
            <w:tcW w:w="2551" w:type="dxa"/>
            <w:vAlign w:val="center"/>
          </w:tcPr>
          <w:p w14:paraId="68931CB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268" w:type="dxa"/>
            <w:vAlign w:val="center"/>
          </w:tcPr>
          <w:p w14:paraId="4987B16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问卷调查</w:t>
            </w:r>
          </w:p>
        </w:tc>
      </w:tr>
    </w:tbl>
    <w:p w14:paraId="507FB461">
      <w:pPr>
        <w:pStyle w:val="23"/>
        <w:rPr>
          <w:rFonts w:hint="default" w:ascii="Times New Roman" w:hAnsi="Times New Roman" w:cs="Times New Roman"/>
        </w:rPr>
      </w:pPr>
    </w:p>
    <w:p w14:paraId="086E9C21">
      <w:pPr>
        <w:pStyle w:val="23"/>
        <w:rPr>
          <w:rFonts w:hint="default" w:ascii="Times New Roman" w:hAnsi="Times New Roman" w:cs="Times New Roman"/>
        </w:rPr>
      </w:pPr>
    </w:p>
    <w:p w14:paraId="48B56F69">
      <w:pPr>
        <w:pStyle w:val="23"/>
        <w:rPr>
          <w:rFonts w:hint="default" w:ascii="Times New Roman" w:hAnsi="Times New Roman" w:cs="Times New Roman"/>
        </w:rPr>
      </w:pPr>
    </w:p>
    <w:p w14:paraId="214A89E4">
      <w:pPr>
        <w:pStyle w:val="23"/>
        <w:rPr>
          <w:rFonts w:hint="default" w:ascii="Times New Roman" w:hAnsi="Times New Roman" w:cs="Times New Roman"/>
        </w:rPr>
      </w:pPr>
    </w:p>
    <w:p w14:paraId="5DAF60AA">
      <w:pPr>
        <w:pStyle w:val="23"/>
        <w:ind w:firstLine="560"/>
        <w:rPr>
          <w:rFonts w:hint="default" w:ascii="Times New Roman" w:hAnsi="Times New Roman" w:cs="Times New Roman"/>
        </w:rPr>
      </w:pPr>
      <w:r>
        <w:rPr>
          <w:rFonts w:hint="default" w:ascii="Times New Roman" w:hAnsi="Times New Roman" w:eastAsia="楷体_GB2312" w:cs="Times New Roman"/>
          <w:b/>
          <w:bCs/>
          <w:sz w:val="32"/>
          <w:szCs w:val="32"/>
        </w:rPr>
        <w:t>3</w:t>
      </w:r>
      <w:r>
        <w:rPr>
          <w:rFonts w:hint="eastAsia" w:eastAsia="楷体_GB2312" w:cs="Times New Roman"/>
          <w:b/>
          <w:bCs/>
          <w:sz w:val="32"/>
          <w:szCs w:val="32"/>
          <w:lang w:val="en-US" w:eastAsia="zh-CN"/>
        </w:rPr>
        <w:t>.党建培训经费绩效目标表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8F48EC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6E11DB1D">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1812F90B">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1.基层党组织书记执政能力和领导水平得到提升。</w:t>
            </w:r>
          </w:p>
          <w:p w14:paraId="207BD85B">
            <w:pPr>
              <w:keepNext w:val="0"/>
              <w:keepLines w:val="0"/>
              <w:widowControl/>
              <w:suppressLineNumbers w:val="0"/>
              <w:jc w:val="left"/>
              <w:textAlignment w:val="top"/>
              <w:rPr>
                <w:rFonts w:hint="default" w:ascii="Times New Roman" w:hAnsi="Times New Roman" w:cs="Times New Roman"/>
              </w:rPr>
            </w:pPr>
            <w:r>
              <w:rPr>
                <w:rFonts w:hint="default" w:ascii="Times New Roman" w:hAnsi="Times New Roman" w:cs="Times New Roman"/>
              </w:rPr>
              <w:t>2.基层干部创业热情进一步激发。</w:t>
            </w:r>
          </w:p>
        </w:tc>
      </w:tr>
    </w:tbl>
    <w:p w14:paraId="3639497D">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B4FE8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4F86C64C">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62FDB56A">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25F02B67">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6F4E3CD9">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286B9E32">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42846D4B">
            <w:pPr>
              <w:pStyle w:val="24"/>
              <w:rPr>
                <w:rFonts w:hint="default" w:ascii="Times New Roman" w:hAnsi="Times New Roman" w:cs="Times New Roman"/>
              </w:rPr>
            </w:pPr>
            <w:r>
              <w:rPr>
                <w:rFonts w:hint="default" w:ascii="Times New Roman" w:hAnsi="Times New Roman" w:cs="Times New Roman"/>
              </w:rPr>
              <w:t>指标值确定依据</w:t>
            </w:r>
          </w:p>
        </w:tc>
      </w:tr>
      <w:tr w14:paraId="56789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41180F7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0F0286E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739F027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培训完成率</w:t>
            </w:r>
          </w:p>
        </w:tc>
        <w:tc>
          <w:tcPr>
            <w:tcW w:w="2835" w:type="dxa"/>
            <w:vAlign w:val="center"/>
          </w:tcPr>
          <w:p w14:paraId="3183D25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参加培训人员数量占应培训人员数量百分比</w:t>
            </w:r>
          </w:p>
        </w:tc>
        <w:tc>
          <w:tcPr>
            <w:tcW w:w="2551" w:type="dxa"/>
            <w:vAlign w:val="center"/>
          </w:tcPr>
          <w:p w14:paraId="6B6C315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2268" w:type="dxa"/>
            <w:vAlign w:val="center"/>
          </w:tcPr>
          <w:p w14:paraId="29633C1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7ED6EE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2A895972">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DC786F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70AAC5E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培训优秀率</w:t>
            </w:r>
          </w:p>
        </w:tc>
        <w:tc>
          <w:tcPr>
            <w:tcW w:w="2835" w:type="dxa"/>
            <w:vAlign w:val="center"/>
          </w:tcPr>
          <w:p w14:paraId="601F7D1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考察参训学员优秀情况</w:t>
            </w:r>
          </w:p>
        </w:tc>
        <w:tc>
          <w:tcPr>
            <w:tcW w:w="2551" w:type="dxa"/>
            <w:vAlign w:val="center"/>
          </w:tcPr>
          <w:p w14:paraId="7DFE6E0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2268" w:type="dxa"/>
            <w:vAlign w:val="center"/>
          </w:tcPr>
          <w:p w14:paraId="447BF35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7F3AE8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18D3399C">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24115BE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3D276A5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培训内容时效性</w:t>
            </w:r>
          </w:p>
        </w:tc>
        <w:tc>
          <w:tcPr>
            <w:tcW w:w="2835" w:type="dxa"/>
            <w:vAlign w:val="center"/>
          </w:tcPr>
          <w:p w14:paraId="346B463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培训内容是否及时体现基层党建最新要求</w:t>
            </w:r>
          </w:p>
        </w:tc>
        <w:tc>
          <w:tcPr>
            <w:tcW w:w="2551" w:type="dxa"/>
            <w:vAlign w:val="center"/>
          </w:tcPr>
          <w:p w14:paraId="5DA6D5A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w:t>
            </w:r>
          </w:p>
        </w:tc>
        <w:tc>
          <w:tcPr>
            <w:tcW w:w="2268" w:type="dxa"/>
            <w:vAlign w:val="center"/>
          </w:tcPr>
          <w:p w14:paraId="03510E5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7EAD82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5925E6D8">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86E077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6A5A27D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培训标准</w:t>
            </w:r>
          </w:p>
        </w:tc>
        <w:tc>
          <w:tcPr>
            <w:tcW w:w="2835" w:type="dxa"/>
            <w:vAlign w:val="center"/>
          </w:tcPr>
          <w:p w14:paraId="7F83832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培训费用是否超标</w:t>
            </w:r>
          </w:p>
        </w:tc>
        <w:tc>
          <w:tcPr>
            <w:tcW w:w="2551" w:type="dxa"/>
            <w:vAlign w:val="center"/>
          </w:tcPr>
          <w:p w14:paraId="47972D8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未超标</w:t>
            </w:r>
          </w:p>
        </w:tc>
        <w:tc>
          <w:tcPr>
            <w:tcW w:w="2268" w:type="dxa"/>
            <w:vAlign w:val="center"/>
          </w:tcPr>
          <w:p w14:paraId="2B3A77E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培训费管理办法</w:t>
            </w:r>
          </w:p>
        </w:tc>
      </w:tr>
      <w:tr w14:paraId="644B8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3E16D14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27A0875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653E800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村党组织服务群众能力</w:t>
            </w:r>
          </w:p>
        </w:tc>
        <w:tc>
          <w:tcPr>
            <w:tcW w:w="2835" w:type="dxa"/>
            <w:vAlign w:val="center"/>
          </w:tcPr>
          <w:p w14:paraId="750959F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培训后村党组织服务群众能力是否提升</w:t>
            </w:r>
          </w:p>
        </w:tc>
        <w:tc>
          <w:tcPr>
            <w:tcW w:w="2551" w:type="dxa"/>
            <w:vAlign w:val="center"/>
          </w:tcPr>
          <w:p w14:paraId="215E93F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0C78C57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538332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C53D045">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5266DCB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可持续影响指标</w:t>
            </w:r>
          </w:p>
        </w:tc>
        <w:tc>
          <w:tcPr>
            <w:tcW w:w="2835" w:type="dxa"/>
            <w:vAlign w:val="center"/>
          </w:tcPr>
          <w:p w14:paraId="1093812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基层干部履职能力</w:t>
            </w:r>
          </w:p>
        </w:tc>
        <w:tc>
          <w:tcPr>
            <w:tcW w:w="2835" w:type="dxa"/>
            <w:vAlign w:val="center"/>
          </w:tcPr>
          <w:p w14:paraId="5AE95E0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基层干部履职能力是否持续提升</w:t>
            </w:r>
          </w:p>
        </w:tc>
        <w:tc>
          <w:tcPr>
            <w:tcW w:w="2551" w:type="dxa"/>
            <w:vAlign w:val="center"/>
          </w:tcPr>
          <w:p w14:paraId="296B182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0667725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19038E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8AC437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39DBA80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23B19FA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参训学员满意度</w:t>
            </w:r>
          </w:p>
        </w:tc>
        <w:tc>
          <w:tcPr>
            <w:tcW w:w="2835" w:type="dxa"/>
            <w:vAlign w:val="center"/>
          </w:tcPr>
          <w:p w14:paraId="5B11297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抽查参训学员满意度</w:t>
            </w:r>
          </w:p>
        </w:tc>
        <w:tc>
          <w:tcPr>
            <w:tcW w:w="2551" w:type="dxa"/>
            <w:vAlign w:val="center"/>
          </w:tcPr>
          <w:p w14:paraId="71DDCAF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2268" w:type="dxa"/>
            <w:vAlign w:val="center"/>
          </w:tcPr>
          <w:p w14:paraId="3A763DA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问卷调查</w:t>
            </w:r>
          </w:p>
        </w:tc>
      </w:tr>
    </w:tbl>
    <w:p w14:paraId="733786B3">
      <w:pPr>
        <w:pStyle w:val="23"/>
        <w:rPr>
          <w:rFonts w:hint="default" w:ascii="Times New Roman" w:hAnsi="Times New Roman" w:cs="Times New Roman"/>
        </w:rPr>
      </w:pPr>
    </w:p>
    <w:p w14:paraId="4A807CCF">
      <w:pPr>
        <w:pStyle w:val="23"/>
        <w:ind w:firstLine="560"/>
        <w:rPr>
          <w:rFonts w:hint="default" w:ascii="Times New Roman" w:hAnsi="Times New Roman" w:eastAsia="楷体_GB2312" w:cs="Times New Roman"/>
          <w:b/>
          <w:bCs/>
          <w:sz w:val="32"/>
          <w:szCs w:val="32"/>
        </w:rPr>
      </w:pPr>
    </w:p>
    <w:p w14:paraId="40335D1A">
      <w:pPr>
        <w:pStyle w:val="23"/>
        <w:ind w:firstLine="56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4</w:t>
      </w:r>
      <w:r>
        <w:rPr>
          <w:rFonts w:hint="eastAsia" w:eastAsia="楷体_GB2312" w:cs="Times New Roman"/>
          <w:b/>
          <w:bCs/>
          <w:sz w:val="32"/>
          <w:szCs w:val="32"/>
          <w:highlight w:val="none"/>
          <w:lang w:val="en-US" w:eastAsia="zh-CN"/>
        </w:rPr>
        <w:t>.干部档案集中管理智能库房建设项目经费绩效目标表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DB4FD46">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027612CE">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1096182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1.完成库房存档容量≥11000卷，不超过预算资金，方便查阅档案，节能环保，无安全事故，无投诉。</w:t>
            </w:r>
          </w:p>
          <w:p w14:paraId="55FACC18">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2.提升市本级干部档案管理的安全化、专业化、规范化水平。</w:t>
            </w:r>
          </w:p>
        </w:tc>
      </w:tr>
    </w:tbl>
    <w:p w14:paraId="19BBFC81">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0F9311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8C95B31">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2E7E92E5">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36DC2444">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68E53C1B">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2DC96110">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19A75A3A">
            <w:pPr>
              <w:pStyle w:val="24"/>
              <w:rPr>
                <w:rFonts w:hint="default" w:ascii="Times New Roman" w:hAnsi="Times New Roman" w:cs="Times New Roman"/>
              </w:rPr>
            </w:pPr>
            <w:r>
              <w:rPr>
                <w:rFonts w:hint="default" w:ascii="Times New Roman" w:hAnsi="Times New Roman" w:cs="Times New Roman"/>
              </w:rPr>
              <w:t>指标值确定依据</w:t>
            </w:r>
          </w:p>
        </w:tc>
      </w:tr>
      <w:tr w14:paraId="5C0212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52AB793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0D215AE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4CCCD72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干部档案库房容量</w:t>
            </w:r>
          </w:p>
        </w:tc>
        <w:tc>
          <w:tcPr>
            <w:tcW w:w="2835" w:type="dxa"/>
            <w:vAlign w:val="center"/>
          </w:tcPr>
          <w:p w14:paraId="23EEFF8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库房建成后能够容纳的干部档案数量</w:t>
            </w:r>
          </w:p>
        </w:tc>
        <w:tc>
          <w:tcPr>
            <w:tcW w:w="2551" w:type="dxa"/>
            <w:vAlign w:val="center"/>
          </w:tcPr>
          <w:p w14:paraId="4BCAC07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≥11000卷</w:t>
            </w:r>
          </w:p>
        </w:tc>
        <w:tc>
          <w:tcPr>
            <w:tcW w:w="2268" w:type="dxa"/>
            <w:vAlign w:val="center"/>
          </w:tcPr>
          <w:p w14:paraId="54BE2E7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《干部人事档案工作条例》</w:t>
            </w:r>
          </w:p>
        </w:tc>
      </w:tr>
      <w:tr w14:paraId="2DB81D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092FB83D">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0E15463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5645CE7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干部档案库房、阅档室、整理室、办公室四室分设</w:t>
            </w:r>
          </w:p>
        </w:tc>
        <w:tc>
          <w:tcPr>
            <w:tcW w:w="2835" w:type="dxa"/>
            <w:vAlign w:val="center"/>
          </w:tcPr>
          <w:p w14:paraId="0EA3FCA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库房建成后能够满足干部档案库房、阅档室、整理室、办公室四室分设</w:t>
            </w:r>
          </w:p>
        </w:tc>
        <w:tc>
          <w:tcPr>
            <w:tcW w:w="2551" w:type="dxa"/>
            <w:vAlign w:val="center"/>
          </w:tcPr>
          <w:p w14:paraId="48F0F3E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≥4间</w:t>
            </w:r>
          </w:p>
        </w:tc>
        <w:tc>
          <w:tcPr>
            <w:tcW w:w="2268" w:type="dxa"/>
            <w:vAlign w:val="center"/>
          </w:tcPr>
          <w:p w14:paraId="4CC7BEF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《干部人事档案工作条例》</w:t>
            </w:r>
          </w:p>
        </w:tc>
      </w:tr>
      <w:tr w14:paraId="1D7535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2C3A285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B17E26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71C80A1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干部档案库房建设质量　</w:t>
            </w:r>
          </w:p>
        </w:tc>
        <w:tc>
          <w:tcPr>
            <w:tcW w:w="2835" w:type="dxa"/>
            <w:vAlign w:val="center"/>
          </w:tcPr>
          <w:p w14:paraId="66E51C5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库房建设标准符合相关要求，质量达标　</w:t>
            </w:r>
          </w:p>
        </w:tc>
        <w:tc>
          <w:tcPr>
            <w:tcW w:w="2551" w:type="dxa"/>
            <w:vAlign w:val="center"/>
          </w:tcPr>
          <w:p w14:paraId="3379228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验收达标</w:t>
            </w:r>
          </w:p>
        </w:tc>
        <w:tc>
          <w:tcPr>
            <w:tcW w:w="2268" w:type="dxa"/>
            <w:vAlign w:val="center"/>
          </w:tcPr>
          <w:p w14:paraId="1FD424A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《干部人事档案工作条例》</w:t>
            </w:r>
          </w:p>
        </w:tc>
      </w:tr>
      <w:tr w14:paraId="748691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4C55F8EF">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C4D762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551385B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干部档案库房建设工期　</w:t>
            </w:r>
          </w:p>
        </w:tc>
        <w:tc>
          <w:tcPr>
            <w:tcW w:w="2835" w:type="dxa"/>
            <w:vAlign w:val="center"/>
          </w:tcPr>
          <w:p w14:paraId="3A1EEA1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干部档案库房建设工期</w:t>
            </w:r>
          </w:p>
        </w:tc>
        <w:tc>
          <w:tcPr>
            <w:tcW w:w="2551" w:type="dxa"/>
            <w:vAlign w:val="center"/>
          </w:tcPr>
          <w:p w14:paraId="34E5908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≤4月</w:t>
            </w:r>
          </w:p>
        </w:tc>
        <w:tc>
          <w:tcPr>
            <w:tcW w:w="2268" w:type="dxa"/>
            <w:vAlign w:val="center"/>
          </w:tcPr>
          <w:p w14:paraId="21B2A3E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合同规定</w:t>
            </w:r>
          </w:p>
        </w:tc>
      </w:tr>
      <w:tr w14:paraId="753052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042F2798">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15C45AA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09CB0D2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项目资金尾款拨付</w:t>
            </w:r>
          </w:p>
        </w:tc>
        <w:tc>
          <w:tcPr>
            <w:tcW w:w="2835" w:type="dxa"/>
            <w:vAlign w:val="center"/>
          </w:tcPr>
          <w:p w14:paraId="5DFEEF6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项目设备购置部分缺口资金拨付情况</w:t>
            </w:r>
          </w:p>
        </w:tc>
        <w:tc>
          <w:tcPr>
            <w:tcW w:w="2551" w:type="dxa"/>
            <w:vAlign w:val="center"/>
          </w:tcPr>
          <w:p w14:paraId="0C10AF9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≤85.36万元</w:t>
            </w:r>
          </w:p>
        </w:tc>
        <w:tc>
          <w:tcPr>
            <w:tcW w:w="2268" w:type="dxa"/>
            <w:vAlign w:val="center"/>
          </w:tcPr>
          <w:p w14:paraId="0C2D23B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干部档案集中管理智能库房建设项目设备购置政府采购合同</w:t>
            </w:r>
          </w:p>
        </w:tc>
      </w:tr>
      <w:tr w14:paraId="704231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67B41BB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29F1671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40EAFA8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市本级干部档案管理水平整体提升</w:t>
            </w:r>
          </w:p>
        </w:tc>
        <w:tc>
          <w:tcPr>
            <w:tcW w:w="2835" w:type="dxa"/>
            <w:vAlign w:val="center"/>
          </w:tcPr>
          <w:p w14:paraId="3374DD9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改进档案管理模式，提升档案管理水平，市本级干部档案管理更加规范统一　　</w:t>
            </w:r>
          </w:p>
        </w:tc>
        <w:tc>
          <w:tcPr>
            <w:tcW w:w="2551" w:type="dxa"/>
            <w:vAlign w:val="center"/>
          </w:tcPr>
          <w:p w14:paraId="78FE5DD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1010819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市本级档案管理实际情况</w:t>
            </w:r>
          </w:p>
        </w:tc>
      </w:tr>
      <w:tr w14:paraId="4AF7D3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0E61420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1BD00B1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44E5C7F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档案业务服务部门对档案库房建成后的档案管理新模式满意度　</w:t>
            </w:r>
          </w:p>
        </w:tc>
        <w:tc>
          <w:tcPr>
            <w:tcW w:w="2835" w:type="dxa"/>
            <w:vAlign w:val="center"/>
          </w:tcPr>
          <w:p w14:paraId="36639B9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抽样考察档案查阅人员满意度　</w:t>
            </w:r>
          </w:p>
        </w:tc>
        <w:tc>
          <w:tcPr>
            <w:tcW w:w="2551" w:type="dxa"/>
            <w:vAlign w:val="center"/>
          </w:tcPr>
          <w:p w14:paraId="63131F5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56061F4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工作实际</w:t>
            </w:r>
          </w:p>
        </w:tc>
      </w:tr>
    </w:tbl>
    <w:p w14:paraId="50C95F51">
      <w:pPr>
        <w:pStyle w:val="23"/>
        <w:rPr>
          <w:rFonts w:hint="default" w:ascii="Times New Roman" w:hAnsi="Times New Roman" w:cs="Times New Roman"/>
        </w:rPr>
      </w:pPr>
    </w:p>
    <w:p w14:paraId="334D770F">
      <w:pPr>
        <w:pStyle w:val="23"/>
        <w:ind w:firstLine="560"/>
        <w:rPr>
          <w:rFonts w:hint="default" w:ascii="Times New Roman" w:hAnsi="Times New Roman" w:eastAsia="楷体_GB2312" w:cs="Times New Roman"/>
          <w:b/>
          <w:bCs/>
          <w:sz w:val="32"/>
          <w:szCs w:val="32"/>
        </w:rPr>
      </w:pPr>
      <w:r>
        <w:rPr>
          <w:rFonts w:hint="eastAsia" w:eastAsia="楷体_GB2312" w:cs="Times New Roman"/>
          <w:b/>
          <w:bCs/>
          <w:sz w:val="32"/>
          <w:szCs w:val="32"/>
          <w:lang w:val="en-US" w:eastAsia="zh-CN"/>
        </w:rPr>
        <w:t>5.干部教育经费绩效目标表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2BBFBD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7D642B84">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3AA9B2F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1.通过项目的开展，广大干部的党性教育更加扎实、专业化能力更加精准、知识培训更加有效。</w:t>
            </w:r>
          </w:p>
          <w:p w14:paraId="320E7122">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2.不断深化干部教育培训体系改革。</w:t>
            </w:r>
          </w:p>
        </w:tc>
      </w:tr>
    </w:tbl>
    <w:p w14:paraId="760B1997">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C8B07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9910185">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46304BEF">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67198C7B">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65292375">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13886269">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24AA22EF">
            <w:pPr>
              <w:pStyle w:val="24"/>
              <w:rPr>
                <w:rFonts w:hint="default" w:ascii="Times New Roman" w:hAnsi="Times New Roman" w:cs="Times New Roman"/>
              </w:rPr>
            </w:pPr>
            <w:r>
              <w:rPr>
                <w:rFonts w:hint="default" w:ascii="Times New Roman" w:hAnsi="Times New Roman" w:cs="Times New Roman"/>
              </w:rPr>
              <w:t>指标值确定依据</w:t>
            </w:r>
          </w:p>
        </w:tc>
      </w:tr>
      <w:tr w14:paraId="5F0C4B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517E18B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321A879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331CA38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培训覆盖率</w:t>
            </w:r>
          </w:p>
        </w:tc>
        <w:tc>
          <w:tcPr>
            <w:tcW w:w="2835" w:type="dxa"/>
            <w:vAlign w:val="center"/>
          </w:tcPr>
          <w:p w14:paraId="6A6905C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参加培训人员数量占全部应参训人员数量百分比</w:t>
            </w:r>
          </w:p>
        </w:tc>
        <w:tc>
          <w:tcPr>
            <w:tcW w:w="2551" w:type="dxa"/>
            <w:vAlign w:val="center"/>
          </w:tcPr>
          <w:p w14:paraId="57E97B1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2268" w:type="dxa"/>
            <w:vAlign w:val="center"/>
          </w:tcPr>
          <w:p w14:paraId="371F2F2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根据培训计划确定</w:t>
            </w:r>
          </w:p>
        </w:tc>
      </w:tr>
      <w:tr w14:paraId="5F6389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253EA2E2">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22EBD8F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1A277E2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培训合格率</w:t>
            </w:r>
          </w:p>
        </w:tc>
        <w:tc>
          <w:tcPr>
            <w:tcW w:w="2835" w:type="dxa"/>
            <w:vAlign w:val="center"/>
          </w:tcPr>
          <w:p w14:paraId="5B90787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参加培训人员合格数量占全部参训人员数量百分比</w:t>
            </w:r>
          </w:p>
        </w:tc>
        <w:tc>
          <w:tcPr>
            <w:tcW w:w="2551" w:type="dxa"/>
            <w:vAlign w:val="center"/>
          </w:tcPr>
          <w:p w14:paraId="5238856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268" w:type="dxa"/>
            <w:vAlign w:val="center"/>
          </w:tcPr>
          <w:p w14:paraId="4DEE758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根据培训计划确定</w:t>
            </w:r>
          </w:p>
        </w:tc>
      </w:tr>
      <w:tr w14:paraId="047D71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6CB38DF5">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4B12E0E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1224E95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培训及时性</w:t>
            </w:r>
          </w:p>
        </w:tc>
        <w:tc>
          <w:tcPr>
            <w:tcW w:w="2835" w:type="dxa"/>
            <w:vAlign w:val="center"/>
          </w:tcPr>
          <w:p w14:paraId="3AFFC93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培训内容是否符合新形势新要求</w:t>
            </w:r>
          </w:p>
        </w:tc>
        <w:tc>
          <w:tcPr>
            <w:tcW w:w="2551" w:type="dxa"/>
            <w:vAlign w:val="center"/>
          </w:tcPr>
          <w:p w14:paraId="6CD2B22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符合</w:t>
            </w:r>
          </w:p>
        </w:tc>
        <w:tc>
          <w:tcPr>
            <w:tcW w:w="2268" w:type="dxa"/>
            <w:vAlign w:val="center"/>
          </w:tcPr>
          <w:p w14:paraId="71505FB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410F93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5A4F811A">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63AD1B3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35D1DF1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培训标准</w:t>
            </w:r>
          </w:p>
        </w:tc>
        <w:tc>
          <w:tcPr>
            <w:tcW w:w="2835" w:type="dxa"/>
            <w:vAlign w:val="center"/>
          </w:tcPr>
          <w:p w14:paraId="294AF3A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是否符合培训费规定的标准</w:t>
            </w:r>
          </w:p>
        </w:tc>
        <w:tc>
          <w:tcPr>
            <w:tcW w:w="2551" w:type="dxa"/>
            <w:vAlign w:val="center"/>
          </w:tcPr>
          <w:p w14:paraId="2AA73DB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符合</w:t>
            </w:r>
          </w:p>
        </w:tc>
        <w:tc>
          <w:tcPr>
            <w:tcW w:w="2268" w:type="dxa"/>
            <w:vAlign w:val="center"/>
          </w:tcPr>
          <w:p w14:paraId="0B3812C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培训费规定及支出情况</w:t>
            </w:r>
          </w:p>
        </w:tc>
      </w:tr>
      <w:tr w14:paraId="4F6A4E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713FDC6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0713A3F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33517BF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干部促进社会发展能力提升情况</w:t>
            </w:r>
          </w:p>
        </w:tc>
        <w:tc>
          <w:tcPr>
            <w:tcW w:w="2835" w:type="dxa"/>
            <w:vAlign w:val="center"/>
          </w:tcPr>
          <w:p w14:paraId="068CCDD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干部促进社会发展能力是否提升</w:t>
            </w:r>
            <w:r>
              <w:rPr>
                <w:rFonts w:hint="default" w:ascii="Times New Roman" w:hAnsi="Times New Roman" w:eastAsia="宋体" w:cs="Times New Roman"/>
                <w:i w:val="0"/>
                <w:iCs w:val="0"/>
                <w:color w:val="000000"/>
                <w:kern w:val="0"/>
                <w:sz w:val="22"/>
                <w:szCs w:val="22"/>
                <w:u w:val="none"/>
                <w:lang w:val="en-US" w:eastAsia="zh-CN" w:bidi="ar"/>
              </w:rPr>
              <w:tab/>
            </w:r>
            <w:r>
              <w:rPr>
                <w:rFonts w:hint="default" w:ascii="Times New Roman" w:hAnsi="Times New Roman" w:eastAsia="宋体" w:cs="Times New Roman"/>
                <w:i w:val="0"/>
                <w:iCs w:val="0"/>
                <w:color w:val="000000"/>
                <w:kern w:val="0"/>
                <w:sz w:val="22"/>
                <w:szCs w:val="22"/>
                <w:u w:val="none"/>
                <w:lang w:val="en-US" w:eastAsia="zh-CN" w:bidi="ar"/>
              </w:rPr>
              <w:tab/>
            </w:r>
          </w:p>
        </w:tc>
        <w:tc>
          <w:tcPr>
            <w:tcW w:w="2551" w:type="dxa"/>
            <w:vAlign w:val="center"/>
          </w:tcPr>
          <w:p w14:paraId="2D6D528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7699E1F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596565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7F08124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3F1DCC0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4F36B7E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参训学员满意度</w:t>
            </w:r>
          </w:p>
        </w:tc>
        <w:tc>
          <w:tcPr>
            <w:tcW w:w="2835" w:type="dxa"/>
            <w:vAlign w:val="center"/>
          </w:tcPr>
          <w:p w14:paraId="7EBD020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抽查参训学员对举办班次的满意程度</w:t>
            </w:r>
          </w:p>
        </w:tc>
        <w:tc>
          <w:tcPr>
            <w:tcW w:w="2551" w:type="dxa"/>
            <w:vAlign w:val="center"/>
          </w:tcPr>
          <w:p w14:paraId="5815902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37066C6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问卷调查、随机抽查</w:t>
            </w:r>
          </w:p>
        </w:tc>
      </w:tr>
    </w:tbl>
    <w:p w14:paraId="5947C262">
      <w:pPr>
        <w:pStyle w:val="23"/>
        <w:ind w:firstLine="560"/>
        <w:rPr>
          <w:rFonts w:hint="eastAsia" w:eastAsia="楷体_GB2312" w:cs="Times New Roman"/>
          <w:b/>
          <w:bCs/>
          <w:sz w:val="32"/>
          <w:szCs w:val="32"/>
          <w:lang w:val="en-US" w:eastAsia="zh-CN"/>
        </w:rPr>
      </w:pPr>
    </w:p>
    <w:p w14:paraId="3F8881B4">
      <w:pPr>
        <w:pStyle w:val="23"/>
        <w:ind w:firstLine="560"/>
        <w:rPr>
          <w:rFonts w:hint="eastAsia" w:eastAsia="楷体_GB2312" w:cs="Times New Roman"/>
          <w:b/>
          <w:bCs/>
          <w:sz w:val="32"/>
          <w:szCs w:val="32"/>
          <w:lang w:val="en-US" w:eastAsia="zh-CN"/>
        </w:rPr>
      </w:pPr>
    </w:p>
    <w:p w14:paraId="24884842">
      <w:pPr>
        <w:pStyle w:val="23"/>
        <w:ind w:firstLine="560"/>
        <w:rPr>
          <w:rFonts w:hint="default" w:ascii="Times New Roman" w:hAnsi="Times New Roman" w:cs="Times New Roman"/>
        </w:rPr>
      </w:pPr>
      <w:r>
        <w:rPr>
          <w:rFonts w:hint="eastAsia" w:eastAsia="楷体_GB2312" w:cs="Times New Roman"/>
          <w:b/>
          <w:bCs/>
          <w:sz w:val="32"/>
          <w:szCs w:val="32"/>
          <w:lang w:val="en-US" w:eastAsia="zh-CN"/>
        </w:rPr>
        <w:t>6.考核奖励经费绩效目标表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CC85FCC">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3CD95804">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3C73F09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1.通过项目的开展完成市直公务员及时奖励审批工作。</w:t>
            </w:r>
          </w:p>
          <w:p w14:paraId="562D6172">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2.科学设置社会民意调查原则和内容，准确反映群众意见建议，结果作为领导班子综合考核评价的重要内容。</w:t>
            </w:r>
          </w:p>
        </w:tc>
      </w:tr>
    </w:tbl>
    <w:p w14:paraId="040DB91C">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C75C7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0348A07E">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50BCD72A">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2F931DF4">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0A1C8C3A">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3D9FEB51">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580AC18C">
            <w:pPr>
              <w:pStyle w:val="24"/>
              <w:rPr>
                <w:rFonts w:hint="default" w:ascii="Times New Roman" w:hAnsi="Times New Roman" w:cs="Times New Roman"/>
              </w:rPr>
            </w:pPr>
            <w:r>
              <w:rPr>
                <w:rFonts w:hint="default" w:ascii="Times New Roman" w:hAnsi="Times New Roman" w:cs="Times New Roman"/>
              </w:rPr>
              <w:t>指标值确定依据</w:t>
            </w:r>
          </w:p>
        </w:tc>
      </w:tr>
      <w:tr w14:paraId="62A261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F3DCC6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27B5DD6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1A480E1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受调查群众人数</w:t>
            </w:r>
          </w:p>
        </w:tc>
        <w:tc>
          <w:tcPr>
            <w:tcW w:w="2835" w:type="dxa"/>
            <w:vAlign w:val="center"/>
          </w:tcPr>
          <w:p w14:paraId="2AD7C57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受调查群众人数</w:t>
            </w:r>
          </w:p>
        </w:tc>
        <w:tc>
          <w:tcPr>
            <w:tcW w:w="2551" w:type="dxa"/>
            <w:vAlign w:val="center"/>
          </w:tcPr>
          <w:p w14:paraId="1BBE9F1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≥4000人</w:t>
            </w:r>
          </w:p>
        </w:tc>
        <w:tc>
          <w:tcPr>
            <w:tcW w:w="2268" w:type="dxa"/>
            <w:vAlign w:val="center"/>
          </w:tcPr>
          <w:p w14:paraId="2E4F32F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调查方案</w:t>
            </w:r>
          </w:p>
        </w:tc>
      </w:tr>
      <w:tr w14:paraId="749220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8C6B11D">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7DD22E5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5567F8E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资金发放的准确率　</w:t>
            </w:r>
          </w:p>
        </w:tc>
        <w:tc>
          <w:tcPr>
            <w:tcW w:w="2835" w:type="dxa"/>
            <w:vAlign w:val="center"/>
          </w:tcPr>
          <w:p w14:paraId="19C0DBE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公务员奖励金发放是否符合相关标准　</w:t>
            </w:r>
          </w:p>
        </w:tc>
        <w:tc>
          <w:tcPr>
            <w:tcW w:w="2551" w:type="dxa"/>
            <w:vAlign w:val="center"/>
          </w:tcPr>
          <w:p w14:paraId="357464D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符合</w:t>
            </w:r>
          </w:p>
        </w:tc>
        <w:tc>
          <w:tcPr>
            <w:tcW w:w="2268" w:type="dxa"/>
            <w:vAlign w:val="center"/>
          </w:tcPr>
          <w:p w14:paraId="23BAE36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申报审批材料</w:t>
            </w:r>
          </w:p>
        </w:tc>
      </w:tr>
      <w:tr w14:paraId="0DA49B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CAB82B0">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2612732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45AD40F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资金发放及时性</w:t>
            </w:r>
          </w:p>
        </w:tc>
        <w:tc>
          <w:tcPr>
            <w:tcW w:w="2835" w:type="dxa"/>
            <w:vAlign w:val="center"/>
          </w:tcPr>
          <w:p w14:paraId="11CE376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及时奖励金是否在领导签批同意后30天内发放</w:t>
            </w:r>
          </w:p>
        </w:tc>
        <w:tc>
          <w:tcPr>
            <w:tcW w:w="2551" w:type="dxa"/>
            <w:vAlign w:val="center"/>
          </w:tcPr>
          <w:p w14:paraId="183CD4D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≤30天</w:t>
            </w:r>
          </w:p>
        </w:tc>
        <w:tc>
          <w:tcPr>
            <w:tcW w:w="2268" w:type="dxa"/>
            <w:vAlign w:val="center"/>
          </w:tcPr>
          <w:p w14:paraId="0044CD6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票据材料</w:t>
            </w:r>
          </w:p>
        </w:tc>
      </w:tr>
      <w:tr w14:paraId="246E8A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487C860">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0EA97E0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06C97D2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民意调查成本</w:t>
            </w:r>
          </w:p>
        </w:tc>
        <w:tc>
          <w:tcPr>
            <w:tcW w:w="2835" w:type="dxa"/>
            <w:vAlign w:val="center"/>
          </w:tcPr>
          <w:p w14:paraId="4A64939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民意调查费用不超预算</w:t>
            </w:r>
          </w:p>
        </w:tc>
        <w:tc>
          <w:tcPr>
            <w:tcW w:w="2551" w:type="dxa"/>
            <w:vAlign w:val="center"/>
          </w:tcPr>
          <w:p w14:paraId="0DE9006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≤19万元</w:t>
            </w:r>
          </w:p>
        </w:tc>
        <w:tc>
          <w:tcPr>
            <w:tcW w:w="2268" w:type="dxa"/>
            <w:vAlign w:val="center"/>
          </w:tcPr>
          <w:p w14:paraId="4E85EDF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民意调查合同约定金额</w:t>
            </w:r>
          </w:p>
        </w:tc>
      </w:tr>
      <w:tr w14:paraId="77B5AB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739246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682BE79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673C8E2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公务员服务社会能力</w:t>
            </w:r>
          </w:p>
        </w:tc>
        <w:tc>
          <w:tcPr>
            <w:tcW w:w="2835" w:type="dxa"/>
            <w:vAlign w:val="center"/>
          </w:tcPr>
          <w:p w14:paraId="60B52FC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考察公务员服务社会能力提升情况　</w:t>
            </w:r>
          </w:p>
        </w:tc>
        <w:tc>
          <w:tcPr>
            <w:tcW w:w="2551" w:type="dxa"/>
            <w:vAlign w:val="center"/>
          </w:tcPr>
          <w:p w14:paraId="2123C56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0C1F881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实际工作情况</w:t>
            </w:r>
          </w:p>
        </w:tc>
      </w:tr>
      <w:tr w14:paraId="30E219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AC7A4C4">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5FBC744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可持续影响指标</w:t>
            </w:r>
          </w:p>
        </w:tc>
        <w:tc>
          <w:tcPr>
            <w:tcW w:w="2835" w:type="dxa"/>
            <w:vAlign w:val="center"/>
          </w:tcPr>
          <w:p w14:paraId="48B30F3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公务员模范作用</w:t>
            </w:r>
          </w:p>
        </w:tc>
        <w:tc>
          <w:tcPr>
            <w:tcW w:w="2835" w:type="dxa"/>
            <w:vAlign w:val="center"/>
          </w:tcPr>
          <w:p w14:paraId="21405C6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公务员模范作用发挥情况</w:t>
            </w:r>
          </w:p>
        </w:tc>
        <w:tc>
          <w:tcPr>
            <w:tcW w:w="2551" w:type="dxa"/>
            <w:vAlign w:val="center"/>
          </w:tcPr>
          <w:p w14:paraId="7FDF4F9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充分发挥</w:t>
            </w:r>
          </w:p>
        </w:tc>
        <w:tc>
          <w:tcPr>
            <w:tcW w:w="2268" w:type="dxa"/>
            <w:vAlign w:val="center"/>
          </w:tcPr>
          <w:p w14:paraId="38E6CA5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实际工作情况</w:t>
            </w:r>
          </w:p>
        </w:tc>
      </w:tr>
      <w:tr w14:paraId="62B194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F64673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2F4EEA1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79F4477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受调查人员对调查工作满意率</w:t>
            </w:r>
          </w:p>
        </w:tc>
        <w:tc>
          <w:tcPr>
            <w:tcW w:w="2835" w:type="dxa"/>
            <w:vAlign w:val="center"/>
          </w:tcPr>
          <w:p w14:paraId="68318E8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满意的受奖励人员数量占全部受奖励人员数量百分比</w:t>
            </w:r>
          </w:p>
        </w:tc>
        <w:tc>
          <w:tcPr>
            <w:tcW w:w="2551" w:type="dxa"/>
            <w:vAlign w:val="center"/>
          </w:tcPr>
          <w:p w14:paraId="1751B42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18D098B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问卷调查或走访</w:t>
            </w:r>
          </w:p>
        </w:tc>
      </w:tr>
    </w:tbl>
    <w:p w14:paraId="766F90BF">
      <w:pPr>
        <w:pStyle w:val="23"/>
        <w:rPr>
          <w:rFonts w:hint="default" w:ascii="Times New Roman" w:hAnsi="Times New Roman" w:cs="Times New Roman"/>
        </w:rPr>
      </w:pPr>
    </w:p>
    <w:p w14:paraId="2DAABE75">
      <w:pPr>
        <w:pStyle w:val="23"/>
        <w:rPr>
          <w:rFonts w:hint="default" w:ascii="Times New Roman" w:hAnsi="Times New Roman" w:cs="Times New Roman"/>
        </w:rPr>
      </w:pPr>
    </w:p>
    <w:p w14:paraId="22F2FE09">
      <w:pPr>
        <w:pStyle w:val="23"/>
        <w:rPr>
          <w:rFonts w:hint="default" w:ascii="Times New Roman" w:hAnsi="Times New Roman" w:cs="Times New Roman"/>
        </w:rPr>
      </w:pPr>
    </w:p>
    <w:p w14:paraId="3395EA3F">
      <w:pPr>
        <w:pStyle w:val="23"/>
        <w:ind w:firstLine="560"/>
        <w:rPr>
          <w:rFonts w:hint="default" w:ascii="Times New Roman" w:hAnsi="Times New Roman" w:eastAsia="楷体_GB2312" w:cs="Times New Roman"/>
          <w:b/>
          <w:bCs/>
          <w:sz w:val="32"/>
          <w:szCs w:val="32"/>
        </w:rPr>
      </w:pPr>
    </w:p>
    <w:p w14:paraId="33DCE3B9">
      <w:pPr>
        <w:pStyle w:val="23"/>
        <w:ind w:firstLine="560"/>
        <w:rPr>
          <w:rFonts w:hint="default" w:ascii="Times New Roman" w:hAnsi="Times New Roman" w:cs="Times New Roman"/>
        </w:rPr>
      </w:pPr>
      <w:r>
        <w:rPr>
          <w:rFonts w:hint="eastAsia" w:eastAsia="楷体_GB2312" w:cs="Times New Roman"/>
          <w:b/>
          <w:bCs/>
          <w:sz w:val="32"/>
          <w:szCs w:val="32"/>
          <w:lang w:val="en-US" w:eastAsia="zh-CN"/>
        </w:rPr>
        <w:t>7.人才管理经费绩效目标表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F18B516">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5D581119">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4C5560F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通过项目开展，评选人才兴廊工程优秀项目，发放奖励金；落实青年拔尖人才扶持资金；落实全职、柔性引进的高端人才待遇；落实硕博人才扶持资金；落实市管优秀专家津贴等待遇；落实符合条件定向选调生相关补助。</w:t>
            </w:r>
          </w:p>
          <w:p w14:paraId="182CC106">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2.通过项目的开展，提升人才工作整体水平，为推动廊坊高质量发展提供智力支撑和人才保障。</w:t>
            </w:r>
          </w:p>
        </w:tc>
      </w:tr>
    </w:tbl>
    <w:p w14:paraId="1C5AC8BE">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5ECD9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8D9A94B">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08B3D75E">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0C70C269">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72F10C60">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12D116CC">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7F9ED09F">
            <w:pPr>
              <w:pStyle w:val="24"/>
              <w:rPr>
                <w:rFonts w:hint="default" w:ascii="Times New Roman" w:hAnsi="Times New Roman" w:cs="Times New Roman"/>
              </w:rPr>
            </w:pPr>
            <w:r>
              <w:rPr>
                <w:rFonts w:hint="default" w:ascii="Times New Roman" w:hAnsi="Times New Roman" w:cs="Times New Roman"/>
              </w:rPr>
              <w:t>指标值确定依据</w:t>
            </w:r>
          </w:p>
        </w:tc>
      </w:tr>
      <w:tr w14:paraId="1B101D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atLeast"/>
          <w:jc w:val="center"/>
        </w:trPr>
        <w:tc>
          <w:tcPr>
            <w:tcW w:w="1417" w:type="dxa"/>
            <w:vMerge w:val="restart"/>
            <w:vAlign w:val="center"/>
          </w:tcPr>
          <w:p w14:paraId="75A9850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78545A0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5BC07BB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本年开展“人才兴廊”项目实施情况评估总结次数</w:t>
            </w:r>
          </w:p>
        </w:tc>
        <w:tc>
          <w:tcPr>
            <w:tcW w:w="2835" w:type="dxa"/>
            <w:vAlign w:val="center"/>
          </w:tcPr>
          <w:p w14:paraId="750B049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考察对“人才兴廊”项目实施情况评估总结次数</w:t>
            </w:r>
          </w:p>
        </w:tc>
        <w:tc>
          <w:tcPr>
            <w:tcW w:w="2551" w:type="dxa"/>
            <w:vAlign w:val="center"/>
          </w:tcPr>
          <w:p w14:paraId="57D4232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1次</w:t>
            </w:r>
          </w:p>
        </w:tc>
        <w:tc>
          <w:tcPr>
            <w:tcW w:w="2268" w:type="dxa"/>
            <w:vAlign w:val="center"/>
          </w:tcPr>
          <w:p w14:paraId="59D3748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评审要求</w:t>
            </w:r>
          </w:p>
        </w:tc>
      </w:tr>
      <w:tr w14:paraId="6FB527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370A01C4">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2CF2FA5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683BC62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资金发放的准确率</w:t>
            </w:r>
          </w:p>
        </w:tc>
        <w:tc>
          <w:tcPr>
            <w:tcW w:w="2835" w:type="dxa"/>
            <w:vAlign w:val="center"/>
          </w:tcPr>
          <w:p w14:paraId="6E69070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考察资金发放是否到位</w:t>
            </w:r>
          </w:p>
        </w:tc>
        <w:tc>
          <w:tcPr>
            <w:tcW w:w="2551" w:type="dxa"/>
            <w:vAlign w:val="center"/>
          </w:tcPr>
          <w:p w14:paraId="7AA9A66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268" w:type="dxa"/>
            <w:vAlign w:val="center"/>
          </w:tcPr>
          <w:p w14:paraId="6E1AC1F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相关文件要求</w:t>
            </w:r>
          </w:p>
        </w:tc>
      </w:tr>
      <w:tr w14:paraId="550027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2E605D83">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67F39F9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1414BBF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市管专家津贴发放及时性</w:t>
            </w:r>
          </w:p>
        </w:tc>
        <w:tc>
          <w:tcPr>
            <w:tcW w:w="2835" w:type="dxa"/>
            <w:vAlign w:val="center"/>
          </w:tcPr>
          <w:p w14:paraId="6741D48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考察市管专家津贴是否在部务会研究同意后及时发放</w:t>
            </w:r>
          </w:p>
        </w:tc>
        <w:tc>
          <w:tcPr>
            <w:tcW w:w="2551" w:type="dxa"/>
            <w:vAlign w:val="center"/>
          </w:tcPr>
          <w:p w14:paraId="4A5597F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≤30天</w:t>
            </w:r>
          </w:p>
        </w:tc>
        <w:tc>
          <w:tcPr>
            <w:tcW w:w="2268" w:type="dxa"/>
            <w:vAlign w:val="center"/>
          </w:tcPr>
          <w:p w14:paraId="226C15E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工作要求</w:t>
            </w:r>
          </w:p>
        </w:tc>
      </w:tr>
      <w:tr w14:paraId="070378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1838FD10">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7D1453B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468CEF5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本年开展专家体检实际发生费用</w:t>
            </w:r>
          </w:p>
        </w:tc>
        <w:tc>
          <w:tcPr>
            <w:tcW w:w="2835" w:type="dxa"/>
            <w:vAlign w:val="center"/>
          </w:tcPr>
          <w:p w14:paraId="22E19C9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考察体检实际产生费用情况是否超标</w:t>
            </w:r>
          </w:p>
        </w:tc>
        <w:tc>
          <w:tcPr>
            <w:tcW w:w="2551" w:type="dxa"/>
            <w:vAlign w:val="center"/>
          </w:tcPr>
          <w:p w14:paraId="7C6F4D6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≤1000元/人</w:t>
            </w:r>
          </w:p>
        </w:tc>
        <w:tc>
          <w:tcPr>
            <w:tcW w:w="2268" w:type="dxa"/>
            <w:vAlign w:val="center"/>
          </w:tcPr>
          <w:p w14:paraId="41B092A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相关文件要求</w:t>
            </w:r>
          </w:p>
        </w:tc>
      </w:tr>
      <w:tr w14:paraId="2461A1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71F7B97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20E4C6B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14413F6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人才队伍素质提升</w:t>
            </w:r>
          </w:p>
        </w:tc>
        <w:tc>
          <w:tcPr>
            <w:tcW w:w="2835" w:type="dxa"/>
            <w:vAlign w:val="center"/>
          </w:tcPr>
          <w:p w14:paraId="0E968F0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考察我市人才队伍素质是否提升</w:t>
            </w:r>
          </w:p>
        </w:tc>
        <w:tc>
          <w:tcPr>
            <w:tcW w:w="2551" w:type="dxa"/>
            <w:vAlign w:val="center"/>
          </w:tcPr>
          <w:p w14:paraId="28FDDB2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7246E7F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工作总结</w:t>
            </w:r>
          </w:p>
        </w:tc>
      </w:tr>
      <w:tr w14:paraId="3FDAC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71B1B55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27FF12C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0AEDDC1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受益高端人才满意度</w:t>
            </w:r>
          </w:p>
        </w:tc>
        <w:tc>
          <w:tcPr>
            <w:tcW w:w="2835" w:type="dxa"/>
            <w:vAlign w:val="center"/>
          </w:tcPr>
          <w:p w14:paraId="5794AEA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考察受益高端人才对项目的满意情况</w:t>
            </w:r>
          </w:p>
        </w:tc>
        <w:tc>
          <w:tcPr>
            <w:tcW w:w="2551" w:type="dxa"/>
            <w:vAlign w:val="center"/>
          </w:tcPr>
          <w:p w14:paraId="76A1240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1E548FC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调查问卷</w:t>
            </w:r>
          </w:p>
        </w:tc>
      </w:tr>
    </w:tbl>
    <w:p w14:paraId="58190458">
      <w:pPr>
        <w:pStyle w:val="23"/>
        <w:ind w:firstLine="560"/>
        <w:rPr>
          <w:rFonts w:hint="eastAsia" w:eastAsia="楷体_GB2312" w:cs="Times New Roman"/>
          <w:b/>
          <w:bCs/>
          <w:sz w:val="32"/>
          <w:szCs w:val="32"/>
          <w:lang w:val="en-US" w:eastAsia="zh-CN"/>
        </w:rPr>
      </w:pPr>
    </w:p>
    <w:p w14:paraId="60AC2316">
      <w:pPr>
        <w:pStyle w:val="23"/>
        <w:ind w:firstLine="560"/>
        <w:rPr>
          <w:rFonts w:hint="default" w:ascii="Times New Roman" w:hAnsi="Times New Roman" w:cs="Times New Roman"/>
        </w:rPr>
      </w:pPr>
      <w:r>
        <w:rPr>
          <w:rFonts w:hint="eastAsia" w:eastAsia="楷体_GB2312" w:cs="Times New Roman"/>
          <w:b/>
          <w:bCs/>
          <w:sz w:val="32"/>
          <w:szCs w:val="32"/>
          <w:lang w:val="en-US" w:eastAsia="zh-CN"/>
        </w:rPr>
        <w:t>8.人事考试经费绩效目标表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0B6C169">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5C727BFD">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397D501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1.圆满完成市直党群事业单位公开招聘和公开选调、公务员四级联考和公开遴选（选调）、硕博人才公开招聘、选调生招录等工作。</w:t>
            </w:r>
          </w:p>
          <w:p w14:paraId="6A1FAC47">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2.为机关事业单位充实人员力量，促进干部合理流动和优化配置，建设高素质专业化干部队伍，进一步吸引海内外高层次创新创业人才为建设经济强市、美丽廊坊提供智力支撑和人才保障。</w:t>
            </w:r>
          </w:p>
        </w:tc>
      </w:tr>
    </w:tbl>
    <w:p w14:paraId="50173D36">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39FBD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AEB7AC4">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5349264A">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33101718">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592C12F6">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443CA872">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540BF859">
            <w:pPr>
              <w:pStyle w:val="24"/>
              <w:rPr>
                <w:rFonts w:hint="default" w:ascii="Times New Roman" w:hAnsi="Times New Roman" w:cs="Times New Roman"/>
              </w:rPr>
            </w:pPr>
            <w:r>
              <w:rPr>
                <w:rFonts w:hint="default" w:ascii="Times New Roman" w:hAnsi="Times New Roman" w:cs="Times New Roman"/>
              </w:rPr>
              <w:t>指标值确定依据</w:t>
            </w:r>
          </w:p>
        </w:tc>
      </w:tr>
      <w:tr w14:paraId="76DC8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2B6197C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75A489A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5498A1A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招录开展数量</w:t>
            </w:r>
          </w:p>
        </w:tc>
        <w:tc>
          <w:tcPr>
            <w:tcW w:w="2835" w:type="dxa"/>
            <w:vAlign w:val="center"/>
          </w:tcPr>
          <w:p w14:paraId="2DDC214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招录工作开展数量占应开展数量比值</w:t>
            </w:r>
          </w:p>
        </w:tc>
        <w:tc>
          <w:tcPr>
            <w:tcW w:w="2551" w:type="dxa"/>
            <w:vAlign w:val="center"/>
          </w:tcPr>
          <w:p w14:paraId="7741961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2268" w:type="dxa"/>
            <w:vAlign w:val="center"/>
          </w:tcPr>
          <w:p w14:paraId="136E1C1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工作计划</w:t>
            </w:r>
          </w:p>
        </w:tc>
      </w:tr>
      <w:tr w14:paraId="4A9116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538A96E0">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54083A0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349CFBA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招录开展成效</w:t>
            </w:r>
          </w:p>
        </w:tc>
        <w:tc>
          <w:tcPr>
            <w:tcW w:w="2835" w:type="dxa"/>
            <w:vAlign w:val="center"/>
          </w:tcPr>
          <w:p w14:paraId="6D0A3F4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考察招录人选是否符合招录要求</w:t>
            </w:r>
          </w:p>
        </w:tc>
        <w:tc>
          <w:tcPr>
            <w:tcW w:w="2551" w:type="dxa"/>
            <w:vAlign w:val="center"/>
          </w:tcPr>
          <w:p w14:paraId="274F67E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符合</w:t>
            </w:r>
          </w:p>
        </w:tc>
        <w:tc>
          <w:tcPr>
            <w:tcW w:w="2268" w:type="dxa"/>
            <w:vAlign w:val="center"/>
          </w:tcPr>
          <w:p w14:paraId="414A302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招录相关规定</w:t>
            </w:r>
          </w:p>
        </w:tc>
      </w:tr>
      <w:tr w14:paraId="500BB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67AF961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1C1218D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6F2BD4D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招录工作及时性</w:t>
            </w:r>
          </w:p>
        </w:tc>
        <w:tc>
          <w:tcPr>
            <w:tcW w:w="2835" w:type="dxa"/>
            <w:vAlign w:val="center"/>
          </w:tcPr>
          <w:p w14:paraId="4D1191D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招录工作是否及时开展</w:t>
            </w:r>
          </w:p>
        </w:tc>
        <w:tc>
          <w:tcPr>
            <w:tcW w:w="2551" w:type="dxa"/>
            <w:vAlign w:val="center"/>
          </w:tcPr>
          <w:p w14:paraId="1EDF3B1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w:t>
            </w:r>
          </w:p>
        </w:tc>
        <w:tc>
          <w:tcPr>
            <w:tcW w:w="2268" w:type="dxa"/>
            <w:vAlign w:val="center"/>
          </w:tcPr>
          <w:p w14:paraId="283A4C7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相关招录通知</w:t>
            </w:r>
          </w:p>
        </w:tc>
      </w:tr>
      <w:tr w14:paraId="70C0E2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3694EA02">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388DD68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0324739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招录费用成本</w:t>
            </w:r>
          </w:p>
        </w:tc>
        <w:tc>
          <w:tcPr>
            <w:tcW w:w="2835" w:type="dxa"/>
            <w:vAlign w:val="center"/>
          </w:tcPr>
          <w:p w14:paraId="6F1AB06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招录费用是否符合相关标准</w:t>
            </w:r>
          </w:p>
        </w:tc>
        <w:tc>
          <w:tcPr>
            <w:tcW w:w="2551" w:type="dxa"/>
            <w:vAlign w:val="center"/>
          </w:tcPr>
          <w:p w14:paraId="4A8DB8A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符合</w:t>
            </w:r>
          </w:p>
        </w:tc>
        <w:tc>
          <w:tcPr>
            <w:tcW w:w="2268" w:type="dxa"/>
            <w:vAlign w:val="center"/>
          </w:tcPr>
          <w:p w14:paraId="536BE79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公务员考试考务费支出办法</w:t>
            </w:r>
          </w:p>
        </w:tc>
      </w:tr>
      <w:tr w14:paraId="5AA4D6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0C6219E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5038034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68B67FF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促进优秀人才进入干部队伍</w:t>
            </w:r>
          </w:p>
        </w:tc>
        <w:tc>
          <w:tcPr>
            <w:tcW w:w="2835" w:type="dxa"/>
            <w:vAlign w:val="center"/>
          </w:tcPr>
          <w:p w14:paraId="7FC94E1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是否促进优秀人才进入干部队伍</w:t>
            </w:r>
          </w:p>
        </w:tc>
        <w:tc>
          <w:tcPr>
            <w:tcW w:w="2551" w:type="dxa"/>
            <w:vAlign w:val="center"/>
          </w:tcPr>
          <w:p w14:paraId="013BE94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促进</w:t>
            </w:r>
          </w:p>
        </w:tc>
        <w:tc>
          <w:tcPr>
            <w:tcW w:w="2268" w:type="dxa"/>
            <w:vAlign w:val="center"/>
          </w:tcPr>
          <w:p w14:paraId="35A5FE8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r w14:paraId="2BE9B7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1FFDD9B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26B3FAF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647C3D4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w:t>
            </w:r>
          </w:p>
        </w:tc>
        <w:tc>
          <w:tcPr>
            <w:tcW w:w="2835" w:type="dxa"/>
            <w:vAlign w:val="center"/>
          </w:tcPr>
          <w:p w14:paraId="2870369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录用单位对招录工作投诉数量</w:t>
            </w:r>
          </w:p>
        </w:tc>
        <w:tc>
          <w:tcPr>
            <w:tcW w:w="2551" w:type="dxa"/>
            <w:vAlign w:val="center"/>
          </w:tcPr>
          <w:p w14:paraId="75B61D4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≤5次</w:t>
            </w:r>
          </w:p>
        </w:tc>
        <w:tc>
          <w:tcPr>
            <w:tcW w:w="2268" w:type="dxa"/>
            <w:vAlign w:val="center"/>
          </w:tcPr>
          <w:p w14:paraId="1DEC573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bl>
    <w:p w14:paraId="1015C985">
      <w:pPr>
        <w:pStyle w:val="23"/>
        <w:rPr>
          <w:rFonts w:hint="default" w:ascii="Times New Roman" w:hAnsi="Times New Roman" w:cs="Times New Roman"/>
        </w:rPr>
      </w:pPr>
    </w:p>
    <w:p w14:paraId="3B1BA92F">
      <w:pPr>
        <w:pStyle w:val="23"/>
        <w:rPr>
          <w:rFonts w:hint="default" w:ascii="Times New Roman" w:hAnsi="Times New Roman" w:cs="Times New Roman"/>
        </w:rPr>
      </w:pPr>
    </w:p>
    <w:p w14:paraId="59445650">
      <w:pPr>
        <w:pStyle w:val="23"/>
        <w:ind w:firstLine="560"/>
        <w:rPr>
          <w:rFonts w:hint="default" w:ascii="Times New Roman" w:hAnsi="Times New Roman" w:cs="Times New Roman"/>
        </w:rPr>
      </w:pPr>
      <w:r>
        <w:rPr>
          <w:rFonts w:hint="eastAsia" w:eastAsia="楷体_GB2312" w:cs="Times New Roman"/>
          <w:b/>
          <w:bCs/>
          <w:sz w:val="32"/>
          <w:szCs w:val="32"/>
          <w:lang w:val="en-US" w:eastAsia="zh-CN"/>
        </w:rPr>
        <w:t>9.远程教育经费绩效目标表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070162F">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498ED2E2">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72FE414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1.增强远程教育终端站点学用效果。</w:t>
            </w:r>
          </w:p>
          <w:p w14:paraId="168FC6B2">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2.制作一批精品电教片使广大党员干部经常性受教育。</w:t>
            </w:r>
          </w:p>
        </w:tc>
      </w:tr>
    </w:tbl>
    <w:p w14:paraId="3FB315BD">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1776"/>
        <w:gridCol w:w="3888"/>
        <w:gridCol w:w="2892"/>
        <w:gridCol w:w="1164"/>
        <w:gridCol w:w="3037"/>
      </w:tblGrid>
      <w:tr w14:paraId="488ADB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3" w:hRule="atLeast"/>
          <w:tblHeader/>
          <w:jc w:val="center"/>
        </w:trPr>
        <w:tc>
          <w:tcPr>
            <w:tcW w:w="1417" w:type="dxa"/>
            <w:vAlign w:val="center"/>
          </w:tcPr>
          <w:p w14:paraId="401A39A3">
            <w:pPr>
              <w:pStyle w:val="24"/>
              <w:rPr>
                <w:rFonts w:hint="default" w:ascii="Times New Roman" w:hAnsi="Times New Roman" w:cs="Times New Roman"/>
              </w:rPr>
            </w:pPr>
            <w:r>
              <w:rPr>
                <w:rFonts w:hint="default" w:ascii="Times New Roman" w:hAnsi="Times New Roman" w:cs="Times New Roman"/>
              </w:rPr>
              <w:t>一级指标</w:t>
            </w:r>
          </w:p>
        </w:tc>
        <w:tc>
          <w:tcPr>
            <w:tcW w:w="1776" w:type="dxa"/>
            <w:vAlign w:val="center"/>
          </w:tcPr>
          <w:p w14:paraId="19479B75">
            <w:pPr>
              <w:pStyle w:val="24"/>
              <w:rPr>
                <w:rFonts w:hint="default" w:ascii="Times New Roman" w:hAnsi="Times New Roman" w:cs="Times New Roman"/>
              </w:rPr>
            </w:pPr>
            <w:r>
              <w:rPr>
                <w:rFonts w:hint="default" w:ascii="Times New Roman" w:hAnsi="Times New Roman" w:cs="Times New Roman"/>
              </w:rPr>
              <w:t>二级指标</w:t>
            </w:r>
          </w:p>
        </w:tc>
        <w:tc>
          <w:tcPr>
            <w:tcW w:w="3888" w:type="dxa"/>
            <w:vAlign w:val="center"/>
          </w:tcPr>
          <w:p w14:paraId="5FA7305A">
            <w:pPr>
              <w:pStyle w:val="24"/>
              <w:rPr>
                <w:rFonts w:hint="default" w:ascii="Times New Roman" w:hAnsi="Times New Roman" w:cs="Times New Roman"/>
              </w:rPr>
            </w:pPr>
            <w:r>
              <w:rPr>
                <w:rFonts w:hint="default" w:ascii="Times New Roman" w:hAnsi="Times New Roman" w:cs="Times New Roman"/>
              </w:rPr>
              <w:t>三级指标</w:t>
            </w:r>
          </w:p>
        </w:tc>
        <w:tc>
          <w:tcPr>
            <w:tcW w:w="2892" w:type="dxa"/>
            <w:vAlign w:val="center"/>
          </w:tcPr>
          <w:p w14:paraId="6B71A88A">
            <w:pPr>
              <w:pStyle w:val="24"/>
              <w:rPr>
                <w:rFonts w:hint="default" w:ascii="Times New Roman" w:hAnsi="Times New Roman" w:cs="Times New Roman"/>
              </w:rPr>
            </w:pPr>
            <w:r>
              <w:rPr>
                <w:rFonts w:hint="default" w:ascii="Times New Roman" w:hAnsi="Times New Roman" w:cs="Times New Roman"/>
              </w:rPr>
              <w:t>绩效指标描述</w:t>
            </w:r>
          </w:p>
        </w:tc>
        <w:tc>
          <w:tcPr>
            <w:tcW w:w="1164" w:type="dxa"/>
            <w:vAlign w:val="center"/>
          </w:tcPr>
          <w:p w14:paraId="24C78B09">
            <w:pPr>
              <w:pStyle w:val="24"/>
              <w:rPr>
                <w:rFonts w:hint="default" w:ascii="Times New Roman" w:hAnsi="Times New Roman" w:cs="Times New Roman"/>
              </w:rPr>
            </w:pPr>
            <w:r>
              <w:rPr>
                <w:rFonts w:hint="default" w:ascii="Times New Roman" w:hAnsi="Times New Roman" w:cs="Times New Roman"/>
              </w:rPr>
              <w:t>指标值</w:t>
            </w:r>
          </w:p>
        </w:tc>
        <w:tc>
          <w:tcPr>
            <w:tcW w:w="3037" w:type="dxa"/>
            <w:vAlign w:val="center"/>
          </w:tcPr>
          <w:p w14:paraId="50524EC7">
            <w:pPr>
              <w:pStyle w:val="24"/>
              <w:rPr>
                <w:rFonts w:hint="default" w:ascii="Times New Roman" w:hAnsi="Times New Roman" w:cs="Times New Roman"/>
              </w:rPr>
            </w:pPr>
            <w:r>
              <w:rPr>
                <w:rFonts w:hint="default" w:ascii="Times New Roman" w:hAnsi="Times New Roman" w:cs="Times New Roman"/>
              </w:rPr>
              <w:t>指标值确定依据</w:t>
            </w:r>
          </w:p>
        </w:tc>
      </w:tr>
      <w:tr w14:paraId="57A78B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567984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1776" w:type="dxa"/>
            <w:vAlign w:val="center"/>
          </w:tcPr>
          <w:p w14:paraId="7515929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3888" w:type="dxa"/>
            <w:vAlign w:val="center"/>
          </w:tcPr>
          <w:p w14:paraId="1B464CB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课件制作完成率</w:t>
            </w:r>
          </w:p>
        </w:tc>
        <w:tc>
          <w:tcPr>
            <w:tcW w:w="2892" w:type="dxa"/>
            <w:vAlign w:val="center"/>
          </w:tcPr>
          <w:p w14:paraId="74F926D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年度省远程办要求课件制作数量完成率</w:t>
            </w:r>
          </w:p>
        </w:tc>
        <w:tc>
          <w:tcPr>
            <w:tcW w:w="1164" w:type="dxa"/>
            <w:vAlign w:val="center"/>
          </w:tcPr>
          <w:p w14:paraId="1DB456A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3037" w:type="dxa"/>
            <w:vAlign w:val="center"/>
          </w:tcPr>
          <w:p w14:paraId="633E957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省文件通知</w:t>
            </w:r>
          </w:p>
        </w:tc>
      </w:tr>
      <w:tr w14:paraId="377706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E21339C">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776" w:type="dxa"/>
            <w:vAlign w:val="center"/>
          </w:tcPr>
          <w:p w14:paraId="5C6DC7E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3888" w:type="dxa"/>
            <w:vAlign w:val="center"/>
          </w:tcPr>
          <w:p w14:paraId="1BAAAD8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课件原创率</w:t>
            </w:r>
          </w:p>
        </w:tc>
        <w:tc>
          <w:tcPr>
            <w:tcW w:w="2892" w:type="dxa"/>
            <w:vAlign w:val="center"/>
          </w:tcPr>
          <w:p w14:paraId="74149A3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原创课件占全部发表课件的比率</w:t>
            </w:r>
          </w:p>
        </w:tc>
        <w:tc>
          <w:tcPr>
            <w:tcW w:w="1164" w:type="dxa"/>
            <w:vAlign w:val="center"/>
          </w:tcPr>
          <w:p w14:paraId="4318BEF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3037" w:type="dxa"/>
            <w:vAlign w:val="center"/>
          </w:tcPr>
          <w:p w14:paraId="4A7D64D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根据实际情况考察</w:t>
            </w:r>
          </w:p>
        </w:tc>
      </w:tr>
      <w:tr w14:paraId="65B19F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093CEFB">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776" w:type="dxa"/>
            <w:vAlign w:val="center"/>
          </w:tcPr>
          <w:p w14:paraId="71D84C6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3888" w:type="dxa"/>
            <w:vAlign w:val="center"/>
          </w:tcPr>
          <w:p w14:paraId="347C139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课件制作费结算时效</w:t>
            </w:r>
          </w:p>
        </w:tc>
        <w:tc>
          <w:tcPr>
            <w:tcW w:w="2892" w:type="dxa"/>
            <w:vAlign w:val="center"/>
          </w:tcPr>
          <w:p w14:paraId="2D1A8E1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课件制作费是否及时结算</w:t>
            </w:r>
          </w:p>
        </w:tc>
        <w:tc>
          <w:tcPr>
            <w:tcW w:w="1164" w:type="dxa"/>
            <w:vAlign w:val="center"/>
          </w:tcPr>
          <w:p w14:paraId="58605FA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w:t>
            </w:r>
          </w:p>
        </w:tc>
        <w:tc>
          <w:tcPr>
            <w:tcW w:w="3037" w:type="dxa"/>
            <w:vAlign w:val="center"/>
          </w:tcPr>
          <w:p w14:paraId="2206B2B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合同约定</w:t>
            </w:r>
          </w:p>
        </w:tc>
      </w:tr>
      <w:tr w14:paraId="4B1320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D205D2F">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776" w:type="dxa"/>
            <w:vAlign w:val="center"/>
          </w:tcPr>
          <w:p w14:paraId="1662295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3888" w:type="dxa"/>
            <w:vAlign w:val="center"/>
          </w:tcPr>
          <w:p w14:paraId="0366AF9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制片成本控制情况</w:t>
            </w:r>
          </w:p>
        </w:tc>
        <w:tc>
          <w:tcPr>
            <w:tcW w:w="2892" w:type="dxa"/>
            <w:vAlign w:val="center"/>
          </w:tcPr>
          <w:p w14:paraId="4060498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制作电教片费用是否超过市场水平</w:t>
            </w:r>
          </w:p>
        </w:tc>
        <w:tc>
          <w:tcPr>
            <w:tcW w:w="1164" w:type="dxa"/>
            <w:vAlign w:val="center"/>
          </w:tcPr>
          <w:p w14:paraId="1FD0C22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≤2万元/分钟</w:t>
            </w:r>
          </w:p>
        </w:tc>
        <w:tc>
          <w:tcPr>
            <w:tcW w:w="3037" w:type="dxa"/>
            <w:vAlign w:val="center"/>
          </w:tcPr>
          <w:p w14:paraId="23C92F5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根据市场实际行情考察</w:t>
            </w:r>
          </w:p>
        </w:tc>
      </w:tr>
      <w:tr w14:paraId="1508A8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B1B8DC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1776" w:type="dxa"/>
            <w:vAlign w:val="center"/>
          </w:tcPr>
          <w:p w14:paraId="65ADE53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3888" w:type="dxa"/>
            <w:vAlign w:val="center"/>
          </w:tcPr>
          <w:p w14:paraId="58FD128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社会和谐促进</w:t>
            </w:r>
          </w:p>
        </w:tc>
        <w:tc>
          <w:tcPr>
            <w:tcW w:w="2892" w:type="dxa"/>
            <w:vAlign w:val="center"/>
          </w:tcPr>
          <w:p w14:paraId="3C74E589">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农村党员干部能力提升是否对社会和谐有促进</w:t>
            </w:r>
          </w:p>
        </w:tc>
        <w:tc>
          <w:tcPr>
            <w:tcW w:w="1164" w:type="dxa"/>
            <w:vAlign w:val="center"/>
          </w:tcPr>
          <w:p w14:paraId="4BDD2BE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促进</w:t>
            </w:r>
          </w:p>
        </w:tc>
        <w:tc>
          <w:tcPr>
            <w:tcW w:w="3037" w:type="dxa"/>
            <w:vAlign w:val="center"/>
          </w:tcPr>
          <w:p w14:paraId="37C2EE5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工作实际</w:t>
            </w:r>
          </w:p>
        </w:tc>
      </w:tr>
      <w:tr w14:paraId="14170A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7302816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1776" w:type="dxa"/>
            <w:vAlign w:val="center"/>
          </w:tcPr>
          <w:p w14:paraId="0112EC4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3888" w:type="dxa"/>
            <w:vAlign w:val="center"/>
          </w:tcPr>
          <w:p w14:paraId="2370ADE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基层党员干部满意度</w:t>
            </w:r>
          </w:p>
        </w:tc>
        <w:tc>
          <w:tcPr>
            <w:tcW w:w="2892" w:type="dxa"/>
            <w:vAlign w:val="center"/>
          </w:tcPr>
          <w:p w14:paraId="0113110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满意人数占被调查人数的百分比</w:t>
            </w:r>
          </w:p>
        </w:tc>
        <w:tc>
          <w:tcPr>
            <w:tcW w:w="1164" w:type="dxa"/>
            <w:vAlign w:val="center"/>
          </w:tcPr>
          <w:p w14:paraId="3175418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3037" w:type="dxa"/>
            <w:vAlign w:val="center"/>
          </w:tcPr>
          <w:p w14:paraId="77D0F4B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调查问卷</w:t>
            </w:r>
          </w:p>
        </w:tc>
      </w:tr>
    </w:tbl>
    <w:p w14:paraId="0D046537">
      <w:pPr>
        <w:pStyle w:val="23"/>
        <w:rPr>
          <w:rFonts w:hint="default" w:ascii="Times New Roman" w:hAnsi="Times New Roman" w:cs="Times New Roman"/>
        </w:rPr>
      </w:pPr>
    </w:p>
    <w:p w14:paraId="4FFD5C78">
      <w:pPr>
        <w:pStyle w:val="23"/>
        <w:rPr>
          <w:rFonts w:hint="default" w:ascii="Times New Roman" w:hAnsi="Times New Roman" w:cs="Times New Roman"/>
        </w:rPr>
      </w:pPr>
    </w:p>
    <w:p w14:paraId="1A277223">
      <w:pPr>
        <w:pStyle w:val="23"/>
        <w:rPr>
          <w:rFonts w:hint="default" w:ascii="Times New Roman" w:hAnsi="Times New Roman" w:cs="Times New Roman"/>
        </w:rPr>
      </w:pPr>
    </w:p>
    <w:p w14:paraId="33DE8937">
      <w:pPr>
        <w:pStyle w:val="23"/>
        <w:rPr>
          <w:rFonts w:hint="default" w:ascii="Times New Roman" w:hAnsi="Times New Roman" w:cs="Times New Roman"/>
        </w:rPr>
      </w:pPr>
    </w:p>
    <w:p w14:paraId="5CF706F4">
      <w:pPr>
        <w:pStyle w:val="23"/>
        <w:rPr>
          <w:rFonts w:hint="default" w:ascii="Times New Roman" w:hAnsi="Times New Roman" w:cs="Times New Roman"/>
        </w:rPr>
      </w:pPr>
    </w:p>
    <w:p w14:paraId="74AF78B1">
      <w:pPr>
        <w:pStyle w:val="23"/>
        <w:rPr>
          <w:rFonts w:hint="default" w:ascii="Times New Roman" w:hAnsi="Times New Roman" w:cs="Times New Roman"/>
        </w:rPr>
      </w:pPr>
    </w:p>
    <w:p w14:paraId="47C1D9AC">
      <w:pPr>
        <w:pStyle w:val="23"/>
        <w:ind w:firstLine="560"/>
        <w:rPr>
          <w:rFonts w:hint="default" w:ascii="Times New Roman" w:hAnsi="Times New Roman" w:eastAsia="楷体_GB2312" w:cs="Times New Roman"/>
          <w:b/>
          <w:bCs/>
          <w:sz w:val="32"/>
          <w:szCs w:val="32"/>
        </w:rPr>
      </w:pPr>
    </w:p>
    <w:p w14:paraId="41D0FEC2">
      <w:pPr>
        <w:pStyle w:val="23"/>
        <w:ind w:firstLine="560"/>
        <w:rPr>
          <w:rFonts w:hint="default" w:ascii="Times New Roman" w:hAnsi="Times New Roman" w:cs="Times New Roman"/>
        </w:rPr>
      </w:pPr>
      <w:r>
        <w:rPr>
          <w:rFonts w:hint="default" w:ascii="Times New Roman" w:hAnsi="Times New Roman" w:eastAsia="楷体_GB2312" w:cs="Times New Roman"/>
          <w:b/>
          <w:bCs/>
          <w:sz w:val="32"/>
          <w:szCs w:val="32"/>
        </w:rPr>
        <w:t>1</w:t>
      </w:r>
      <w:r>
        <w:rPr>
          <w:rFonts w:hint="eastAsia" w:eastAsia="楷体_GB2312" w:cs="Times New Roman"/>
          <w:b/>
          <w:bCs/>
          <w:sz w:val="32"/>
          <w:szCs w:val="32"/>
          <w:lang w:val="en-US" w:eastAsia="zh-CN"/>
        </w:rPr>
        <w:t>0.智慧城市党建板块显示设备购置经费绩效目标表</w:t>
      </w:r>
    </w:p>
    <w:tbl>
      <w:tblPr>
        <w:tblStyle w:val="9"/>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70AE31C5">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0C7D0577">
            <w:pPr>
              <w:pStyle w:val="24"/>
              <w:rPr>
                <w:rFonts w:hint="default" w:ascii="Times New Roman" w:hAnsi="Times New Roman" w:cs="Times New Roman"/>
              </w:rPr>
            </w:pPr>
            <w:r>
              <w:rPr>
                <w:rFonts w:hint="default" w:ascii="Times New Roman" w:hAnsi="Times New Roman" w:cs="Times New Roman"/>
              </w:rPr>
              <w:t>绩效目标</w:t>
            </w:r>
          </w:p>
        </w:tc>
        <w:tc>
          <w:tcPr>
            <w:tcW w:w="12756" w:type="dxa"/>
            <w:tcBorders>
              <w:bottom w:val="single" w:color="FFFFFF" w:sz="6" w:space="0"/>
            </w:tcBorders>
            <w:vAlign w:val="center"/>
          </w:tcPr>
          <w:p w14:paraId="35A185E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1.设备功能健全、运行稳定。</w:t>
            </w:r>
          </w:p>
          <w:p w14:paraId="618DA416">
            <w:pPr>
              <w:pStyle w:val="25"/>
              <w:rPr>
                <w:rFonts w:hint="default" w:ascii="Times New Roman" w:hAnsi="Times New Roman" w:cs="Times New Roman"/>
              </w:rPr>
            </w:pPr>
            <w:r>
              <w:rPr>
                <w:rFonts w:hint="default" w:ascii="Times New Roman" w:hAnsi="Times New Roman" w:eastAsia="宋体" w:cs="Times New Roman"/>
                <w:i w:val="0"/>
                <w:iCs w:val="0"/>
                <w:color w:val="000000"/>
                <w:kern w:val="0"/>
                <w:sz w:val="22"/>
                <w:szCs w:val="22"/>
                <w:u w:val="none"/>
                <w:lang w:val="en-US" w:eastAsia="zh-CN" w:bidi="ar"/>
              </w:rPr>
              <w:t>2.能够较好展示廊坊党建工作开展情况、全市基层组织和党员队伍情况等内容。</w:t>
            </w:r>
          </w:p>
        </w:tc>
      </w:tr>
    </w:tbl>
    <w:p w14:paraId="31ED8534">
      <w:pPr>
        <w:pStyle w:val="23"/>
        <w:spacing w:line="2" w:lineRule="exact"/>
        <w:jc w:val="center"/>
        <w:rPr>
          <w:rFonts w:hint="default" w:ascii="Times New Roman" w:hAnsi="Times New Roman" w:cs="Times New Roman"/>
        </w:rPr>
      </w:pP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A70FB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A473612">
            <w:pPr>
              <w:pStyle w:val="24"/>
              <w:rPr>
                <w:rFonts w:hint="default" w:ascii="Times New Roman" w:hAnsi="Times New Roman" w:cs="Times New Roman"/>
              </w:rPr>
            </w:pPr>
            <w:r>
              <w:rPr>
                <w:rFonts w:hint="default" w:ascii="Times New Roman" w:hAnsi="Times New Roman" w:cs="Times New Roman"/>
              </w:rPr>
              <w:t>一级指标</w:t>
            </w:r>
          </w:p>
        </w:tc>
        <w:tc>
          <w:tcPr>
            <w:tcW w:w="2268" w:type="dxa"/>
            <w:vAlign w:val="center"/>
          </w:tcPr>
          <w:p w14:paraId="4861141F">
            <w:pPr>
              <w:pStyle w:val="24"/>
              <w:rPr>
                <w:rFonts w:hint="default" w:ascii="Times New Roman" w:hAnsi="Times New Roman" w:cs="Times New Roman"/>
              </w:rPr>
            </w:pPr>
            <w:r>
              <w:rPr>
                <w:rFonts w:hint="default" w:ascii="Times New Roman" w:hAnsi="Times New Roman" w:cs="Times New Roman"/>
              </w:rPr>
              <w:t>二级指标</w:t>
            </w:r>
          </w:p>
        </w:tc>
        <w:tc>
          <w:tcPr>
            <w:tcW w:w="2835" w:type="dxa"/>
            <w:vAlign w:val="center"/>
          </w:tcPr>
          <w:p w14:paraId="3090545A">
            <w:pPr>
              <w:pStyle w:val="24"/>
              <w:rPr>
                <w:rFonts w:hint="default" w:ascii="Times New Roman" w:hAnsi="Times New Roman" w:cs="Times New Roman"/>
              </w:rPr>
            </w:pPr>
            <w:r>
              <w:rPr>
                <w:rFonts w:hint="default" w:ascii="Times New Roman" w:hAnsi="Times New Roman" w:cs="Times New Roman"/>
              </w:rPr>
              <w:t>三级指标</w:t>
            </w:r>
          </w:p>
        </w:tc>
        <w:tc>
          <w:tcPr>
            <w:tcW w:w="2835" w:type="dxa"/>
            <w:vAlign w:val="center"/>
          </w:tcPr>
          <w:p w14:paraId="064FB389">
            <w:pPr>
              <w:pStyle w:val="24"/>
              <w:rPr>
                <w:rFonts w:hint="default" w:ascii="Times New Roman" w:hAnsi="Times New Roman" w:cs="Times New Roman"/>
              </w:rPr>
            </w:pPr>
            <w:r>
              <w:rPr>
                <w:rFonts w:hint="default" w:ascii="Times New Roman" w:hAnsi="Times New Roman" w:cs="Times New Roman"/>
              </w:rPr>
              <w:t>绩效指标描述</w:t>
            </w:r>
          </w:p>
        </w:tc>
        <w:tc>
          <w:tcPr>
            <w:tcW w:w="2551" w:type="dxa"/>
            <w:vAlign w:val="center"/>
          </w:tcPr>
          <w:p w14:paraId="199DA95C">
            <w:pPr>
              <w:pStyle w:val="24"/>
              <w:rPr>
                <w:rFonts w:hint="default" w:ascii="Times New Roman" w:hAnsi="Times New Roman" w:cs="Times New Roman"/>
              </w:rPr>
            </w:pPr>
            <w:r>
              <w:rPr>
                <w:rFonts w:hint="default" w:ascii="Times New Roman" w:hAnsi="Times New Roman" w:cs="Times New Roman"/>
              </w:rPr>
              <w:t>指标值</w:t>
            </w:r>
          </w:p>
        </w:tc>
        <w:tc>
          <w:tcPr>
            <w:tcW w:w="2268" w:type="dxa"/>
            <w:vAlign w:val="center"/>
          </w:tcPr>
          <w:p w14:paraId="2595163E">
            <w:pPr>
              <w:pStyle w:val="24"/>
              <w:rPr>
                <w:rFonts w:hint="default" w:ascii="Times New Roman" w:hAnsi="Times New Roman" w:cs="Times New Roman"/>
              </w:rPr>
            </w:pPr>
            <w:r>
              <w:rPr>
                <w:rFonts w:hint="default" w:ascii="Times New Roman" w:hAnsi="Times New Roman" w:cs="Times New Roman"/>
              </w:rPr>
              <w:t>指标值确定依据</w:t>
            </w:r>
          </w:p>
        </w:tc>
      </w:tr>
      <w:tr w14:paraId="2DB3EE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restart"/>
            <w:vAlign w:val="center"/>
          </w:tcPr>
          <w:p w14:paraId="21321B3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产出指标</w:t>
            </w:r>
          </w:p>
        </w:tc>
        <w:tc>
          <w:tcPr>
            <w:tcW w:w="2268" w:type="dxa"/>
            <w:vAlign w:val="center"/>
          </w:tcPr>
          <w:p w14:paraId="22E6E89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数量指标</w:t>
            </w:r>
          </w:p>
        </w:tc>
        <w:tc>
          <w:tcPr>
            <w:tcW w:w="2835" w:type="dxa"/>
            <w:vAlign w:val="center"/>
          </w:tcPr>
          <w:p w14:paraId="14F74B2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可展示信息数据数量</w:t>
            </w:r>
          </w:p>
        </w:tc>
        <w:tc>
          <w:tcPr>
            <w:tcW w:w="2835" w:type="dxa"/>
            <w:vAlign w:val="center"/>
          </w:tcPr>
          <w:p w14:paraId="48A3533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可展示的数据项、统计图表和工作内容数量</w:t>
            </w:r>
          </w:p>
        </w:tc>
        <w:tc>
          <w:tcPr>
            <w:tcW w:w="2551" w:type="dxa"/>
            <w:vAlign w:val="center"/>
          </w:tcPr>
          <w:p w14:paraId="37EB96B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≥30个</w:t>
            </w:r>
          </w:p>
        </w:tc>
        <w:tc>
          <w:tcPr>
            <w:tcW w:w="2268" w:type="dxa"/>
            <w:vAlign w:val="center"/>
          </w:tcPr>
          <w:p w14:paraId="28EA563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r w14:paraId="27D9C1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72DE6990">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56F9867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质量指标</w:t>
            </w:r>
          </w:p>
        </w:tc>
        <w:tc>
          <w:tcPr>
            <w:tcW w:w="2835" w:type="dxa"/>
            <w:vAlign w:val="center"/>
          </w:tcPr>
          <w:p w14:paraId="49ABF1C6">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故障率</w:t>
            </w:r>
          </w:p>
        </w:tc>
        <w:tc>
          <w:tcPr>
            <w:tcW w:w="2835" w:type="dxa"/>
            <w:vAlign w:val="center"/>
          </w:tcPr>
          <w:p w14:paraId="5BB3F6A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每月发生故障的次数</w:t>
            </w:r>
          </w:p>
        </w:tc>
        <w:tc>
          <w:tcPr>
            <w:tcW w:w="2551" w:type="dxa"/>
            <w:vAlign w:val="center"/>
          </w:tcPr>
          <w:p w14:paraId="7CB067F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≤3次</w:t>
            </w:r>
          </w:p>
        </w:tc>
        <w:tc>
          <w:tcPr>
            <w:tcW w:w="2268" w:type="dxa"/>
            <w:vAlign w:val="center"/>
          </w:tcPr>
          <w:p w14:paraId="50AE9BF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r w14:paraId="2A9DDD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3C1DC533">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775B14E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时效指标</w:t>
            </w:r>
          </w:p>
        </w:tc>
        <w:tc>
          <w:tcPr>
            <w:tcW w:w="2835" w:type="dxa"/>
            <w:vAlign w:val="center"/>
          </w:tcPr>
          <w:p w14:paraId="47FE4D8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更新时效</w:t>
            </w:r>
          </w:p>
        </w:tc>
        <w:tc>
          <w:tcPr>
            <w:tcW w:w="2835" w:type="dxa"/>
            <w:vAlign w:val="center"/>
          </w:tcPr>
          <w:p w14:paraId="2C4F944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展示内容是否及时更新</w:t>
            </w:r>
          </w:p>
        </w:tc>
        <w:tc>
          <w:tcPr>
            <w:tcW w:w="2551" w:type="dxa"/>
            <w:vAlign w:val="center"/>
          </w:tcPr>
          <w:p w14:paraId="7112F30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及时</w:t>
            </w:r>
          </w:p>
        </w:tc>
        <w:tc>
          <w:tcPr>
            <w:tcW w:w="2268" w:type="dxa"/>
            <w:vAlign w:val="center"/>
          </w:tcPr>
          <w:p w14:paraId="6762073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r w14:paraId="24ABC6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Merge w:val="continue"/>
            <w:vAlign w:val="center"/>
          </w:tcPr>
          <w:p w14:paraId="46E6013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2268" w:type="dxa"/>
            <w:vAlign w:val="center"/>
          </w:tcPr>
          <w:p w14:paraId="2DF657C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成本指标</w:t>
            </w:r>
          </w:p>
        </w:tc>
        <w:tc>
          <w:tcPr>
            <w:tcW w:w="2835" w:type="dxa"/>
            <w:vAlign w:val="center"/>
          </w:tcPr>
          <w:p w14:paraId="30C982B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资金成本</w:t>
            </w:r>
          </w:p>
        </w:tc>
        <w:tc>
          <w:tcPr>
            <w:tcW w:w="2835" w:type="dxa"/>
            <w:vAlign w:val="center"/>
          </w:tcPr>
          <w:p w14:paraId="27FBF35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实际支付费用不超过合同约定金额</w:t>
            </w:r>
          </w:p>
        </w:tc>
        <w:tc>
          <w:tcPr>
            <w:tcW w:w="2551" w:type="dxa"/>
            <w:vAlign w:val="center"/>
          </w:tcPr>
          <w:p w14:paraId="1C0D912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≤34.18万元</w:t>
            </w:r>
          </w:p>
        </w:tc>
        <w:tc>
          <w:tcPr>
            <w:tcW w:w="2268" w:type="dxa"/>
            <w:vAlign w:val="center"/>
          </w:tcPr>
          <w:p w14:paraId="31C48F4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采购法</w:t>
            </w:r>
          </w:p>
        </w:tc>
      </w:tr>
      <w:tr w14:paraId="7FE210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02F0524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效益指标</w:t>
            </w:r>
          </w:p>
        </w:tc>
        <w:tc>
          <w:tcPr>
            <w:tcW w:w="2268" w:type="dxa"/>
            <w:vAlign w:val="center"/>
          </w:tcPr>
          <w:p w14:paraId="7BBAADF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2835" w:type="dxa"/>
            <w:vAlign w:val="center"/>
          </w:tcPr>
          <w:p w14:paraId="01C70B8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促进宣传提升</w:t>
            </w:r>
          </w:p>
        </w:tc>
        <w:tc>
          <w:tcPr>
            <w:tcW w:w="2835" w:type="dxa"/>
            <w:vAlign w:val="center"/>
          </w:tcPr>
          <w:p w14:paraId="7A562DE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组织宣传工作是否得到提升</w:t>
            </w:r>
          </w:p>
        </w:tc>
        <w:tc>
          <w:tcPr>
            <w:tcW w:w="2551" w:type="dxa"/>
            <w:vAlign w:val="center"/>
          </w:tcPr>
          <w:p w14:paraId="57AE069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提升</w:t>
            </w:r>
          </w:p>
        </w:tc>
        <w:tc>
          <w:tcPr>
            <w:tcW w:w="2268" w:type="dxa"/>
            <w:vAlign w:val="center"/>
          </w:tcPr>
          <w:p w14:paraId="78F8E88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r w14:paraId="646E0E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exact"/>
          <w:jc w:val="center"/>
        </w:trPr>
        <w:tc>
          <w:tcPr>
            <w:tcW w:w="1417" w:type="dxa"/>
            <w:vAlign w:val="center"/>
          </w:tcPr>
          <w:p w14:paraId="3FF4540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满意度指标</w:t>
            </w:r>
          </w:p>
        </w:tc>
        <w:tc>
          <w:tcPr>
            <w:tcW w:w="2268" w:type="dxa"/>
            <w:vAlign w:val="center"/>
          </w:tcPr>
          <w:p w14:paraId="52B46930">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服务对象满意度指标</w:t>
            </w:r>
          </w:p>
        </w:tc>
        <w:tc>
          <w:tcPr>
            <w:tcW w:w="2835" w:type="dxa"/>
            <w:vAlign w:val="center"/>
          </w:tcPr>
          <w:p w14:paraId="10F7659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功能满意度</w:t>
            </w:r>
          </w:p>
        </w:tc>
        <w:tc>
          <w:tcPr>
            <w:tcW w:w="2835" w:type="dxa"/>
            <w:vAlign w:val="center"/>
          </w:tcPr>
          <w:p w14:paraId="6D1E378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抽查部机关工作人员对此项目满意度</w:t>
            </w:r>
          </w:p>
        </w:tc>
        <w:tc>
          <w:tcPr>
            <w:tcW w:w="2551" w:type="dxa"/>
            <w:vAlign w:val="center"/>
          </w:tcPr>
          <w:p w14:paraId="7B58E66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2268" w:type="dxa"/>
            <w:vAlign w:val="center"/>
          </w:tcPr>
          <w:p w14:paraId="63BAAD6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工作需要</w:t>
            </w:r>
          </w:p>
        </w:tc>
      </w:tr>
    </w:tbl>
    <w:p w14:paraId="70DABDBD">
      <w:pPr>
        <w:pStyle w:val="23"/>
        <w:rPr>
          <w:rFonts w:hint="default" w:ascii="Times New Roman" w:hAnsi="Times New Roman" w:cs="Times New Roman"/>
        </w:rPr>
      </w:pPr>
    </w:p>
    <w:p w14:paraId="6A4BF069">
      <w:pPr>
        <w:pStyle w:val="23"/>
        <w:rPr>
          <w:rFonts w:hint="default" w:ascii="Times New Roman" w:hAnsi="Times New Roman" w:cs="Times New Roman"/>
        </w:rPr>
      </w:pPr>
    </w:p>
    <w:p w14:paraId="1885B078">
      <w:pPr>
        <w:pStyle w:val="23"/>
        <w:rPr>
          <w:rFonts w:hint="default" w:ascii="Times New Roman" w:hAnsi="Times New Roman" w:cs="Times New Roman"/>
        </w:rPr>
      </w:pPr>
    </w:p>
    <w:p w14:paraId="46671276">
      <w:pPr>
        <w:autoSpaceDE w:val="0"/>
        <w:autoSpaceDN w:val="0"/>
        <w:adjustRightInd w:val="0"/>
        <w:spacing w:line="584" w:lineRule="exact"/>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六、政府采购预算情况</w:t>
      </w:r>
    </w:p>
    <w:p w14:paraId="6CABA54B">
      <w:pPr>
        <w:spacing w:line="584" w:lineRule="exact"/>
        <w:ind w:firstLine="640" w:firstLineChars="200"/>
        <w:outlineLvl w:val="0"/>
        <w:rPr>
          <w:rFonts w:hint="default" w:ascii="Times New Roman" w:hAnsi="Times New Roman" w:eastAsia="仿宋_GB2312" w:cs="Times New Roman"/>
          <w:sz w:val="32"/>
          <w:szCs w:val="24"/>
        </w:rPr>
      </w:pPr>
      <w:bookmarkStart w:id="0" w:name="_Toc471398468"/>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年，中共廊坊市委组织部安排政府采购预算</w:t>
      </w:r>
      <w:r>
        <w:rPr>
          <w:rFonts w:hint="eastAsia" w:ascii="Times New Roman" w:hAnsi="Times New Roman" w:eastAsia="仿宋_GB2312" w:cs="Times New Roman"/>
          <w:sz w:val="32"/>
          <w:szCs w:val="32"/>
          <w:lang w:val="en-US" w:eastAsia="zh-CN"/>
        </w:rPr>
        <w:t>367.8</w:t>
      </w:r>
      <w:r>
        <w:rPr>
          <w:rFonts w:hint="default" w:ascii="Times New Roman" w:hAnsi="Times New Roman" w:eastAsia="仿宋_GB2312" w:cs="Times New Roman"/>
          <w:sz w:val="32"/>
          <w:szCs w:val="32"/>
        </w:rPr>
        <w:t>万元。具体内容见下表。</w:t>
      </w:r>
    </w:p>
    <w:bookmarkEnd w:id="0"/>
    <w:p w14:paraId="163C2F37">
      <w:pPr>
        <w:jc w:val="center"/>
        <w:outlineLvl w:val="1"/>
        <w:rPr>
          <w:rFonts w:hint="default" w:ascii="Times New Roman" w:hAnsi="Times New Roman" w:eastAsia="方正小标宋_GBK" w:cs="Times New Roman"/>
          <w:sz w:val="32"/>
        </w:rPr>
      </w:pPr>
      <w:bookmarkStart w:id="1" w:name="_Toc64920910"/>
      <w:r>
        <w:rPr>
          <w:rFonts w:hint="default" w:ascii="Times New Roman" w:hAnsi="Times New Roman" w:eastAsia="方正小标宋_GBK" w:cs="Times New Roman"/>
          <w:sz w:val="32"/>
        </w:rPr>
        <w:t>部门政府采购预算</w:t>
      </w:r>
      <w:bookmarkEnd w:id="1"/>
    </w:p>
    <w:p w14:paraId="7524518D">
      <w:pPr>
        <w:outlineLvl w:val="1"/>
        <w:rPr>
          <w:rFonts w:hint="default" w:ascii="Times New Roman" w:hAnsi="Times New Roman" w:eastAsia="方正小标宋_GBK" w:cs="Times New Roman"/>
          <w:sz w:val="32"/>
        </w:rPr>
      </w:pPr>
      <w:r>
        <w:rPr>
          <w:rFonts w:hint="eastAsia" w:ascii="Times New Roman" w:hAnsi="Times New Roman" w:cs="Times New Roman"/>
          <w:lang w:val="en-US" w:eastAsia="zh-CN"/>
        </w:rPr>
        <w:t>中共廊坊市委组织部</w:t>
      </w:r>
      <w:r>
        <w:rPr>
          <w:rFonts w:hint="default" w:ascii="Times New Roman" w:hAnsi="Times New Roman" w:cs="Times New Roman"/>
        </w:rPr>
        <w:t xml:space="preserve">                                                                                                         单位：万元</w:t>
      </w:r>
    </w:p>
    <w:tbl>
      <w:tblPr>
        <w:tblStyle w:val="9"/>
        <w:tblW w:w="160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75"/>
        <w:gridCol w:w="984"/>
        <w:gridCol w:w="1788"/>
        <w:gridCol w:w="1284"/>
        <w:gridCol w:w="636"/>
        <w:gridCol w:w="480"/>
        <w:gridCol w:w="876"/>
        <w:gridCol w:w="840"/>
        <w:gridCol w:w="1068"/>
        <w:gridCol w:w="852"/>
        <w:gridCol w:w="1332"/>
        <w:gridCol w:w="888"/>
        <w:gridCol w:w="648"/>
        <w:gridCol w:w="684"/>
        <w:gridCol w:w="919"/>
        <w:gridCol w:w="964"/>
      </w:tblGrid>
      <w:tr w14:paraId="1A4EFD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759" w:type="dxa"/>
            <w:gridSpan w:val="2"/>
            <w:vAlign w:val="center"/>
          </w:tcPr>
          <w:p w14:paraId="05A20CE7">
            <w:pPr>
              <w:pStyle w:val="13"/>
              <w:rPr>
                <w:rFonts w:hint="eastAsia" w:ascii="黑体" w:hAnsi="黑体" w:eastAsia="黑体" w:cs="黑体"/>
              </w:rPr>
            </w:pPr>
            <w:r>
              <w:rPr>
                <w:rFonts w:hint="eastAsia" w:ascii="黑体" w:hAnsi="黑体" w:eastAsia="黑体" w:cs="黑体"/>
              </w:rPr>
              <w:t>政府采购项目来源</w:t>
            </w:r>
          </w:p>
        </w:tc>
        <w:tc>
          <w:tcPr>
            <w:tcW w:w="1788" w:type="dxa"/>
            <w:vMerge w:val="restart"/>
            <w:vAlign w:val="center"/>
          </w:tcPr>
          <w:p w14:paraId="55BCB441">
            <w:pPr>
              <w:pStyle w:val="13"/>
              <w:rPr>
                <w:rFonts w:hint="eastAsia" w:ascii="黑体" w:hAnsi="黑体" w:eastAsia="黑体" w:cs="黑体"/>
              </w:rPr>
            </w:pPr>
            <w:r>
              <w:rPr>
                <w:rFonts w:hint="eastAsia" w:ascii="黑体" w:hAnsi="黑体" w:eastAsia="黑体" w:cs="黑体"/>
              </w:rPr>
              <w:t>采购物品名称</w:t>
            </w:r>
          </w:p>
        </w:tc>
        <w:tc>
          <w:tcPr>
            <w:tcW w:w="1284" w:type="dxa"/>
            <w:vMerge w:val="restart"/>
            <w:vAlign w:val="center"/>
          </w:tcPr>
          <w:p w14:paraId="495D3867">
            <w:pPr>
              <w:pStyle w:val="13"/>
              <w:rPr>
                <w:rFonts w:hint="eastAsia" w:ascii="黑体" w:hAnsi="黑体" w:eastAsia="黑体" w:cs="黑体"/>
              </w:rPr>
            </w:pPr>
            <w:r>
              <w:rPr>
                <w:rFonts w:hint="eastAsia" w:ascii="黑体" w:hAnsi="黑体" w:eastAsia="黑体" w:cs="黑体"/>
              </w:rPr>
              <w:t>政府采购目录序号</w:t>
            </w:r>
          </w:p>
        </w:tc>
        <w:tc>
          <w:tcPr>
            <w:tcW w:w="636" w:type="dxa"/>
            <w:vMerge w:val="restart"/>
            <w:vAlign w:val="center"/>
          </w:tcPr>
          <w:p w14:paraId="5276334D">
            <w:pPr>
              <w:pStyle w:val="13"/>
              <w:rPr>
                <w:rFonts w:hint="eastAsia" w:ascii="黑体" w:hAnsi="黑体" w:eastAsia="黑体" w:cs="黑体"/>
              </w:rPr>
            </w:pPr>
            <w:r>
              <w:rPr>
                <w:rFonts w:hint="eastAsia" w:ascii="黑体" w:hAnsi="黑体" w:eastAsia="黑体" w:cs="黑体"/>
              </w:rPr>
              <w:t>计量  单位</w:t>
            </w:r>
          </w:p>
        </w:tc>
        <w:tc>
          <w:tcPr>
            <w:tcW w:w="480" w:type="dxa"/>
            <w:vMerge w:val="restart"/>
            <w:vAlign w:val="center"/>
          </w:tcPr>
          <w:p w14:paraId="18B19392">
            <w:pPr>
              <w:pStyle w:val="13"/>
              <w:rPr>
                <w:rFonts w:hint="eastAsia" w:ascii="黑体" w:hAnsi="黑体" w:eastAsia="黑体" w:cs="黑体"/>
              </w:rPr>
            </w:pPr>
            <w:r>
              <w:rPr>
                <w:rFonts w:hint="eastAsia" w:ascii="黑体" w:hAnsi="黑体" w:eastAsia="黑体" w:cs="黑体"/>
              </w:rPr>
              <w:t>数量</w:t>
            </w:r>
          </w:p>
        </w:tc>
        <w:tc>
          <w:tcPr>
            <w:tcW w:w="876" w:type="dxa"/>
            <w:vMerge w:val="restart"/>
            <w:vAlign w:val="center"/>
          </w:tcPr>
          <w:p w14:paraId="15A88065">
            <w:pPr>
              <w:pStyle w:val="13"/>
              <w:rPr>
                <w:rFonts w:hint="eastAsia" w:ascii="黑体" w:hAnsi="黑体" w:eastAsia="黑体" w:cs="黑体"/>
              </w:rPr>
            </w:pPr>
            <w:r>
              <w:rPr>
                <w:rFonts w:hint="eastAsia" w:ascii="黑体" w:hAnsi="黑体" w:eastAsia="黑体" w:cs="黑体"/>
              </w:rPr>
              <w:t>单价</w:t>
            </w:r>
          </w:p>
        </w:tc>
        <w:tc>
          <w:tcPr>
            <w:tcW w:w="7231" w:type="dxa"/>
            <w:gridSpan w:val="8"/>
            <w:vAlign w:val="center"/>
          </w:tcPr>
          <w:p w14:paraId="12289068">
            <w:pPr>
              <w:pStyle w:val="13"/>
              <w:rPr>
                <w:rFonts w:hint="eastAsia" w:ascii="黑体" w:hAnsi="黑体" w:eastAsia="黑体" w:cs="黑体"/>
              </w:rPr>
            </w:pPr>
            <w:r>
              <w:rPr>
                <w:rFonts w:hint="eastAsia" w:ascii="黑体" w:hAnsi="黑体" w:eastAsia="黑体" w:cs="黑体"/>
              </w:rPr>
              <w:t>政府采购金额（当年部门预算安排资金）</w:t>
            </w:r>
          </w:p>
        </w:tc>
        <w:tc>
          <w:tcPr>
            <w:tcW w:w="964" w:type="dxa"/>
            <w:vMerge w:val="restart"/>
            <w:vAlign w:val="center"/>
          </w:tcPr>
          <w:p w14:paraId="209DDF0A">
            <w:pPr>
              <w:pStyle w:val="13"/>
            </w:pPr>
            <w:r>
              <w:rPr>
                <w:rFonts w:hint="eastAsia" w:ascii="黑体" w:hAnsi="黑体" w:eastAsia="黑体" w:cs="黑体"/>
              </w:rPr>
              <w:t>2022年  预留中  小微企  业份额</w:t>
            </w:r>
          </w:p>
        </w:tc>
      </w:tr>
      <w:tr w14:paraId="39FBE3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75" w:type="dxa"/>
            <w:vAlign w:val="center"/>
          </w:tcPr>
          <w:p w14:paraId="3BCA4768">
            <w:pPr>
              <w:pStyle w:val="13"/>
              <w:rPr>
                <w:rFonts w:hint="eastAsia" w:ascii="黑体" w:hAnsi="黑体" w:eastAsia="黑体" w:cs="黑体"/>
              </w:rPr>
            </w:pPr>
            <w:r>
              <w:rPr>
                <w:rFonts w:hint="eastAsia" w:ascii="黑体" w:hAnsi="黑体" w:eastAsia="黑体" w:cs="黑体"/>
              </w:rPr>
              <w:t>项目名称</w:t>
            </w:r>
          </w:p>
        </w:tc>
        <w:tc>
          <w:tcPr>
            <w:tcW w:w="984" w:type="dxa"/>
            <w:vAlign w:val="center"/>
          </w:tcPr>
          <w:p w14:paraId="0CF85A2C">
            <w:pPr>
              <w:pStyle w:val="13"/>
              <w:rPr>
                <w:rFonts w:hint="eastAsia" w:ascii="黑体" w:hAnsi="黑体" w:eastAsia="黑体" w:cs="黑体"/>
              </w:rPr>
            </w:pPr>
            <w:r>
              <w:rPr>
                <w:rFonts w:hint="eastAsia" w:ascii="黑体" w:hAnsi="黑体" w:eastAsia="黑体" w:cs="黑体"/>
              </w:rPr>
              <w:t>预算    资金</w:t>
            </w:r>
          </w:p>
        </w:tc>
        <w:tc>
          <w:tcPr>
            <w:tcW w:w="1788" w:type="dxa"/>
            <w:vMerge w:val="continue"/>
          </w:tcPr>
          <w:p w14:paraId="26995640">
            <w:pPr>
              <w:rPr>
                <w:rFonts w:hint="eastAsia" w:ascii="黑体" w:hAnsi="黑体" w:eastAsia="黑体" w:cs="黑体"/>
              </w:rPr>
            </w:pPr>
          </w:p>
        </w:tc>
        <w:tc>
          <w:tcPr>
            <w:tcW w:w="1284" w:type="dxa"/>
            <w:vMerge w:val="continue"/>
          </w:tcPr>
          <w:p w14:paraId="2F85D1F0">
            <w:pPr>
              <w:rPr>
                <w:rFonts w:hint="eastAsia" w:ascii="黑体" w:hAnsi="黑体" w:eastAsia="黑体" w:cs="黑体"/>
              </w:rPr>
            </w:pPr>
          </w:p>
        </w:tc>
        <w:tc>
          <w:tcPr>
            <w:tcW w:w="636" w:type="dxa"/>
            <w:vMerge w:val="continue"/>
          </w:tcPr>
          <w:p w14:paraId="71B8E75D">
            <w:pPr>
              <w:rPr>
                <w:rFonts w:hint="eastAsia" w:ascii="黑体" w:hAnsi="黑体" w:eastAsia="黑体" w:cs="黑体"/>
              </w:rPr>
            </w:pPr>
          </w:p>
        </w:tc>
        <w:tc>
          <w:tcPr>
            <w:tcW w:w="480" w:type="dxa"/>
            <w:vMerge w:val="continue"/>
          </w:tcPr>
          <w:p w14:paraId="434D2001">
            <w:pPr>
              <w:rPr>
                <w:rFonts w:hint="eastAsia" w:ascii="黑体" w:hAnsi="黑体" w:eastAsia="黑体" w:cs="黑体"/>
              </w:rPr>
            </w:pPr>
          </w:p>
        </w:tc>
        <w:tc>
          <w:tcPr>
            <w:tcW w:w="876" w:type="dxa"/>
            <w:vMerge w:val="continue"/>
          </w:tcPr>
          <w:p w14:paraId="6AAA797B">
            <w:pPr>
              <w:rPr>
                <w:rFonts w:hint="eastAsia" w:ascii="黑体" w:hAnsi="黑体" w:eastAsia="黑体" w:cs="黑体"/>
              </w:rPr>
            </w:pPr>
          </w:p>
        </w:tc>
        <w:tc>
          <w:tcPr>
            <w:tcW w:w="840" w:type="dxa"/>
            <w:vAlign w:val="center"/>
          </w:tcPr>
          <w:p w14:paraId="7D7EFD80">
            <w:pPr>
              <w:pStyle w:val="13"/>
              <w:rPr>
                <w:rFonts w:hint="eastAsia" w:ascii="黑体" w:hAnsi="黑体" w:eastAsia="黑体" w:cs="黑体"/>
              </w:rPr>
            </w:pPr>
            <w:r>
              <w:rPr>
                <w:rFonts w:hint="eastAsia" w:ascii="黑体" w:hAnsi="黑体" w:eastAsia="黑体" w:cs="黑体"/>
              </w:rPr>
              <w:t>合计</w:t>
            </w:r>
          </w:p>
        </w:tc>
        <w:tc>
          <w:tcPr>
            <w:tcW w:w="1068" w:type="dxa"/>
            <w:vAlign w:val="center"/>
          </w:tcPr>
          <w:p w14:paraId="29EB96AE">
            <w:pPr>
              <w:pStyle w:val="13"/>
              <w:rPr>
                <w:rFonts w:hint="eastAsia" w:ascii="黑体" w:hAnsi="黑体" w:eastAsia="黑体" w:cs="黑体"/>
              </w:rPr>
            </w:pPr>
            <w:r>
              <w:rPr>
                <w:rFonts w:hint="eastAsia" w:ascii="黑体" w:hAnsi="黑体" w:eastAsia="黑体" w:cs="黑体"/>
              </w:rPr>
              <w:t>一般公共预算拨款</w:t>
            </w:r>
          </w:p>
        </w:tc>
        <w:tc>
          <w:tcPr>
            <w:tcW w:w="852" w:type="dxa"/>
            <w:vAlign w:val="center"/>
          </w:tcPr>
          <w:p w14:paraId="0AF70F3C">
            <w:pPr>
              <w:pStyle w:val="13"/>
              <w:rPr>
                <w:rFonts w:hint="eastAsia" w:ascii="黑体" w:hAnsi="黑体" w:eastAsia="黑体" w:cs="黑体"/>
              </w:rPr>
            </w:pPr>
            <w:r>
              <w:rPr>
                <w:rFonts w:hint="eastAsia" w:ascii="黑体" w:hAnsi="黑体" w:eastAsia="黑体" w:cs="黑体"/>
              </w:rPr>
              <w:t>基金预算拨款</w:t>
            </w:r>
          </w:p>
        </w:tc>
        <w:tc>
          <w:tcPr>
            <w:tcW w:w="1332" w:type="dxa"/>
            <w:vAlign w:val="center"/>
          </w:tcPr>
          <w:p w14:paraId="45B40882">
            <w:pPr>
              <w:pStyle w:val="13"/>
              <w:rPr>
                <w:rFonts w:hint="eastAsia" w:ascii="黑体" w:hAnsi="黑体" w:eastAsia="黑体" w:cs="黑体"/>
              </w:rPr>
            </w:pPr>
            <w:r>
              <w:rPr>
                <w:rFonts w:hint="eastAsia" w:ascii="黑体" w:hAnsi="黑体" w:eastAsia="黑体" w:cs="黑体"/>
              </w:rPr>
              <w:t>国有资本经营预算拨款</w:t>
            </w:r>
          </w:p>
        </w:tc>
        <w:tc>
          <w:tcPr>
            <w:tcW w:w="888" w:type="dxa"/>
            <w:vAlign w:val="center"/>
          </w:tcPr>
          <w:p w14:paraId="6C37F032">
            <w:pPr>
              <w:pStyle w:val="13"/>
              <w:rPr>
                <w:rFonts w:hint="eastAsia" w:ascii="黑体" w:hAnsi="黑体" w:eastAsia="黑体" w:cs="黑体"/>
              </w:rPr>
            </w:pPr>
            <w:r>
              <w:rPr>
                <w:rFonts w:hint="eastAsia" w:ascii="黑体" w:hAnsi="黑体" w:eastAsia="黑体" w:cs="黑体"/>
              </w:rPr>
              <w:t>财政专户核拨</w:t>
            </w:r>
          </w:p>
        </w:tc>
        <w:tc>
          <w:tcPr>
            <w:tcW w:w="648" w:type="dxa"/>
            <w:vAlign w:val="center"/>
          </w:tcPr>
          <w:p w14:paraId="1E555AF8">
            <w:pPr>
              <w:pStyle w:val="13"/>
              <w:rPr>
                <w:rFonts w:hint="eastAsia" w:ascii="黑体" w:hAnsi="黑体" w:eastAsia="黑体" w:cs="黑体"/>
              </w:rPr>
            </w:pPr>
            <w:r>
              <w:rPr>
                <w:rFonts w:hint="eastAsia" w:ascii="黑体" w:hAnsi="黑体" w:eastAsia="黑体" w:cs="黑体"/>
              </w:rPr>
              <w:t>单位资金</w:t>
            </w:r>
          </w:p>
        </w:tc>
        <w:tc>
          <w:tcPr>
            <w:tcW w:w="684" w:type="dxa"/>
            <w:vAlign w:val="center"/>
          </w:tcPr>
          <w:p w14:paraId="097E368A">
            <w:pPr>
              <w:pStyle w:val="13"/>
              <w:rPr>
                <w:rFonts w:hint="eastAsia" w:ascii="黑体" w:hAnsi="黑体" w:eastAsia="黑体" w:cs="黑体"/>
              </w:rPr>
            </w:pPr>
            <w:r>
              <w:rPr>
                <w:rFonts w:hint="eastAsia" w:ascii="黑体" w:hAnsi="黑体" w:eastAsia="黑体" w:cs="黑体"/>
              </w:rPr>
              <w:t>财政拨款结转</w:t>
            </w:r>
          </w:p>
        </w:tc>
        <w:tc>
          <w:tcPr>
            <w:tcW w:w="919" w:type="dxa"/>
            <w:vAlign w:val="center"/>
          </w:tcPr>
          <w:p w14:paraId="764B1CE3">
            <w:pPr>
              <w:pStyle w:val="13"/>
              <w:rPr>
                <w:rFonts w:hint="eastAsia" w:ascii="黑体" w:hAnsi="黑体" w:eastAsia="黑体" w:cs="黑体"/>
              </w:rPr>
            </w:pPr>
            <w:r>
              <w:rPr>
                <w:rFonts w:hint="eastAsia" w:ascii="黑体" w:hAnsi="黑体" w:eastAsia="黑体" w:cs="黑体"/>
              </w:rPr>
              <w:t>非财政    拨款结    转结余</w:t>
            </w:r>
          </w:p>
        </w:tc>
        <w:tc>
          <w:tcPr>
            <w:tcW w:w="964" w:type="dxa"/>
            <w:vMerge w:val="continue"/>
          </w:tcPr>
          <w:p w14:paraId="358EE139"/>
        </w:tc>
      </w:tr>
      <w:tr w14:paraId="63C2CE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5" w:type="dxa"/>
            <w:vAlign w:val="center"/>
          </w:tcPr>
          <w:p w14:paraId="6CAFB622">
            <w:pPr>
              <w:pStyle w:val="17"/>
              <w:rPr>
                <w:rFonts w:hint="eastAsia" w:ascii="黑体" w:hAnsi="黑体" w:eastAsia="黑体" w:cs="黑体"/>
                <w:b/>
                <w:kern w:val="0"/>
                <w:sz w:val="21"/>
                <w:szCs w:val="24"/>
                <w:lang w:val="en-US" w:eastAsia="uk-UA" w:bidi="ar-SA"/>
              </w:rPr>
            </w:pPr>
            <w:r>
              <w:rPr>
                <w:rFonts w:hint="eastAsia" w:ascii="黑体" w:hAnsi="黑体" w:eastAsia="黑体" w:cs="黑体"/>
                <w:b/>
                <w:kern w:val="0"/>
                <w:sz w:val="21"/>
                <w:szCs w:val="24"/>
                <w:lang w:val="en-US" w:eastAsia="uk-UA" w:bidi="ar-SA"/>
              </w:rPr>
              <w:t>合  计</w:t>
            </w:r>
          </w:p>
        </w:tc>
        <w:tc>
          <w:tcPr>
            <w:tcW w:w="984" w:type="dxa"/>
            <w:vAlign w:val="center"/>
          </w:tcPr>
          <w:p w14:paraId="230E59C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788" w:type="dxa"/>
            <w:vAlign w:val="center"/>
          </w:tcPr>
          <w:p w14:paraId="4E093CCC">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284" w:type="dxa"/>
            <w:vAlign w:val="center"/>
          </w:tcPr>
          <w:p w14:paraId="2A73F5CE">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36" w:type="dxa"/>
            <w:vAlign w:val="center"/>
          </w:tcPr>
          <w:p w14:paraId="64E7D6C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480" w:type="dxa"/>
            <w:vAlign w:val="center"/>
          </w:tcPr>
          <w:p w14:paraId="0B4EF396">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76" w:type="dxa"/>
            <w:vAlign w:val="center"/>
          </w:tcPr>
          <w:p w14:paraId="4A75F7A2">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40" w:type="dxa"/>
            <w:vAlign w:val="center"/>
          </w:tcPr>
          <w:p w14:paraId="3DBBF8C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c>
          <w:tcPr>
            <w:tcW w:w="1068" w:type="dxa"/>
            <w:vAlign w:val="center"/>
          </w:tcPr>
          <w:p w14:paraId="502A599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c>
          <w:tcPr>
            <w:tcW w:w="852" w:type="dxa"/>
            <w:vAlign w:val="center"/>
          </w:tcPr>
          <w:p w14:paraId="13E37FB9">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332" w:type="dxa"/>
            <w:vAlign w:val="center"/>
          </w:tcPr>
          <w:p w14:paraId="0379BD72">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88" w:type="dxa"/>
            <w:vAlign w:val="center"/>
          </w:tcPr>
          <w:p w14:paraId="23E568F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48" w:type="dxa"/>
            <w:vAlign w:val="center"/>
          </w:tcPr>
          <w:p w14:paraId="5742DFE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84" w:type="dxa"/>
            <w:vAlign w:val="center"/>
          </w:tcPr>
          <w:p w14:paraId="649FC8D5">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19" w:type="dxa"/>
            <w:vAlign w:val="center"/>
          </w:tcPr>
          <w:p w14:paraId="366ED6E0">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64" w:type="dxa"/>
            <w:vAlign w:val="center"/>
          </w:tcPr>
          <w:p w14:paraId="2DAB9E9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r>
      <w:tr w14:paraId="4BA337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5" w:type="dxa"/>
            <w:vAlign w:val="center"/>
          </w:tcPr>
          <w:p w14:paraId="170C3E78">
            <w:pPr>
              <w:pStyle w:val="17"/>
              <w:rPr>
                <w:rFonts w:hint="eastAsia" w:ascii="黑体" w:hAnsi="黑体" w:eastAsia="黑体" w:cs="黑体"/>
                <w:b/>
                <w:kern w:val="0"/>
                <w:sz w:val="21"/>
                <w:szCs w:val="24"/>
                <w:lang w:val="en-US" w:eastAsia="uk-UA" w:bidi="ar-SA"/>
              </w:rPr>
            </w:pPr>
            <w:r>
              <w:rPr>
                <w:rFonts w:hint="eastAsia" w:ascii="黑体" w:hAnsi="黑体" w:eastAsia="黑体" w:cs="黑体"/>
                <w:b/>
                <w:kern w:val="0"/>
                <w:sz w:val="21"/>
                <w:szCs w:val="24"/>
                <w:lang w:val="en-US" w:eastAsia="uk-UA" w:bidi="ar-SA"/>
              </w:rPr>
              <w:t>中共廊坊市委组织部本级小计</w:t>
            </w:r>
          </w:p>
        </w:tc>
        <w:tc>
          <w:tcPr>
            <w:tcW w:w="984" w:type="dxa"/>
            <w:vAlign w:val="center"/>
          </w:tcPr>
          <w:p w14:paraId="5304A01A">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788" w:type="dxa"/>
            <w:vAlign w:val="center"/>
          </w:tcPr>
          <w:p w14:paraId="6A1E859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284" w:type="dxa"/>
            <w:vAlign w:val="center"/>
          </w:tcPr>
          <w:p w14:paraId="3B2510A3">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36" w:type="dxa"/>
            <w:vAlign w:val="center"/>
          </w:tcPr>
          <w:p w14:paraId="19593F8E">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480" w:type="dxa"/>
            <w:vAlign w:val="center"/>
          </w:tcPr>
          <w:p w14:paraId="5660FED4">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76" w:type="dxa"/>
            <w:vAlign w:val="center"/>
          </w:tcPr>
          <w:p w14:paraId="4A2C6BAC">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40" w:type="dxa"/>
            <w:vAlign w:val="center"/>
          </w:tcPr>
          <w:p w14:paraId="02E7A322">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c>
          <w:tcPr>
            <w:tcW w:w="1068" w:type="dxa"/>
            <w:vAlign w:val="center"/>
          </w:tcPr>
          <w:p w14:paraId="70AF9FC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c>
          <w:tcPr>
            <w:tcW w:w="852" w:type="dxa"/>
            <w:vAlign w:val="center"/>
          </w:tcPr>
          <w:p w14:paraId="5997B05F">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332" w:type="dxa"/>
            <w:vAlign w:val="center"/>
          </w:tcPr>
          <w:p w14:paraId="4D69D013">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88" w:type="dxa"/>
            <w:vAlign w:val="center"/>
          </w:tcPr>
          <w:p w14:paraId="59B5EB19">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48" w:type="dxa"/>
            <w:vAlign w:val="center"/>
          </w:tcPr>
          <w:p w14:paraId="02F24092">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84" w:type="dxa"/>
            <w:vAlign w:val="center"/>
          </w:tcPr>
          <w:p w14:paraId="62D9F8E4">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19" w:type="dxa"/>
            <w:vAlign w:val="center"/>
          </w:tcPr>
          <w:p w14:paraId="303B0F8F">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64" w:type="dxa"/>
            <w:vAlign w:val="center"/>
          </w:tcPr>
          <w:p w14:paraId="16FDC43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367.80</w:t>
            </w:r>
          </w:p>
        </w:tc>
      </w:tr>
      <w:tr w14:paraId="271F90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5" w:type="dxa"/>
            <w:vAlign w:val="center"/>
          </w:tcPr>
          <w:p w14:paraId="3232D2E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机关工作经费</w:t>
            </w:r>
          </w:p>
        </w:tc>
        <w:tc>
          <w:tcPr>
            <w:tcW w:w="984" w:type="dxa"/>
            <w:vAlign w:val="center"/>
          </w:tcPr>
          <w:p w14:paraId="798A81E5">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500.00</w:t>
            </w:r>
          </w:p>
        </w:tc>
        <w:tc>
          <w:tcPr>
            <w:tcW w:w="1788" w:type="dxa"/>
            <w:vAlign w:val="center"/>
          </w:tcPr>
          <w:p w14:paraId="09A3AAB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其他印刷服务</w:t>
            </w:r>
          </w:p>
        </w:tc>
        <w:tc>
          <w:tcPr>
            <w:tcW w:w="1284" w:type="dxa"/>
            <w:vAlign w:val="center"/>
          </w:tcPr>
          <w:p w14:paraId="08285E68">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C23090199</w:t>
            </w:r>
          </w:p>
        </w:tc>
        <w:tc>
          <w:tcPr>
            <w:tcW w:w="636" w:type="dxa"/>
            <w:vAlign w:val="center"/>
          </w:tcPr>
          <w:p w14:paraId="731EE553">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次</w:t>
            </w:r>
          </w:p>
        </w:tc>
        <w:tc>
          <w:tcPr>
            <w:tcW w:w="480" w:type="dxa"/>
            <w:vAlign w:val="center"/>
          </w:tcPr>
          <w:p w14:paraId="73D4609E">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876" w:type="dxa"/>
            <w:vAlign w:val="center"/>
          </w:tcPr>
          <w:p w14:paraId="44C8A3D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260.00</w:t>
            </w:r>
          </w:p>
        </w:tc>
        <w:tc>
          <w:tcPr>
            <w:tcW w:w="840" w:type="dxa"/>
            <w:vAlign w:val="center"/>
          </w:tcPr>
          <w:p w14:paraId="573E27B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260.00</w:t>
            </w:r>
          </w:p>
        </w:tc>
        <w:tc>
          <w:tcPr>
            <w:tcW w:w="1068" w:type="dxa"/>
            <w:vAlign w:val="center"/>
          </w:tcPr>
          <w:p w14:paraId="1983E57C">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260.00</w:t>
            </w:r>
          </w:p>
        </w:tc>
        <w:tc>
          <w:tcPr>
            <w:tcW w:w="852" w:type="dxa"/>
            <w:vAlign w:val="center"/>
          </w:tcPr>
          <w:p w14:paraId="7745E4A4">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332" w:type="dxa"/>
            <w:vAlign w:val="center"/>
          </w:tcPr>
          <w:p w14:paraId="5A0A03B6">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88" w:type="dxa"/>
            <w:vAlign w:val="center"/>
          </w:tcPr>
          <w:p w14:paraId="6BA23EAF">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48" w:type="dxa"/>
            <w:vAlign w:val="center"/>
          </w:tcPr>
          <w:p w14:paraId="42F8A160">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84" w:type="dxa"/>
            <w:vAlign w:val="center"/>
          </w:tcPr>
          <w:p w14:paraId="5BD7B8C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19" w:type="dxa"/>
            <w:vAlign w:val="center"/>
          </w:tcPr>
          <w:p w14:paraId="06BEA7B1">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64" w:type="dxa"/>
            <w:vAlign w:val="center"/>
          </w:tcPr>
          <w:p w14:paraId="07CE75AD">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260.00</w:t>
            </w:r>
          </w:p>
        </w:tc>
      </w:tr>
      <w:tr w14:paraId="26CC6B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5" w:type="dxa"/>
            <w:vAlign w:val="center"/>
          </w:tcPr>
          <w:p w14:paraId="4AAF438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人才管理经费</w:t>
            </w:r>
          </w:p>
        </w:tc>
        <w:tc>
          <w:tcPr>
            <w:tcW w:w="984" w:type="dxa"/>
            <w:vAlign w:val="center"/>
          </w:tcPr>
          <w:p w14:paraId="4ACDC5E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1095.70</w:t>
            </w:r>
          </w:p>
        </w:tc>
        <w:tc>
          <w:tcPr>
            <w:tcW w:w="1788" w:type="dxa"/>
            <w:vAlign w:val="center"/>
          </w:tcPr>
          <w:p w14:paraId="4DF1950A">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旅游服务</w:t>
            </w:r>
          </w:p>
        </w:tc>
        <w:tc>
          <w:tcPr>
            <w:tcW w:w="1284" w:type="dxa"/>
            <w:vAlign w:val="center"/>
          </w:tcPr>
          <w:p w14:paraId="1CACE9BB">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C23270000</w:t>
            </w:r>
          </w:p>
        </w:tc>
        <w:tc>
          <w:tcPr>
            <w:tcW w:w="636" w:type="dxa"/>
            <w:vAlign w:val="center"/>
          </w:tcPr>
          <w:p w14:paraId="0A3DDEC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次</w:t>
            </w:r>
          </w:p>
        </w:tc>
        <w:tc>
          <w:tcPr>
            <w:tcW w:w="480" w:type="dxa"/>
            <w:vAlign w:val="center"/>
          </w:tcPr>
          <w:p w14:paraId="0F4A7131">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876" w:type="dxa"/>
            <w:vAlign w:val="center"/>
          </w:tcPr>
          <w:p w14:paraId="18CB9D9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52.80</w:t>
            </w:r>
          </w:p>
        </w:tc>
        <w:tc>
          <w:tcPr>
            <w:tcW w:w="840" w:type="dxa"/>
            <w:vAlign w:val="center"/>
          </w:tcPr>
          <w:p w14:paraId="756CD917">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52.80</w:t>
            </w:r>
          </w:p>
        </w:tc>
        <w:tc>
          <w:tcPr>
            <w:tcW w:w="1068" w:type="dxa"/>
            <w:vAlign w:val="center"/>
          </w:tcPr>
          <w:p w14:paraId="1047890F">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52.80</w:t>
            </w:r>
          </w:p>
        </w:tc>
        <w:tc>
          <w:tcPr>
            <w:tcW w:w="852" w:type="dxa"/>
            <w:vAlign w:val="center"/>
          </w:tcPr>
          <w:p w14:paraId="018F2C2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1332" w:type="dxa"/>
            <w:vAlign w:val="center"/>
          </w:tcPr>
          <w:p w14:paraId="13D96D04">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888" w:type="dxa"/>
            <w:vAlign w:val="center"/>
          </w:tcPr>
          <w:p w14:paraId="32F67BAF">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48" w:type="dxa"/>
            <w:vAlign w:val="center"/>
          </w:tcPr>
          <w:p w14:paraId="2FA89897">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684" w:type="dxa"/>
            <w:vAlign w:val="center"/>
          </w:tcPr>
          <w:p w14:paraId="7ADC4689">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19" w:type="dxa"/>
            <w:vAlign w:val="center"/>
          </w:tcPr>
          <w:p w14:paraId="6D49E132">
            <w:pPr>
              <w:pStyle w:val="25"/>
              <w:rPr>
                <w:rFonts w:hint="default" w:ascii="Times New Roman" w:hAnsi="Times New Roman" w:eastAsia="宋体" w:cs="Times New Roman"/>
                <w:i w:val="0"/>
                <w:iCs w:val="0"/>
                <w:color w:val="000000"/>
                <w:kern w:val="0"/>
                <w:sz w:val="22"/>
                <w:szCs w:val="22"/>
                <w:u w:val="none"/>
                <w:lang w:val="en-US" w:eastAsia="zh-CN" w:bidi="ar"/>
              </w:rPr>
            </w:pPr>
          </w:p>
        </w:tc>
        <w:tc>
          <w:tcPr>
            <w:tcW w:w="964" w:type="dxa"/>
            <w:vAlign w:val="center"/>
          </w:tcPr>
          <w:p w14:paraId="64F4B024">
            <w:pPr>
              <w:pStyle w:val="25"/>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52.80</w:t>
            </w:r>
          </w:p>
        </w:tc>
      </w:tr>
    </w:tbl>
    <w:p w14:paraId="43FFE78D">
      <w:pPr>
        <w:spacing w:line="50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注：同一采购目录序号的物品，其单价会因配置规格不同而变动，均符合资产配置标准。涉密采购事项按照相关规定执行。</w:t>
      </w:r>
    </w:p>
    <w:p w14:paraId="616E4574">
      <w:pPr>
        <w:spacing w:line="500" w:lineRule="exact"/>
        <w:ind w:firstLine="640" w:firstLineChars="200"/>
        <w:rPr>
          <w:rFonts w:hint="default" w:ascii="Times New Roman" w:hAnsi="Times New Roman" w:eastAsia="黑体" w:cs="Times New Roman"/>
          <w:sz w:val="32"/>
          <w:szCs w:val="32"/>
        </w:rPr>
      </w:pPr>
    </w:p>
    <w:p w14:paraId="73F7757F">
      <w:pPr>
        <w:pStyle w:val="2"/>
        <w:rPr>
          <w:rFonts w:hint="default"/>
        </w:rPr>
      </w:pPr>
    </w:p>
    <w:p w14:paraId="7A98AE8F">
      <w:pPr>
        <w:rPr>
          <w:rFonts w:hint="default"/>
        </w:rPr>
      </w:pPr>
    </w:p>
    <w:p w14:paraId="4F8A279E">
      <w:pPr>
        <w:spacing w:line="5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七、国有资产信息</w:t>
      </w:r>
    </w:p>
    <w:p w14:paraId="67EBFC4C">
      <w:pPr>
        <w:spacing w:line="584" w:lineRule="exact"/>
        <w:ind w:firstLine="64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中共廊坊市委组织部</w:t>
      </w:r>
      <w:r>
        <w:rPr>
          <w:rFonts w:hint="default"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lang w:val="en-US" w:eastAsia="zh-CN"/>
        </w:rPr>
        <w:t>2417.51</w:t>
      </w:r>
      <w:r>
        <w:rPr>
          <w:rFonts w:hint="default" w:ascii="Times New Roman" w:hAnsi="Times New Roman" w:eastAsia="仿宋_GB2312" w:cs="Times New Roman"/>
          <w:sz w:val="32"/>
          <w:szCs w:val="32"/>
        </w:rPr>
        <w:t>万元（详见下表），本年度我部门拟购置固定资产总额为</w:t>
      </w:r>
      <w:r>
        <w:rPr>
          <w:rFonts w:hint="eastAsia" w:ascii="Times New Roman" w:hAnsi="Times New Roman" w:eastAsia="仿宋_GB2312" w:cs="Times New Roman"/>
          <w:sz w:val="32"/>
          <w:szCs w:val="32"/>
          <w:lang w:val="en-US" w:eastAsia="zh-CN"/>
        </w:rPr>
        <w:t>289.51</w:t>
      </w:r>
      <w:r>
        <w:rPr>
          <w:rFonts w:hint="default" w:ascii="Times New Roman" w:hAnsi="Times New Roman" w:eastAsia="仿宋_GB2312" w:cs="Times New Roman"/>
          <w:sz w:val="32"/>
          <w:szCs w:val="32"/>
        </w:rPr>
        <w:t>万元，主要为党建板块显示设备等，已列入政府采购预算，详见政府采购预算表。</w:t>
      </w:r>
    </w:p>
    <w:p w14:paraId="7C062CBC">
      <w:pPr>
        <w:spacing w:line="584" w:lineRule="exact"/>
        <w:ind w:firstLine="640"/>
        <w:rPr>
          <w:rFonts w:hint="default" w:ascii="Times New Roman" w:hAnsi="Times New Roman" w:eastAsia="仿宋_GB2312" w:cs="Times New Roman"/>
          <w:sz w:val="32"/>
          <w:szCs w:val="32"/>
        </w:rPr>
      </w:pPr>
    </w:p>
    <w:tbl>
      <w:tblPr>
        <w:tblStyle w:val="9"/>
        <w:tblW w:w="13325" w:type="dxa"/>
        <w:tblInd w:w="91" w:type="dxa"/>
        <w:tblLayout w:type="autofit"/>
        <w:tblCellMar>
          <w:top w:w="0" w:type="dxa"/>
          <w:left w:w="108" w:type="dxa"/>
          <w:bottom w:w="0" w:type="dxa"/>
          <w:right w:w="108" w:type="dxa"/>
        </w:tblCellMar>
      </w:tblPr>
      <w:tblGrid>
        <w:gridCol w:w="5224"/>
        <w:gridCol w:w="3155"/>
        <w:gridCol w:w="5103"/>
      </w:tblGrid>
      <w:tr w14:paraId="5A35F2B2">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70E8C090">
            <w:pPr>
              <w:widowControl/>
              <w:spacing w:line="584" w:lineRule="exact"/>
              <w:jc w:val="center"/>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廊坊市市直部门固定资产占用情况表</w:t>
            </w:r>
          </w:p>
        </w:tc>
      </w:tr>
      <w:tr w14:paraId="213622F8">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287ED847">
            <w:pPr>
              <w:widowControl/>
              <w:spacing w:line="584" w:lineRule="exact"/>
              <w:jc w:val="left"/>
              <w:rPr>
                <w:rFonts w:hint="eastAsia" w:ascii="Times New Roman" w:hAnsi="Times New Roman" w:eastAsia="仿宋_GB2312" w:cs="Times New Roman"/>
                <w:kern w:val="0"/>
                <w:sz w:val="22"/>
                <w:lang w:eastAsia="zh-CN"/>
              </w:rPr>
            </w:pPr>
            <w:r>
              <w:rPr>
                <w:rFonts w:hint="default" w:ascii="Times New Roman" w:hAnsi="Times New Roman" w:eastAsia="仿宋_GB2312" w:cs="Times New Roman"/>
                <w:kern w:val="0"/>
                <w:sz w:val="22"/>
              </w:rPr>
              <w:t>编制部门：</w:t>
            </w:r>
            <w:r>
              <w:rPr>
                <w:rFonts w:hint="eastAsia" w:ascii="Times New Roman" w:hAnsi="Times New Roman" w:eastAsia="仿宋_GB2312" w:cs="Times New Roman"/>
                <w:kern w:val="0"/>
                <w:sz w:val="22"/>
                <w:lang w:val="en-US" w:eastAsia="zh-CN"/>
              </w:rPr>
              <w:t>中共廊坊市委组织部</w:t>
            </w:r>
          </w:p>
        </w:tc>
        <w:tc>
          <w:tcPr>
            <w:tcW w:w="5103" w:type="dxa"/>
            <w:tcBorders>
              <w:top w:val="nil"/>
              <w:left w:val="nil"/>
              <w:bottom w:val="nil"/>
              <w:right w:val="nil"/>
            </w:tcBorders>
            <w:shd w:val="clear" w:color="auto" w:fill="auto"/>
            <w:noWrap/>
            <w:vAlign w:val="center"/>
          </w:tcPr>
          <w:p w14:paraId="47D0D809">
            <w:pPr>
              <w:widowControl/>
              <w:spacing w:line="584" w:lineRule="exact"/>
              <w:jc w:val="left"/>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截止时间：202</w:t>
            </w:r>
            <w:r>
              <w:rPr>
                <w:rFonts w:hint="eastAsia" w:ascii="Times New Roman" w:hAnsi="Times New Roman" w:eastAsia="仿宋_GB2312" w:cs="Times New Roman"/>
                <w:kern w:val="0"/>
                <w:sz w:val="22"/>
                <w:lang w:val="en-US" w:eastAsia="zh-CN"/>
              </w:rPr>
              <w:t>2</w:t>
            </w:r>
            <w:r>
              <w:rPr>
                <w:rFonts w:hint="default" w:ascii="Times New Roman" w:hAnsi="Times New Roman" w:eastAsia="仿宋_GB2312" w:cs="Times New Roman"/>
                <w:kern w:val="0"/>
                <w:sz w:val="22"/>
              </w:rPr>
              <w:t xml:space="preserve">年12月31日  </w:t>
            </w:r>
          </w:p>
        </w:tc>
      </w:tr>
      <w:tr w14:paraId="0F14D2A9">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68EB39">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kern w:val="0"/>
                <w:sz w:val="22"/>
              </w:rPr>
            </w:pPr>
            <w:r>
              <w:rPr>
                <w:rFonts w:hint="default"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7174F918">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kern w:val="0"/>
                <w:sz w:val="22"/>
              </w:rPr>
            </w:pPr>
            <w:r>
              <w:rPr>
                <w:rFonts w:hint="default"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446658EC">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kern w:val="0"/>
                <w:sz w:val="22"/>
              </w:rPr>
            </w:pPr>
            <w:r>
              <w:rPr>
                <w:rFonts w:hint="default" w:ascii="Times New Roman" w:hAnsi="Times New Roman" w:eastAsia="仿宋_GB2312" w:cs="Times New Roman"/>
                <w:b/>
                <w:bCs/>
                <w:kern w:val="0"/>
                <w:sz w:val="22"/>
              </w:rPr>
              <w:t>价值（金额单位：万元）</w:t>
            </w:r>
          </w:p>
        </w:tc>
      </w:tr>
      <w:tr w14:paraId="5946314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A6591E9">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637B19A2">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rPr>
            </w:pPr>
            <w:r>
              <w:rPr>
                <w:rFonts w:hint="default"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3E1A5E4C">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2417.51</w:t>
            </w:r>
          </w:p>
        </w:tc>
      </w:tr>
      <w:tr w14:paraId="36CFB20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1191D18">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77265D24">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497AE043">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rPr>
            </w:pPr>
          </w:p>
        </w:tc>
      </w:tr>
      <w:tr w14:paraId="04E0C41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BCC4C93">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75870979">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055A11B6">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rPr>
            </w:pPr>
          </w:p>
        </w:tc>
      </w:tr>
      <w:tr w14:paraId="5EC0B63B">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C6791FF">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504C06AD">
            <w:pPr>
              <w:keepNext w:val="0"/>
              <w:keepLines w:val="0"/>
              <w:pageBreakBefore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5</w:t>
            </w:r>
          </w:p>
        </w:tc>
        <w:tc>
          <w:tcPr>
            <w:tcW w:w="5103" w:type="dxa"/>
            <w:tcBorders>
              <w:top w:val="nil"/>
              <w:left w:val="nil"/>
              <w:bottom w:val="single" w:color="auto" w:sz="4" w:space="0"/>
              <w:right w:val="single" w:color="auto" w:sz="4" w:space="0"/>
            </w:tcBorders>
            <w:shd w:val="clear" w:color="auto" w:fill="auto"/>
            <w:noWrap/>
            <w:vAlign w:val="center"/>
          </w:tcPr>
          <w:p w14:paraId="4F7C7B62">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100.6</w:t>
            </w:r>
          </w:p>
        </w:tc>
      </w:tr>
      <w:tr w14:paraId="24EED9B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1A3A0DF5">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1E1A72C1">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15</w:t>
            </w:r>
          </w:p>
        </w:tc>
        <w:tc>
          <w:tcPr>
            <w:tcW w:w="5103" w:type="dxa"/>
            <w:tcBorders>
              <w:top w:val="nil"/>
              <w:left w:val="nil"/>
              <w:bottom w:val="single" w:color="auto" w:sz="4" w:space="0"/>
              <w:right w:val="single" w:color="auto" w:sz="4" w:space="0"/>
            </w:tcBorders>
            <w:shd w:val="clear" w:color="auto" w:fill="auto"/>
            <w:noWrap/>
            <w:vAlign w:val="center"/>
          </w:tcPr>
          <w:p w14:paraId="568D7AE0">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781.56</w:t>
            </w:r>
          </w:p>
        </w:tc>
      </w:tr>
      <w:tr w14:paraId="2837B4D2">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98C7FF6">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22"/>
              </w:rPr>
            </w:pPr>
            <w:r>
              <w:rPr>
                <w:rFonts w:hint="default"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5301601F">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2925</w:t>
            </w:r>
          </w:p>
        </w:tc>
        <w:tc>
          <w:tcPr>
            <w:tcW w:w="5103" w:type="dxa"/>
            <w:tcBorders>
              <w:top w:val="nil"/>
              <w:left w:val="nil"/>
              <w:bottom w:val="single" w:color="auto" w:sz="4" w:space="0"/>
              <w:right w:val="single" w:color="auto" w:sz="4" w:space="0"/>
            </w:tcBorders>
            <w:shd w:val="clear" w:color="auto" w:fill="auto"/>
            <w:noWrap/>
            <w:vAlign w:val="center"/>
          </w:tcPr>
          <w:p w14:paraId="1E93AB91">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153</w:t>
            </w:r>
            <w:bookmarkStart w:id="2" w:name="_GoBack"/>
            <w:bookmarkEnd w:id="2"/>
            <w:r>
              <w:rPr>
                <w:rFonts w:hint="eastAsia" w:ascii="Times New Roman" w:hAnsi="Times New Roman" w:eastAsia="仿宋_GB2312" w:cs="Times New Roman"/>
                <w:sz w:val="22"/>
                <w:lang w:val="en-US" w:eastAsia="zh-CN"/>
              </w:rPr>
              <w:t>5.35</w:t>
            </w:r>
          </w:p>
        </w:tc>
      </w:tr>
    </w:tbl>
    <w:p w14:paraId="1FC01A55">
      <w:pPr>
        <w:autoSpaceDE w:val="0"/>
        <w:autoSpaceDN w:val="0"/>
        <w:adjustRightInd w:val="0"/>
        <w:spacing w:line="584" w:lineRule="exact"/>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八、名词解释</w:t>
      </w:r>
    </w:p>
    <w:p w14:paraId="540B235B">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1、一般公共预算拨款收入：</w:t>
      </w:r>
      <w:r>
        <w:rPr>
          <w:rFonts w:hint="default" w:ascii="Times New Roman" w:hAnsi="Times New Roman" w:eastAsia="仿宋_GB2312" w:cs="Times New Roman"/>
          <w:sz w:val="32"/>
          <w:szCs w:val="32"/>
        </w:rPr>
        <w:t>指</w:t>
      </w:r>
      <w:r>
        <w:rPr>
          <w:rFonts w:hint="eastAsia"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级财政当年拨付的资金。</w:t>
      </w:r>
    </w:p>
    <w:p w14:paraId="05E51D5E">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2、事业收入：</w:t>
      </w:r>
      <w:r>
        <w:rPr>
          <w:rFonts w:hint="default" w:ascii="Times New Roman" w:hAnsi="Times New Roman" w:eastAsia="仿宋_GB2312" w:cs="Times New Roman"/>
          <w:sz w:val="32"/>
          <w:szCs w:val="32"/>
        </w:rPr>
        <w:t>指事业单位开展专业业务活动及辅助活动所取得的收入。</w:t>
      </w:r>
    </w:p>
    <w:p w14:paraId="29140940">
      <w:pPr>
        <w:tabs>
          <w:tab w:val="left" w:pos="11490"/>
        </w:tabs>
        <w:spacing w:line="584" w:lineRule="exact"/>
        <w:ind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3、其他收入：</w:t>
      </w:r>
      <w:r>
        <w:rPr>
          <w:rFonts w:hint="default" w:ascii="Times New Roman" w:hAnsi="Times New Roman" w:eastAsia="仿宋_GB2312" w:cs="Times New Roman"/>
          <w:sz w:val="32"/>
          <w:szCs w:val="32"/>
        </w:rPr>
        <w:t>指除“一般公共预算拨款收入”、“事业收入”等以外的收入。主要是按规定动用的租房收入、存款利息收入等。</w:t>
      </w:r>
    </w:p>
    <w:p w14:paraId="190FE486">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4、基本支出：</w:t>
      </w:r>
      <w:r>
        <w:rPr>
          <w:rFonts w:hint="default" w:ascii="Times New Roman" w:hAnsi="Times New Roman" w:eastAsia="仿宋_GB2312" w:cs="Times New Roman"/>
          <w:sz w:val="32"/>
          <w:szCs w:val="32"/>
        </w:rPr>
        <w:t>指为保障机构正常运转、完成日常工作任务而发生的人员支出和公用支出。</w:t>
      </w:r>
    </w:p>
    <w:p w14:paraId="32A62647">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5、项目支出：</w:t>
      </w:r>
      <w:r>
        <w:rPr>
          <w:rFonts w:hint="default" w:ascii="Times New Roman" w:hAnsi="Times New Roman" w:eastAsia="仿宋_GB2312" w:cs="Times New Roman"/>
          <w:sz w:val="32"/>
          <w:szCs w:val="32"/>
        </w:rPr>
        <w:t>指在基本支出之外为完成特定行政任务和事业发展目标所发生的支出。</w:t>
      </w:r>
    </w:p>
    <w:p w14:paraId="1A72390E">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6、上缴上级支出：</w:t>
      </w:r>
      <w:r>
        <w:rPr>
          <w:rFonts w:hint="default" w:ascii="Times New Roman" w:hAnsi="Times New Roman" w:eastAsia="仿宋_GB2312" w:cs="Times New Roman"/>
          <w:sz w:val="32"/>
          <w:szCs w:val="32"/>
        </w:rPr>
        <w:t>指下级单位上缴上级的支出。</w:t>
      </w:r>
    </w:p>
    <w:p w14:paraId="10F5A086">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7、“三公”经费：</w:t>
      </w:r>
      <w:r>
        <w:rPr>
          <w:rFonts w:hint="default" w:ascii="Times New Roman" w:hAnsi="Times New Roman" w:eastAsia="仿宋_GB2312" w:cs="Times New Roman"/>
          <w:sz w:val="32"/>
          <w:szCs w:val="32"/>
        </w:rPr>
        <w:t>纳入</w:t>
      </w:r>
      <w:r>
        <w:rPr>
          <w:rFonts w:hint="eastAsia"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lang w:eastAsia="zh-CN"/>
        </w:rPr>
        <w:t>市</w:t>
      </w:r>
      <w:r>
        <w:rPr>
          <w:rFonts w:hint="default"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FF353D3">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8、机关运行费：</w:t>
      </w:r>
      <w:r>
        <w:rPr>
          <w:rFonts w:hint="default"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936FBAC">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9、上年结转：</w:t>
      </w:r>
      <w:r>
        <w:rPr>
          <w:rFonts w:hint="default" w:ascii="Times New Roman" w:hAnsi="Times New Roman" w:eastAsia="仿宋_GB2312" w:cs="Times New Roman"/>
          <w:sz w:val="32"/>
          <w:szCs w:val="32"/>
        </w:rPr>
        <w:t>指以前年度尚未完成、结转到本年仍按原规定用途继续使用的资金。</w:t>
      </w:r>
    </w:p>
    <w:p w14:paraId="4FD97161">
      <w:pPr>
        <w:tabs>
          <w:tab w:val="left" w:pos="11490"/>
        </w:tabs>
        <w:spacing w:line="584"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10、事业单位经营支出：</w:t>
      </w:r>
      <w:r>
        <w:rPr>
          <w:rFonts w:hint="default" w:ascii="Times New Roman" w:hAnsi="Times New Roman" w:eastAsia="仿宋_GB2312" w:cs="Times New Roman"/>
          <w:sz w:val="32"/>
          <w:szCs w:val="32"/>
        </w:rPr>
        <w:t>指事业单位在专业业务活动及其辅助活动之外开展非独立核算经营活动发生的支出。</w:t>
      </w:r>
    </w:p>
    <w:p w14:paraId="5183402E">
      <w:pPr>
        <w:autoSpaceDE w:val="0"/>
        <w:autoSpaceDN w:val="0"/>
        <w:adjustRightInd w:val="0"/>
        <w:spacing w:line="584" w:lineRule="exact"/>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九、其他需要说明的事项</w:t>
      </w:r>
    </w:p>
    <w:p w14:paraId="3AEF98E9">
      <w:pPr>
        <w:spacing w:line="584"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我部门无其他需要说明的事项。</w:t>
      </w:r>
    </w:p>
    <w:sectPr>
      <w:footerReference r:id="rId3" w:type="default"/>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altName w:val="微软雅黑"/>
    <w:panose1 w:val="02000000000000000000"/>
    <w:charset w:val="86"/>
    <w:family w:val="roman"/>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1B0DB">
    <w:pPr>
      <w:pStyle w:val="4"/>
      <w:jc w:val="center"/>
    </w:pPr>
    <w:r>
      <w:rPr>
        <w:rFonts w:hint="eastAsia"/>
      </w:rPr>
      <w:t>-</w:t>
    </w:r>
    <w:r>
      <w:fldChar w:fldCharType="begin"/>
    </w:r>
    <w:r>
      <w:instrText xml:space="preserve">PAGE   \* MERGEFORMAT</w:instrText>
    </w:r>
    <w:r>
      <w:fldChar w:fldCharType="separate"/>
    </w:r>
    <w:r>
      <w:rPr>
        <w:lang w:val="zh-CN"/>
      </w:rPr>
      <w:t>9</w:t>
    </w:r>
    <w:r>
      <w:rPr>
        <w:lang w:val="zh-CN"/>
      </w:rPr>
      <w:fldChar w:fldCharType="end"/>
    </w:r>
    <w:r>
      <w:rPr>
        <w:rFonts w:hint="eastAsia"/>
      </w:rPr>
      <w:t>-</w:t>
    </w:r>
  </w:p>
  <w:p w14:paraId="757CC305">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VkZGI4NTgwN2EwZGQwNDdhYTA2ZDcwYzg2MjcifQ=="/>
  </w:docVars>
  <w:rsids>
    <w:rsidRoot w:val="00D347CC"/>
    <w:rsid w:val="000230E6"/>
    <w:rsid w:val="0025632D"/>
    <w:rsid w:val="004A54AA"/>
    <w:rsid w:val="00944233"/>
    <w:rsid w:val="00B40732"/>
    <w:rsid w:val="00B80935"/>
    <w:rsid w:val="00D347CC"/>
    <w:rsid w:val="048661A3"/>
    <w:rsid w:val="070F2546"/>
    <w:rsid w:val="09415833"/>
    <w:rsid w:val="19046FB6"/>
    <w:rsid w:val="21BD1BD2"/>
    <w:rsid w:val="23487D1C"/>
    <w:rsid w:val="23A921D6"/>
    <w:rsid w:val="32F62568"/>
    <w:rsid w:val="371264DC"/>
    <w:rsid w:val="37620ED1"/>
    <w:rsid w:val="378C4EE9"/>
    <w:rsid w:val="37BD6D56"/>
    <w:rsid w:val="3CDF476F"/>
    <w:rsid w:val="3FD560FD"/>
    <w:rsid w:val="42BB2B53"/>
    <w:rsid w:val="439A35C1"/>
    <w:rsid w:val="476C5D67"/>
    <w:rsid w:val="4FFC486B"/>
    <w:rsid w:val="54364A4A"/>
    <w:rsid w:val="5693721C"/>
    <w:rsid w:val="60F210DC"/>
    <w:rsid w:val="6907313F"/>
    <w:rsid w:val="77627B60"/>
    <w:rsid w:val="7ABC1E6A"/>
    <w:rsid w:val="7FE46EB7"/>
    <w:rsid w:val="DD9F8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09" w:beforeLines="0" w:after="209" w:afterLines="0" w:line="0" w:lineRule="atLeast"/>
      <w:ind w:firstLine="0" w:firstLineChars="0"/>
      <w:jc w:val="center"/>
    </w:pPr>
    <w:rPr>
      <w:rFonts w:ascii="Arial" w:hAnsi="Arial" w:eastAsia="黑体"/>
      <w:sz w:val="52"/>
    </w:r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toc 1"/>
    <w:basedOn w:val="1"/>
    <w:next w:val="1"/>
    <w:qFormat/>
    <w:uiPriority w:val="0"/>
    <w:rPr>
      <w:rFonts w:ascii="Times New Roman" w:hAnsi="Times New Roman" w:cs="Times New Roman"/>
      <w:szCs w:val="24"/>
    </w:rPr>
  </w:style>
  <w:style w:type="paragraph" w:styleId="7">
    <w:name w:val="footnote text"/>
    <w:basedOn w:val="1"/>
    <w:qFormat/>
    <w:uiPriority w:val="0"/>
    <w:pPr>
      <w:snapToGrid w:val="0"/>
      <w:jc w:val="left"/>
    </w:pPr>
    <w:rPr>
      <w:rFonts w:cs="Times New Roman"/>
      <w:sz w:val="18"/>
      <w:szCs w:val="18"/>
    </w:rPr>
  </w:style>
  <w:style w:type="paragraph" w:styleId="8">
    <w:name w:val="toc 2"/>
    <w:basedOn w:val="1"/>
    <w:next w:val="1"/>
    <w:qFormat/>
    <w:uiPriority w:val="0"/>
    <w:pPr>
      <w:ind w:left="200" w:leftChars="200"/>
    </w:pPr>
    <w:rPr>
      <w:rFonts w:ascii="Times New Roman" w:hAnsi="Times New Roman" w:cs="Times New Roman"/>
      <w:szCs w:val="24"/>
    </w:rPr>
  </w:style>
  <w:style w:type="character" w:styleId="11">
    <w:name w:val="footnote reference"/>
    <w:qFormat/>
    <w:uiPriority w:val="0"/>
    <w:rPr>
      <w:vertAlign w:val="superscript"/>
    </w:r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4">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5">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6">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7">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8">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19">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20">
    <w:name w:val="插入文本样式-插入部门职责文件"/>
    <w:basedOn w:val="1"/>
    <w:qFormat/>
    <w:uiPriority w:val="0"/>
    <w:pPr>
      <w:spacing w:line="500" w:lineRule="exact"/>
      <w:ind w:firstLine="560"/>
    </w:pPr>
    <w:rPr>
      <w:rFonts w:eastAsia="方正仿宋_GBK"/>
      <w:sz w:val="28"/>
    </w:rPr>
  </w:style>
  <w:style w:type="paragraph" w:customStyle="1" w:styleId="21">
    <w:name w:val="插入文本样式-插入职责分类绩效目标文件"/>
    <w:basedOn w:val="1"/>
    <w:qFormat/>
    <w:uiPriority w:val="0"/>
    <w:pPr>
      <w:spacing w:line="500" w:lineRule="exact"/>
      <w:ind w:firstLine="560"/>
    </w:pPr>
    <w:rPr>
      <w:rFonts w:eastAsia="方正仿宋_GBK"/>
      <w:sz w:val="28"/>
    </w:rPr>
  </w:style>
  <w:style w:type="paragraph" w:customStyle="1" w:styleId="22">
    <w:name w:val="插入文本样式-插入实现年度发展规划目标的保障措施文件"/>
    <w:basedOn w:val="1"/>
    <w:qFormat/>
    <w:uiPriority w:val="0"/>
    <w:pPr>
      <w:spacing w:line="500" w:lineRule="exact"/>
      <w:ind w:firstLine="560"/>
    </w:pPr>
    <w:rPr>
      <w:rFonts w:eastAsia="方正仿宋_GBK"/>
      <w:sz w:val="28"/>
    </w:rPr>
  </w:style>
  <w:style w:type="paragraph" w:customStyle="1" w:styleId="23">
    <w:name w:val="Normal_023606aa-bf41-4826-9564-1b4c5accfcd6"/>
    <w:qFormat/>
    <w:uiPriority w:val="0"/>
    <w:rPr>
      <w:rFonts w:ascii="Times New Roman" w:hAnsi="Times New Roman" w:eastAsia="Times New Roman" w:cs="Times New Roman"/>
      <w:sz w:val="24"/>
      <w:szCs w:val="24"/>
      <w:lang w:val="en-US" w:eastAsia="uk-UA" w:bidi="ar-SA"/>
    </w:rPr>
  </w:style>
  <w:style w:type="paragraph" w:customStyle="1" w:styleId="24">
    <w:name w:val="单元格样式1_002c7197-26d8-427e-8640-9814ff14cc6a"/>
    <w:basedOn w:val="1"/>
    <w:qFormat/>
    <w:uiPriority w:val="0"/>
    <w:pPr>
      <w:jc w:val="center"/>
    </w:pPr>
    <w:rPr>
      <w:rFonts w:ascii="方正书宋_GBK" w:hAnsi="方正书宋_GBK" w:eastAsia="方正书宋_GBK" w:cs="方正书宋_GBK"/>
      <w:b/>
      <w:sz w:val="21"/>
    </w:rPr>
  </w:style>
  <w:style w:type="paragraph" w:customStyle="1" w:styleId="25">
    <w:name w:val="单元格样式2_e74059f8-dc8b-4a5e-8637-8f88636c5fb3"/>
    <w:basedOn w:val="1"/>
    <w:qFormat/>
    <w:uiPriority w:val="0"/>
    <w:rPr>
      <w:rFonts w:ascii="方正书宋_GBK" w:hAnsi="方正书宋_GBK" w:eastAsia="方正书宋_GBK" w:cs="方正书宋_GBK"/>
      <w:sz w:val="21"/>
    </w:rPr>
  </w:style>
  <w:style w:type="paragraph" w:customStyle="1" w:styleId="26">
    <w:name w:val="单元格样式3_2ba65a53-06c2-46ce-8b78-fc280f92afa8"/>
    <w:basedOn w:val="1"/>
    <w:qFormat/>
    <w:uiPriority w:val="0"/>
    <w:pPr>
      <w:jc w:val="center"/>
    </w:pPr>
    <w:rPr>
      <w:rFonts w:ascii="方正书宋_GBK" w:hAnsi="方正书宋_GBK" w:eastAsia="方正书宋_GBK" w:cs="方正书宋_GBK"/>
      <w:sz w:val="21"/>
    </w:rPr>
  </w:style>
  <w:style w:type="paragraph" w:customStyle="1" w:styleId="27">
    <w:name w:val="单元格样式20"/>
    <w:basedOn w:val="1"/>
    <w:qFormat/>
    <w:uiPriority w:val="0"/>
    <w:rPr>
      <w:rFonts w:ascii="方正小标宋_GBK" w:hAnsi="方正小标宋_GBK" w:eastAsia="方正小标宋_GBK" w:cs="方正小标宋_GBK"/>
    </w:rPr>
  </w:style>
  <w:style w:type="paragraph" w:customStyle="1" w:styleId="28">
    <w:name w:val="单元格样式23"/>
    <w:basedOn w:val="1"/>
    <w:qFormat/>
    <w:uiPriority w:val="0"/>
    <w:pPr>
      <w:jc w:val="right"/>
    </w:pPr>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28</Pages>
  <Words>11008</Words>
  <Characters>11558</Characters>
  <Lines>24</Lines>
  <Paragraphs>6</Paragraphs>
  <TotalTime>36</TotalTime>
  <ScaleCrop>false</ScaleCrop>
  <LinksUpToDate>false</LinksUpToDate>
  <CharactersWithSpaces>11708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2020-01-13T19:27:00Z</dcterms:created>
  <dc:creator>guest</dc:creator>
  <cp:lastModifiedBy>Administrator</cp:lastModifiedBy>
  <cp:lastPrinted>2018-01-30T22:12:00Z</cp:lastPrinted>
  <dcterms:modified xsi:type="dcterms:W3CDTF">2023-01-18T03:37:19Z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FCD8248D39DA4E30B78D0F1B3B6C9D9F_13</vt:lpwstr>
  </property>
</Properties>
</file>