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80" w:firstLineChars="200"/>
        <w:jc w:val="center"/>
        <w:rPr>
          <w:rFonts w:ascii="Times New Roman" w:hAnsi="Times New Roman" w:eastAsia="仿宋_GB2312" w:cs="Times New Roman"/>
          <w:sz w:val="44"/>
          <w:szCs w:val="44"/>
        </w:rPr>
      </w:pPr>
    </w:p>
    <w:p>
      <w:pPr>
        <w:spacing w:line="560" w:lineRule="exact"/>
        <w:ind w:firstLine="880" w:firstLineChars="200"/>
        <w:jc w:val="center"/>
        <w:rPr>
          <w:rFonts w:ascii="Times New Roman" w:hAnsi="Times New Roman" w:eastAsia="仿宋_GB2312" w:cs="Times New Roman"/>
          <w:sz w:val="44"/>
          <w:szCs w:val="44"/>
        </w:rPr>
      </w:pPr>
    </w:p>
    <w:p>
      <w:pPr>
        <w:spacing w:line="560"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妇女联合会</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hint="default" w:ascii="Times New Roman" w:hAnsi="Times New Roman" w:eastAsia="方正小标宋简体" w:cs="Times New Roman"/>
          <w:sz w:val="44"/>
          <w:szCs w:val="44"/>
          <w:lang w:val="en"/>
        </w:rPr>
        <w:t>3</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lang w:eastAsia="zh-CN"/>
        </w:rPr>
        <w:t>部门</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pPr>
        <w:spacing w:line="560" w:lineRule="exact"/>
        <w:ind w:firstLine="880" w:firstLineChars="200"/>
        <w:jc w:val="center"/>
        <w:rPr>
          <w:rFonts w:ascii="Times New Roman" w:hAnsi="Times New Roman" w:eastAsia="仿宋_GB2312" w:cs="Times New Roman"/>
          <w:sz w:val="44"/>
          <w:szCs w:val="4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妇女联合会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lang w:val="en"/>
        </w:rPr>
        <w:t>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部门</w:t>
      </w:r>
      <w:r>
        <w:rPr>
          <w:rFonts w:ascii="Times New Roman" w:hAnsi="Times New Roman" w:eastAsia="仿宋_GB2312" w:cs="Times New Roman"/>
          <w:sz w:val="32"/>
          <w:szCs w:val="32"/>
        </w:rPr>
        <w:t>预算公开如下：</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pPr>
        <w:spacing w:line="560" w:lineRule="exact"/>
        <w:ind w:firstLine="642" w:firstLineChars="200"/>
        <w:rPr>
          <w:rFonts w:hint="eastAsia" w:ascii="Times New Roman" w:hAnsi="Times New Roman" w:eastAsia="楷体_GB2312" w:cs="Times New Roman"/>
          <w:b/>
          <w:sz w:val="32"/>
          <w:szCs w:val="32"/>
          <w:lang w:val="en-US" w:eastAsia="zh-CN"/>
        </w:rPr>
      </w:pPr>
      <w:r>
        <w:rPr>
          <w:rFonts w:ascii="Times New Roman" w:hAnsi="Times New Roman" w:eastAsia="楷体_GB2312" w:cs="Times New Roman"/>
          <w:b/>
          <w:sz w:val="32"/>
          <w:szCs w:val="32"/>
        </w:rPr>
        <w:t>部门职责：</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（一）坚持正确的政治方向，团结、教育全市各族各界妇女及各类妇女组织同党中央在思想上、政治上、行动上保持高度一致。</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（二）紧密围绕市委和市政府的中心任务开展工作，团结、动员和组织妇女群众投身改革开放和社会主义物质文明、精神文明建设，积极促进我市经济发展和社会进步，为维护改革、发展、稳定的大局服务。</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（三）宣传马克思主义妇女观和男女平等思想，教育、引导妇女树立正确的世界观、人生观、价值观，弘扬自尊、自信、自立、自强的精神，积极推动妇女的科技文化及生产劳动技能教育，全面提高妇女素质</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（四）代表妇女参与国家和社会事务的民主管理和民主监督；关注并加强研究及反映社情民意，提出对策建议；参与有关妇女儿童政策、法规草案的拟定，从源头上强化维护妇女儿童合法权益工作。</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（五）坚持为妇女儿童服务、为基层服务，加强与社会各界的联系，协调推动全社会为妇女儿童办实事、办好事。</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（六）负责指导市妇联机关所属事业单位工作，促进妇女儿童事业的发展。</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（七）指导各县（市、区）妇联依据《中华全国妇女联合会章程》和妇女代表大会的任务，开展妇女儿童工作；联系团体会员并给予工作指导。</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（八）积极发展同各省、市妇女和妇女组织的友好交往，增进了解和友谊，开展合作。</w:t>
      </w:r>
    </w:p>
    <w:p>
      <w:pPr>
        <w:spacing w:line="560" w:lineRule="exact"/>
        <w:ind w:firstLine="640" w:firstLineChars="200"/>
        <w:jc w:val="left"/>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（九）承担廊坊市妇女儿童工作委员会办公室的工作。</w:t>
      </w:r>
    </w:p>
    <w:p>
      <w:pPr>
        <w:spacing w:line="560"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color w:val="000000" w:themeColor="text1"/>
          <w:sz w:val="32"/>
          <w:szCs w:val="32"/>
        </w:rPr>
        <w:t>（十）承办市委、市政府交办的有关工作。</w:t>
      </w:r>
    </w:p>
    <w:p>
      <w:pPr>
        <w:autoSpaceDE w:val="0"/>
        <w:autoSpaceDN w:val="0"/>
        <w:adjustRightInd w:val="0"/>
        <w:spacing w:line="560" w:lineRule="exact"/>
        <w:ind w:firstLine="629"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spacing w:line="560"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984"/>
        <w:gridCol w:w="21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pPr>
              <w:spacing w:line="560"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pPr>
              <w:spacing w:line="560"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984" w:type="dxa"/>
            <w:vMerge w:val="restart"/>
            <w:shd w:val="clear" w:color="auto" w:fill="auto"/>
            <w:vAlign w:val="center"/>
          </w:tcPr>
          <w:p>
            <w:pPr>
              <w:spacing w:line="560"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194" w:type="dxa"/>
            <w:vMerge w:val="restart"/>
            <w:shd w:val="clear" w:color="auto" w:fill="auto"/>
            <w:vAlign w:val="center"/>
          </w:tcPr>
          <w:p>
            <w:pPr>
              <w:spacing w:line="560"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0" w:hRule="atLeast"/>
          <w:tblHeader/>
          <w:jc w:val="center"/>
        </w:trPr>
        <w:tc>
          <w:tcPr>
            <w:tcW w:w="4443" w:type="dxa"/>
            <w:vMerge w:val="continue"/>
            <w:shd w:val="clear" w:color="auto" w:fill="auto"/>
            <w:vAlign w:val="center"/>
          </w:tcPr>
          <w:p>
            <w:pPr>
              <w:spacing w:line="560" w:lineRule="exact"/>
            </w:pPr>
          </w:p>
        </w:tc>
        <w:tc>
          <w:tcPr>
            <w:tcW w:w="1134" w:type="dxa"/>
            <w:vMerge w:val="continue"/>
            <w:shd w:val="clear" w:color="auto" w:fill="auto"/>
            <w:vAlign w:val="center"/>
          </w:tcPr>
          <w:p>
            <w:pPr>
              <w:spacing w:line="560" w:lineRule="exact"/>
            </w:pPr>
          </w:p>
        </w:tc>
        <w:tc>
          <w:tcPr>
            <w:tcW w:w="1984" w:type="dxa"/>
            <w:vMerge w:val="continue"/>
            <w:shd w:val="clear" w:color="auto" w:fill="auto"/>
            <w:vAlign w:val="center"/>
          </w:tcPr>
          <w:p>
            <w:pPr>
              <w:spacing w:line="560" w:lineRule="exact"/>
            </w:pPr>
          </w:p>
        </w:tc>
        <w:tc>
          <w:tcPr>
            <w:tcW w:w="2194" w:type="dxa"/>
            <w:vMerge w:val="continue"/>
            <w:shd w:val="clear" w:color="auto" w:fill="auto"/>
            <w:vAlign w:val="center"/>
          </w:tcPr>
          <w:p>
            <w:pPr>
              <w:spacing w:line="560" w:lineRule="exact"/>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仿宋_GB2312" w:cs="Times New Roman"/>
                <w:b/>
              </w:rPr>
            </w:pPr>
            <w:r>
              <w:rPr>
                <w:rFonts w:hint="eastAsia" w:ascii="方正书宋_GBK" w:eastAsia="方正书宋_GBK"/>
              </w:rPr>
              <w:t>廊坊市妇女联合会本级</w:t>
            </w:r>
          </w:p>
        </w:tc>
        <w:tc>
          <w:tcPr>
            <w:tcW w:w="1134" w:type="dxa"/>
            <w:shd w:val="clear" w:color="auto" w:fill="auto"/>
            <w:vAlign w:val="center"/>
          </w:tcPr>
          <w:p>
            <w:pPr>
              <w:spacing w:line="560" w:lineRule="exact"/>
              <w:jc w:val="center"/>
              <w:rPr>
                <w:rFonts w:ascii="Times New Roman" w:hAnsi="Times New Roman" w:eastAsia="方正书宋_GBK" w:cs="Times New Roman"/>
                <w:b/>
              </w:rPr>
            </w:pPr>
            <w:r>
              <w:rPr>
                <w:rFonts w:hint="eastAsia" w:ascii="方正书宋_GBK" w:eastAsia="方正书宋_GBK"/>
              </w:rPr>
              <w:t>行政单位</w:t>
            </w:r>
          </w:p>
        </w:tc>
        <w:tc>
          <w:tcPr>
            <w:tcW w:w="1984" w:type="dxa"/>
            <w:shd w:val="clear" w:color="auto" w:fill="auto"/>
            <w:vAlign w:val="center"/>
          </w:tcPr>
          <w:p>
            <w:pPr>
              <w:spacing w:line="560" w:lineRule="exact"/>
              <w:jc w:val="center"/>
              <w:rPr>
                <w:rFonts w:ascii="Times New Roman" w:hAnsi="Times New Roman" w:eastAsia="仿宋_GB2312" w:cs="Times New Roman"/>
                <w:b/>
              </w:rPr>
            </w:pPr>
            <w:r>
              <w:rPr>
                <w:rFonts w:hint="eastAsia" w:ascii="方正书宋_GBK" w:eastAsia="方正书宋_GBK"/>
              </w:rPr>
              <w:t>正处级</w:t>
            </w:r>
          </w:p>
        </w:tc>
        <w:tc>
          <w:tcPr>
            <w:tcW w:w="2194" w:type="dxa"/>
            <w:shd w:val="clear" w:color="auto" w:fill="auto"/>
            <w:vAlign w:val="center"/>
          </w:tcPr>
          <w:p>
            <w:pPr>
              <w:spacing w:line="560" w:lineRule="exact"/>
              <w:jc w:val="center"/>
              <w:rPr>
                <w:rFonts w:ascii="Times New Roman" w:hAnsi="Times New Roman" w:eastAsia="仿宋_GB2312" w:cs="Times New Roman"/>
                <w:b/>
              </w:rPr>
            </w:pPr>
            <w:r>
              <w:rPr>
                <w:rFonts w:hint="eastAsia" w:ascii="方正书宋_GBK" w:eastAsia="方正书宋_GBK"/>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hint="eastAsia" w:ascii="方正书宋_GBK" w:eastAsia="方正书宋_GBK"/>
              </w:rPr>
            </w:pPr>
            <w:r>
              <w:rPr>
                <w:rFonts w:hint="eastAsia" w:ascii="方正书宋_GBK" w:eastAsia="方正书宋_GBK"/>
              </w:rPr>
              <w:t>廊坊市妇女儿童活动中心</w:t>
            </w:r>
          </w:p>
        </w:tc>
        <w:tc>
          <w:tcPr>
            <w:tcW w:w="1134" w:type="dxa"/>
            <w:shd w:val="clear" w:color="auto" w:fill="auto"/>
            <w:vAlign w:val="center"/>
          </w:tcPr>
          <w:p>
            <w:pPr>
              <w:spacing w:line="560" w:lineRule="exact"/>
              <w:jc w:val="center"/>
              <w:rPr>
                <w:rFonts w:hint="eastAsia" w:ascii="方正书宋_GBK" w:eastAsia="方正书宋_GBK"/>
              </w:rPr>
            </w:pPr>
            <w:r>
              <w:rPr>
                <w:rFonts w:hint="eastAsia" w:ascii="方正书宋_GBK" w:eastAsia="方正书宋_GBK"/>
              </w:rPr>
              <w:t>事业单位</w:t>
            </w:r>
          </w:p>
        </w:tc>
        <w:tc>
          <w:tcPr>
            <w:tcW w:w="1984" w:type="dxa"/>
            <w:shd w:val="clear" w:color="auto" w:fill="auto"/>
            <w:vAlign w:val="center"/>
          </w:tcPr>
          <w:p>
            <w:pPr>
              <w:spacing w:line="560" w:lineRule="exact"/>
              <w:jc w:val="center"/>
              <w:rPr>
                <w:rFonts w:hint="eastAsia" w:ascii="方正书宋_GBK" w:eastAsia="方正书宋_GBK"/>
              </w:rPr>
            </w:pPr>
            <w:r>
              <w:rPr>
                <w:rFonts w:hint="eastAsia" w:ascii="方正书宋_GBK" w:eastAsia="方正书宋_GBK"/>
              </w:rPr>
              <w:t>正科级</w:t>
            </w:r>
          </w:p>
        </w:tc>
        <w:tc>
          <w:tcPr>
            <w:tcW w:w="2194" w:type="dxa"/>
            <w:shd w:val="clear" w:color="auto" w:fill="auto"/>
            <w:vAlign w:val="center"/>
          </w:tcPr>
          <w:p>
            <w:pPr>
              <w:spacing w:line="560" w:lineRule="exact"/>
              <w:jc w:val="center"/>
              <w:rPr>
                <w:rFonts w:hint="eastAsia" w:ascii="方正书宋_GBK" w:eastAsia="方正书宋_GBK"/>
              </w:rPr>
            </w:pPr>
            <w:r>
              <w:rPr>
                <w:rFonts w:hint="eastAsia" w:ascii="方正书宋_GBK" w:eastAsia="方正书宋_GBK"/>
              </w:rPr>
              <w:t>财政性资金定额</w:t>
            </w:r>
          </w:p>
        </w:tc>
      </w:tr>
    </w:tbl>
    <w:p>
      <w:pPr>
        <w:spacing w:line="560" w:lineRule="exact"/>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妇女联合会</w:t>
      </w:r>
      <w:r>
        <w:rPr>
          <w:rFonts w:ascii="Times New Roman" w:hAnsi="Times New Roman" w:eastAsia="仿宋_GB2312" w:cs="Times New Roman"/>
          <w:sz w:val="32"/>
          <w:szCs w:val="32"/>
        </w:rPr>
        <w:t>机关及所属事业单位的收支包含在部门预算中。</w:t>
      </w:r>
    </w:p>
    <w:p>
      <w:pPr>
        <w:spacing w:line="56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lang w:val="en"/>
        </w:rPr>
        <w:t>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431.55</w:t>
      </w:r>
      <w:r>
        <w:rPr>
          <w:rFonts w:ascii="Times New Roman" w:hAnsi="Times New Roman" w:eastAsia="仿宋_GB2312" w:cs="Times New Roman"/>
          <w:sz w:val="32"/>
          <w:szCs w:val="32"/>
        </w:rPr>
        <w:t>元，其中：一般公共预算收入</w:t>
      </w:r>
      <w:r>
        <w:rPr>
          <w:rFonts w:hint="eastAsia" w:ascii="Times New Roman" w:hAnsi="Times New Roman" w:eastAsia="仿宋_GB2312" w:cs="Times New Roman"/>
          <w:sz w:val="32"/>
          <w:szCs w:val="32"/>
          <w:lang w:val="en-US" w:eastAsia="zh-CN"/>
        </w:rPr>
        <w:t>431.55</w:t>
      </w:r>
      <w:r>
        <w:rPr>
          <w:rFonts w:ascii="Times New Roman" w:hAnsi="Times New Roman" w:eastAsia="仿宋_GB2312" w:cs="Times New Roman"/>
          <w:sz w:val="32"/>
          <w:szCs w:val="32"/>
        </w:rPr>
        <w:t>万元，基金预算收入0万元，财政专户核拨收入0万元，其他来源收入0万元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pPr>
        <w:spacing w:line="56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妇女联合会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lang w:val="en"/>
        </w:rPr>
        <w:t>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431.55</w:t>
      </w:r>
      <w:r>
        <w:rPr>
          <w:rFonts w:ascii="Times New Roman" w:hAnsi="Times New Roman" w:eastAsia="仿宋_GB2312" w:cs="Times New Roman"/>
          <w:sz w:val="32"/>
          <w:szCs w:val="32"/>
        </w:rPr>
        <w:t>万元，其中基本支出</w:t>
      </w:r>
      <w:r>
        <w:rPr>
          <w:rFonts w:hint="default" w:ascii="Times New Roman" w:hAnsi="Times New Roman" w:eastAsia="仿宋_GB2312" w:cs="Times New Roman"/>
          <w:sz w:val="32"/>
          <w:szCs w:val="32"/>
          <w:lang w:val="en"/>
        </w:rPr>
        <w:t>346.55</w:t>
      </w:r>
      <w:r>
        <w:rPr>
          <w:rFonts w:ascii="Times New Roman" w:hAnsi="Times New Roman" w:eastAsia="仿宋_GB2312" w:cs="Times New Roman"/>
          <w:sz w:val="32"/>
          <w:szCs w:val="32"/>
        </w:rPr>
        <w:t>万元，包括人员类项目经费</w:t>
      </w:r>
      <w:r>
        <w:rPr>
          <w:rFonts w:hint="default" w:ascii="Times New Roman" w:hAnsi="Times New Roman" w:eastAsia="仿宋_GB2312" w:cs="Times New Roman"/>
          <w:sz w:val="32"/>
          <w:szCs w:val="32"/>
          <w:lang w:val="en"/>
        </w:rPr>
        <w:t>308.70</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default" w:ascii="Times New Roman" w:hAnsi="Times New Roman" w:eastAsia="仿宋_GB2312" w:cs="Times New Roman"/>
          <w:sz w:val="32"/>
          <w:szCs w:val="32"/>
          <w:lang w:val="en"/>
        </w:rPr>
        <w:t>37.85</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85</w:t>
      </w:r>
      <w:r>
        <w:rPr>
          <w:rFonts w:hint="default" w:ascii="Times New Roman" w:hAnsi="Times New Roman" w:eastAsia="仿宋_GB2312" w:cs="Times New Roman"/>
          <w:sz w:val="32"/>
          <w:szCs w:val="32"/>
          <w:lang w:val="en"/>
        </w:rPr>
        <w:t>.00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为</w:t>
      </w:r>
      <w:r>
        <w:rPr>
          <w:rFonts w:ascii="Times New Roman" w:hAnsi="Times New Roman" w:eastAsia="仿宋_GB2312" w:cs="Times New Roman"/>
          <w:sz w:val="32"/>
          <w:szCs w:val="32"/>
        </w:rPr>
        <w:t>本级支出，为</w:t>
      </w:r>
      <w:r>
        <w:rPr>
          <w:rFonts w:hint="eastAsia" w:ascii="Times New Roman" w:hAnsi="Times New Roman" w:eastAsia="仿宋_GB2312" w:cs="Times New Roman"/>
          <w:sz w:val="32"/>
          <w:szCs w:val="32"/>
          <w:lang w:eastAsia="zh-CN"/>
        </w:rPr>
        <w:t>妇联业务经费、机关工作经费、中心运转经费</w:t>
      </w:r>
      <w:r>
        <w:rPr>
          <w:rFonts w:ascii="Times New Roman" w:hAnsi="Times New Roman" w:eastAsia="仿宋_GB2312" w:cs="Times New Roman"/>
          <w:sz w:val="32"/>
          <w:szCs w:val="32"/>
        </w:rPr>
        <w:t>。</w:t>
      </w:r>
    </w:p>
    <w:p>
      <w:pPr>
        <w:spacing w:line="560"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lang w:val="en"/>
        </w:rPr>
        <w:t>3</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431.55</w:t>
      </w:r>
      <w:bookmarkStart w:id="3" w:name="_GoBack"/>
      <w:bookmarkEnd w:id="3"/>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lang w:val="en"/>
        </w:rPr>
        <w:t>2</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rPr>
        <w:t>减少</w:t>
      </w:r>
      <w:r>
        <w:rPr>
          <w:rFonts w:hint="eastAsia" w:ascii="Times New Roman" w:hAnsi="Times New Roman" w:eastAsia="仿宋_GB2312" w:cs="Times New Roman"/>
          <w:sz w:val="32"/>
          <w:szCs w:val="32"/>
          <w:lang w:val="en-US" w:eastAsia="zh-CN"/>
        </w:rPr>
        <w:t>114.51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25.01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人员退休减少</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减少</w:t>
      </w:r>
      <w:r>
        <w:rPr>
          <w:rFonts w:hint="eastAsia" w:ascii="Times New Roman" w:hAnsi="Times New Roman" w:eastAsia="仿宋_GB2312" w:cs="Times New Roman"/>
          <w:sz w:val="32"/>
          <w:szCs w:val="32"/>
          <w:lang w:val="en-US" w:eastAsia="zh-CN"/>
        </w:rPr>
        <w:t>89.50</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例行节约，压减</w:t>
      </w:r>
      <w:r>
        <w:rPr>
          <w:rFonts w:ascii="Times New Roman" w:hAnsi="Times New Roman" w:eastAsia="仿宋_GB2312" w:cs="Times New Roman"/>
          <w:sz w:val="32"/>
          <w:szCs w:val="32"/>
        </w:rPr>
        <w:t>项目支出。</w:t>
      </w:r>
    </w:p>
    <w:p>
      <w:pPr>
        <w:autoSpaceDE w:val="0"/>
        <w:autoSpaceDN w:val="0"/>
        <w:adjustRightInd w:val="0"/>
        <w:spacing w:line="560"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spacing w:line="560"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20.27</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廊坊市妇女联合会</w:t>
      </w:r>
      <w:r>
        <w:rPr>
          <w:rFonts w:ascii="Times New Roman" w:hAnsi="Times New Roman" w:eastAsia="仿宋_GB2312" w:cs="Times New Roman"/>
          <w:sz w:val="32"/>
          <w:szCs w:val="32"/>
        </w:rPr>
        <w:t>办公区的日常维修、办公用房水电费、办公用房取暖费、办公用房物业管理费等日常运行支出。</w:t>
      </w:r>
    </w:p>
    <w:p>
      <w:pPr>
        <w:keepNext w:val="0"/>
        <w:keepLines w:val="0"/>
        <w:pageBreakBefore w:val="0"/>
        <w:widowControl w:val="0"/>
        <w:kinsoku/>
        <w:wordWrap/>
        <w:overflowPunct/>
        <w:topLinePunct w:val="0"/>
        <w:autoSpaceDE w:val="0"/>
        <w:autoSpaceDN w:val="0"/>
        <w:bidi w:val="0"/>
        <w:adjustRightInd w:val="0"/>
        <w:snapToGrid/>
        <w:spacing w:line="560" w:lineRule="exact"/>
        <w:ind w:left="198"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pPr>
        <w:keepNext w:val="0"/>
        <w:keepLines w:val="0"/>
        <w:pageBreakBefore w:val="0"/>
        <w:widowControl w:val="0"/>
        <w:kinsoku/>
        <w:wordWrap/>
        <w:overflowPunct/>
        <w:topLinePunct w:val="0"/>
        <w:autoSpaceDE w:val="0"/>
        <w:autoSpaceDN w:val="0"/>
        <w:bidi w:val="0"/>
        <w:adjustRightInd w:val="0"/>
        <w:snapToGrid/>
        <w:spacing w:line="560" w:lineRule="exact"/>
        <w:ind w:left="197" w:leftChars="94"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三公</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经费预算安排</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.87万元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万元，公务用车运维费1.6</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.27万元。与20</w:t>
      </w: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，无增减变化</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pPr>
        <w:spacing w:line="560" w:lineRule="exact"/>
        <w:ind w:firstLine="642"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pPr>
        <w:widowControl w:val="0"/>
        <w:overflowPunct w:val="0"/>
        <w:adjustRightInd w:val="0"/>
        <w:snapToGrid w:val="0"/>
        <w:spacing w:line="584" w:lineRule="exact"/>
        <w:ind w:firstLine="640" w:firstLineChars="200"/>
        <w:jc w:val="both"/>
        <w:rPr>
          <w:rFonts w:eastAsia="仿宋_GB2312"/>
          <w:color w:val="000000"/>
          <w:kern w:val="32"/>
          <w:sz w:val="32"/>
          <w:szCs w:val="32"/>
          <w:lang w:eastAsia="zh-CN"/>
        </w:rPr>
      </w:pPr>
      <w:r>
        <w:rPr>
          <w:rFonts w:eastAsia="仿宋_GB2312"/>
          <w:color w:val="000000"/>
          <w:kern w:val="32"/>
          <w:sz w:val="32"/>
          <w:szCs w:val="32"/>
          <w:lang w:eastAsia="zh-CN"/>
        </w:rPr>
        <w:t>2023年，廊坊市妇联认真落实省、市委各项决策部署，按照省妇联工作要求，举办廊坊市亲子朗读竞赛活动1场，助推形成家庭文明新风尚；组织召开基层维权干部培训班1期，提高基层干部维权能力；举办廊坊市幸福婚姻大讲堂1期，引导广大妇女依法理性维权，推动婚姻家庭矛盾纠纷化解；着重推进基层妇联组织建设，举办基层妇联“领头雁”培训班1期，妇联改革工作成果线上交流推进会1次；加大新媒体建设力度，充分运用“两微一网”宣传平台，粉丝数量达10000人以上、全年信息阅读量不低于5000人次。</w:t>
      </w:r>
    </w:p>
    <w:p>
      <w:pPr>
        <w:spacing w:line="560" w:lineRule="exact"/>
        <w:ind w:firstLine="642"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pPr>
        <w:widowControl w:val="0"/>
        <w:overflowPunct w:val="0"/>
        <w:adjustRightInd w:val="0"/>
        <w:snapToGrid w:val="0"/>
        <w:spacing w:line="584" w:lineRule="exact"/>
        <w:ind w:firstLine="642" w:firstLineChars="200"/>
        <w:jc w:val="both"/>
        <w:rPr>
          <w:rFonts w:eastAsia="楷体_GB2312"/>
          <w:b/>
          <w:bCs/>
          <w:color w:val="000000"/>
          <w:kern w:val="32"/>
          <w:sz w:val="32"/>
          <w:szCs w:val="32"/>
          <w:lang w:eastAsia="zh-CN"/>
        </w:rPr>
      </w:pPr>
      <w:r>
        <w:rPr>
          <w:rFonts w:hint="eastAsia" w:eastAsia="楷体_GB2312"/>
          <w:b/>
          <w:bCs/>
          <w:color w:val="000000"/>
          <w:kern w:val="32"/>
          <w:sz w:val="32"/>
          <w:szCs w:val="32"/>
          <w:lang w:val="en-US" w:eastAsia="zh-CN"/>
        </w:rPr>
        <w:t>1.</w:t>
      </w:r>
      <w:r>
        <w:rPr>
          <w:rFonts w:eastAsia="楷体_GB2312"/>
          <w:b/>
          <w:bCs/>
          <w:color w:val="000000"/>
          <w:kern w:val="32"/>
          <w:sz w:val="32"/>
          <w:szCs w:val="32"/>
          <w:lang w:eastAsia="zh-CN"/>
        </w:rPr>
        <w:t>团结动员妇女参加经济社会建设</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绩效目标：</w:t>
      </w:r>
      <w:r>
        <w:rPr>
          <w:rFonts w:eastAsia="仿宋_GB2312"/>
          <w:color w:val="000000"/>
          <w:kern w:val="32"/>
          <w:sz w:val="32"/>
          <w:szCs w:val="32"/>
          <w:lang w:eastAsia="zh-CN"/>
        </w:rPr>
        <w:t>深入开展巾帼科技助农系列活动，组织召开巾帼现代农业高质量发展观摩交流推进会，充分激发我市女性创新活力，推动巩固脱贫攻坚成果，助力乡村振兴。围绕“乡村振兴”，深化“美丽庭院”创建，继续培树一批美丽庭院示范户，引领示范，持续推动创建工作常态开展。</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绩效指标：</w:t>
      </w:r>
      <w:r>
        <w:rPr>
          <w:rFonts w:eastAsia="仿宋_GB2312"/>
          <w:color w:val="000000"/>
          <w:kern w:val="32"/>
          <w:sz w:val="32"/>
          <w:szCs w:val="32"/>
          <w:lang w:eastAsia="zh-CN"/>
        </w:rPr>
        <w:t>举</w:t>
      </w:r>
      <w:r>
        <w:rPr>
          <w:rFonts w:eastAsia="仿宋_GB2312"/>
          <w:color w:val="000000"/>
          <w:spacing w:val="-4"/>
          <w:kern w:val="32"/>
          <w:sz w:val="32"/>
          <w:szCs w:val="32"/>
          <w:lang w:eastAsia="zh-CN"/>
        </w:rPr>
        <w:t>办巾帼现代农业高质量发展观摩交流推进会1场。</w:t>
      </w:r>
    </w:p>
    <w:p>
      <w:pPr>
        <w:widowControl w:val="0"/>
        <w:overflowPunct w:val="0"/>
        <w:adjustRightInd w:val="0"/>
        <w:snapToGrid w:val="0"/>
        <w:spacing w:line="584" w:lineRule="exact"/>
        <w:ind w:firstLine="642" w:firstLineChars="200"/>
        <w:jc w:val="both"/>
        <w:rPr>
          <w:rFonts w:eastAsia="楷体_GB2312"/>
          <w:b/>
          <w:bCs/>
          <w:color w:val="000000"/>
          <w:kern w:val="32"/>
          <w:sz w:val="32"/>
          <w:szCs w:val="32"/>
          <w:lang w:eastAsia="zh-CN"/>
        </w:rPr>
      </w:pPr>
      <w:r>
        <w:rPr>
          <w:rFonts w:hint="eastAsia" w:eastAsia="楷体_GB2312"/>
          <w:b/>
          <w:bCs/>
          <w:color w:val="000000"/>
          <w:kern w:val="32"/>
          <w:sz w:val="32"/>
          <w:szCs w:val="32"/>
          <w:lang w:val="en-US" w:eastAsia="zh-CN"/>
        </w:rPr>
        <w:t>2.</w:t>
      </w:r>
      <w:r>
        <w:rPr>
          <w:rFonts w:eastAsia="楷体_GB2312"/>
          <w:b/>
          <w:bCs/>
          <w:color w:val="000000"/>
          <w:kern w:val="32"/>
          <w:sz w:val="32"/>
          <w:szCs w:val="32"/>
          <w:lang w:eastAsia="zh-CN"/>
        </w:rPr>
        <w:t>维护妇女儿童合法权益促进妇女儿童发展</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绩效目标：</w:t>
      </w:r>
      <w:r>
        <w:rPr>
          <w:rFonts w:eastAsia="仿宋_GB2312"/>
          <w:color w:val="000000"/>
          <w:kern w:val="32"/>
          <w:sz w:val="32"/>
          <w:szCs w:val="32"/>
          <w:lang w:eastAsia="zh-CN"/>
        </w:rPr>
        <w:t>教育引导广大妇女尊法学法守法用法，依法理性维权，提升基层维权服务能力，实现妇女儿童法律援助服务全覆盖。</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绩效指标：</w:t>
      </w:r>
      <w:r>
        <w:rPr>
          <w:rFonts w:eastAsia="仿宋_GB2312"/>
          <w:color w:val="000000"/>
          <w:kern w:val="32"/>
          <w:sz w:val="32"/>
          <w:szCs w:val="32"/>
          <w:lang w:eastAsia="zh-CN"/>
        </w:rPr>
        <w:t>利用“三八”、“12.4”等重要节日开展普法宣传活动，开展木兰有约巾帼法治宣讲活动、主题普法宣传活动共计1场，幸福婚姻大讲堂1场，引导广大妇女尊法学法守法用法，依法理性维权。</w:t>
      </w:r>
    </w:p>
    <w:p>
      <w:pPr>
        <w:widowControl w:val="0"/>
        <w:overflowPunct w:val="0"/>
        <w:adjustRightInd w:val="0"/>
        <w:snapToGrid w:val="0"/>
        <w:spacing w:line="584" w:lineRule="exact"/>
        <w:ind w:firstLine="642" w:firstLineChars="200"/>
        <w:jc w:val="both"/>
        <w:rPr>
          <w:rFonts w:eastAsia="楷体_GB2312"/>
          <w:b/>
          <w:bCs/>
          <w:color w:val="000000"/>
          <w:kern w:val="32"/>
          <w:sz w:val="32"/>
          <w:szCs w:val="32"/>
          <w:lang w:eastAsia="zh-CN"/>
        </w:rPr>
      </w:pPr>
      <w:r>
        <w:rPr>
          <w:rFonts w:hint="eastAsia" w:eastAsia="楷体_GB2312"/>
          <w:b/>
          <w:bCs/>
          <w:color w:val="000000"/>
          <w:kern w:val="32"/>
          <w:sz w:val="32"/>
          <w:szCs w:val="32"/>
          <w:lang w:val="en-US" w:eastAsia="zh-CN"/>
        </w:rPr>
        <w:t>3.</w:t>
      </w:r>
      <w:r>
        <w:rPr>
          <w:rFonts w:eastAsia="楷体_GB2312"/>
          <w:b/>
          <w:bCs/>
          <w:color w:val="000000"/>
          <w:kern w:val="32"/>
          <w:sz w:val="32"/>
          <w:szCs w:val="32"/>
          <w:lang w:eastAsia="zh-CN"/>
        </w:rPr>
        <w:t>大力实施家家幸福安康工程</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绩效目标：</w:t>
      </w:r>
      <w:r>
        <w:rPr>
          <w:rFonts w:eastAsia="仿宋_GB2312"/>
          <w:color w:val="000000"/>
          <w:kern w:val="32"/>
          <w:sz w:val="32"/>
          <w:szCs w:val="32"/>
          <w:lang w:eastAsia="zh-CN"/>
        </w:rPr>
        <w:t>广泛开展以家庭教育、亲子阅读、家风展示为内容的主题系列活动，引导广大妇女在家庭生活和社会生活中发挥独特作用。</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绩效指标：</w:t>
      </w:r>
      <w:r>
        <w:rPr>
          <w:rFonts w:eastAsia="仿宋_GB2312"/>
          <w:color w:val="000000"/>
          <w:kern w:val="32"/>
          <w:sz w:val="32"/>
          <w:szCs w:val="32"/>
          <w:lang w:eastAsia="zh-CN"/>
        </w:rPr>
        <w:t>举办家教社区行活动1场，引导全市家庭传承优良家教家风家训、弘扬中华家庭美德，助推形成家庭文明新风尚。</w:t>
      </w:r>
    </w:p>
    <w:p>
      <w:pPr>
        <w:widowControl w:val="0"/>
        <w:overflowPunct w:val="0"/>
        <w:adjustRightInd w:val="0"/>
        <w:snapToGrid w:val="0"/>
        <w:spacing w:line="584" w:lineRule="exact"/>
        <w:ind w:firstLine="642" w:firstLineChars="200"/>
        <w:jc w:val="both"/>
        <w:rPr>
          <w:rFonts w:eastAsia="楷体_GB2312"/>
          <w:b/>
          <w:bCs/>
          <w:color w:val="000000"/>
          <w:kern w:val="32"/>
          <w:sz w:val="32"/>
          <w:szCs w:val="32"/>
          <w:lang w:eastAsia="zh-CN"/>
        </w:rPr>
      </w:pPr>
      <w:r>
        <w:rPr>
          <w:rFonts w:hint="eastAsia" w:eastAsia="楷体_GB2312"/>
          <w:b/>
          <w:bCs/>
          <w:color w:val="000000"/>
          <w:kern w:val="32"/>
          <w:sz w:val="32"/>
          <w:szCs w:val="32"/>
          <w:lang w:val="en-US" w:eastAsia="zh-CN"/>
        </w:rPr>
        <w:t>4.</w:t>
      </w:r>
      <w:r>
        <w:rPr>
          <w:rFonts w:eastAsia="楷体_GB2312"/>
          <w:b/>
          <w:bCs/>
          <w:color w:val="000000"/>
          <w:kern w:val="32"/>
          <w:sz w:val="32"/>
          <w:szCs w:val="32"/>
          <w:lang w:eastAsia="zh-CN"/>
        </w:rPr>
        <w:t>深化基层妇联组织建设</w:t>
      </w:r>
    </w:p>
    <w:p>
      <w:pPr>
        <w:widowControl w:val="0"/>
        <w:overflowPunct w:val="0"/>
        <w:adjustRightInd w:val="0"/>
        <w:snapToGrid w:val="0"/>
        <w:spacing w:line="584" w:lineRule="exact"/>
        <w:ind w:firstLine="642" w:firstLineChars="200"/>
        <w:jc w:val="both"/>
        <w:rPr>
          <w:rFonts w:eastAsia="仿宋_GB2312"/>
          <w:color w:val="000000"/>
          <w:kern w:val="32"/>
          <w:sz w:val="32"/>
          <w:szCs w:val="32"/>
          <w:lang w:eastAsia="zh-CN"/>
        </w:rPr>
      </w:pPr>
      <w:r>
        <w:rPr>
          <w:rFonts w:eastAsia="仿宋_GB2312"/>
          <w:b/>
          <w:bCs/>
          <w:color w:val="000000"/>
          <w:kern w:val="32"/>
          <w:sz w:val="32"/>
          <w:szCs w:val="32"/>
          <w:lang w:eastAsia="zh-CN"/>
        </w:rPr>
        <w:t>绩效目标：</w:t>
      </w:r>
      <w:r>
        <w:rPr>
          <w:rFonts w:eastAsia="仿宋_GB2312"/>
          <w:color w:val="000000"/>
          <w:kern w:val="32"/>
          <w:sz w:val="32"/>
          <w:szCs w:val="32"/>
          <w:lang w:eastAsia="zh-CN"/>
        </w:rPr>
        <w:t>加强基层妇联组织建设，推进建设妇女之家建设，逐步建强基层妇联阵地；加强妇联网络阵地建设，完善“互联网+”工作机制，切实促进妇联组织、妇女工作与互联网的深度融合。</w:t>
      </w:r>
    </w:p>
    <w:p>
      <w:pPr>
        <w:spacing w:line="560" w:lineRule="exact"/>
        <w:ind w:firstLine="642" w:firstLineChars="200"/>
        <w:rPr>
          <w:rFonts w:eastAsia="仿宋_GB2312"/>
          <w:color w:val="000000"/>
          <w:kern w:val="32"/>
          <w:sz w:val="32"/>
          <w:szCs w:val="32"/>
          <w:lang w:eastAsia="zh-CN"/>
        </w:rPr>
      </w:pPr>
      <w:r>
        <w:rPr>
          <w:rFonts w:eastAsia="仿宋_GB2312"/>
          <w:b/>
          <w:bCs/>
          <w:color w:val="000000"/>
          <w:kern w:val="32"/>
          <w:sz w:val="32"/>
          <w:szCs w:val="32"/>
          <w:lang w:eastAsia="zh-CN"/>
        </w:rPr>
        <w:t>绩效指标：</w:t>
      </w:r>
      <w:r>
        <w:rPr>
          <w:rFonts w:eastAsia="仿宋_GB2312"/>
          <w:color w:val="000000"/>
          <w:kern w:val="32"/>
          <w:sz w:val="32"/>
          <w:szCs w:val="32"/>
          <w:lang w:eastAsia="zh-CN"/>
        </w:rPr>
        <w:t>着重推进基层妇联组织建设，举办基层妇联“领头雁”培训班1期，妇联改革工作成果线上交流推进会1次，加大新媒体建设力度，运用“两微一网”大力宣传各项工作亮点，粉丝数量达10000人以上。</w:t>
      </w:r>
    </w:p>
    <w:p>
      <w:pPr>
        <w:spacing w:line="560" w:lineRule="exact"/>
        <w:ind w:firstLine="642"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pPr>
        <w:spacing w:line="580" w:lineRule="exact"/>
        <w:ind w:firstLine="642" w:firstLineChars="200"/>
        <w:rPr>
          <w:rFonts w:eastAsia="仿宋_GB2312"/>
          <w:sz w:val="32"/>
          <w:szCs w:val="32"/>
        </w:rPr>
      </w:pPr>
      <w:r>
        <w:rPr>
          <w:rFonts w:hint="eastAsia" w:ascii="楷体_GB2312" w:eastAsia="楷体_GB2312"/>
          <w:b/>
          <w:bCs/>
          <w:sz w:val="32"/>
          <w:szCs w:val="32"/>
        </w:rPr>
        <w:t>1</w:t>
      </w:r>
      <w:r>
        <w:rPr>
          <w:rFonts w:ascii="楷体_GB2312" w:eastAsia="楷体_GB2312"/>
          <w:b/>
          <w:bCs/>
          <w:sz w:val="32"/>
          <w:szCs w:val="32"/>
        </w:rPr>
        <w:t>.</w:t>
      </w:r>
      <w:r>
        <w:rPr>
          <w:rFonts w:hint="eastAsia" w:ascii="楷体_GB2312" w:eastAsia="楷体_GB2312"/>
          <w:b/>
          <w:bCs/>
          <w:sz w:val="32"/>
          <w:szCs w:val="32"/>
        </w:rPr>
        <w:t>完善制度建设。</w:t>
      </w:r>
      <w:r>
        <w:rPr>
          <w:rFonts w:hint="eastAsia" w:eastAsia="仿宋_GB2312"/>
          <w:sz w:val="32"/>
          <w:szCs w:val="32"/>
        </w:rPr>
        <w:t>制定完善预算绩效管理制度，为全年预算绩效目标的实现奠定制度基础。</w:t>
      </w:r>
    </w:p>
    <w:p>
      <w:pPr>
        <w:spacing w:line="580" w:lineRule="exact"/>
        <w:ind w:firstLine="642" w:firstLineChars="200"/>
        <w:rPr>
          <w:rFonts w:eastAsia="方正仿宋_GBK"/>
          <w:sz w:val="28"/>
        </w:rPr>
      </w:pPr>
      <w:r>
        <w:rPr>
          <w:rFonts w:hint="eastAsia" w:ascii="楷体_GB2312" w:eastAsia="楷体_GB2312"/>
          <w:b/>
          <w:bCs/>
          <w:sz w:val="32"/>
          <w:szCs w:val="32"/>
        </w:rPr>
        <w:t>2</w:t>
      </w:r>
      <w:r>
        <w:rPr>
          <w:rFonts w:ascii="楷体_GB2312" w:eastAsia="楷体_GB2312"/>
          <w:b/>
          <w:bCs/>
          <w:sz w:val="32"/>
          <w:szCs w:val="32"/>
        </w:rPr>
        <w:t>.</w:t>
      </w:r>
      <w:r>
        <w:rPr>
          <w:rFonts w:hint="eastAsia" w:ascii="楷体_GB2312" w:eastAsia="楷体_GB2312"/>
          <w:b/>
          <w:bCs/>
          <w:sz w:val="32"/>
          <w:szCs w:val="32"/>
        </w:rPr>
        <w:t>加强支出管理。</w:t>
      </w:r>
      <w:r>
        <w:rPr>
          <w:rFonts w:hint="eastAsia" w:eastAsia="仿宋_GB2312"/>
          <w:sz w:val="32"/>
          <w:szCs w:val="32"/>
        </w:rPr>
        <w:t>通过优化支出结构、编细编实预算、加快履行政府采购手续、尽快启动项目、及时支付资金、6月底前细化代编预算、按规定及时下达资金等多种措施，确保支出进度达标。</w:t>
      </w:r>
    </w:p>
    <w:p>
      <w:pPr>
        <w:spacing w:line="580" w:lineRule="exact"/>
        <w:ind w:firstLine="642" w:firstLineChars="200"/>
        <w:rPr>
          <w:rFonts w:eastAsia="方正仿宋_GBK"/>
          <w:sz w:val="28"/>
        </w:rPr>
      </w:pPr>
      <w:r>
        <w:rPr>
          <w:rFonts w:hint="eastAsia" w:ascii="楷体_GB2312" w:eastAsia="楷体_GB2312"/>
          <w:b/>
          <w:bCs/>
          <w:sz w:val="32"/>
          <w:szCs w:val="32"/>
        </w:rPr>
        <w:t>3</w:t>
      </w:r>
      <w:r>
        <w:rPr>
          <w:rFonts w:ascii="楷体_GB2312" w:eastAsia="楷体_GB2312"/>
          <w:b/>
          <w:bCs/>
          <w:sz w:val="32"/>
          <w:szCs w:val="32"/>
        </w:rPr>
        <w:t>.</w:t>
      </w:r>
      <w:r>
        <w:rPr>
          <w:rFonts w:hint="eastAsia" w:ascii="楷体_GB2312" w:eastAsia="楷体_GB2312"/>
          <w:b/>
          <w:bCs/>
          <w:sz w:val="32"/>
          <w:szCs w:val="32"/>
        </w:rPr>
        <w:t>加强绩效运行监控。</w:t>
      </w:r>
      <w:r>
        <w:rPr>
          <w:rFonts w:hint="eastAsia" w:eastAsia="仿宋_GB2312"/>
          <w:sz w:val="32"/>
          <w:szCs w:val="32"/>
        </w:rPr>
        <w:t>按要求开展绩效运行监控，发现问题及时整改，确保绩效目标如期保质实现。</w:t>
      </w:r>
    </w:p>
    <w:p>
      <w:pPr>
        <w:spacing w:line="580" w:lineRule="exact"/>
        <w:ind w:firstLine="642" w:firstLineChars="200"/>
        <w:rPr>
          <w:rFonts w:eastAsia="仿宋_GB2312"/>
          <w:sz w:val="32"/>
          <w:szCs w:val="32"/>
        </w:rPr>
      </w:pPr>
      <w:r>
        <w:rPr>
          <w:rFonts w:hint="eastAsia" w:ascii="楷体_GB2312" w:eastAsia="楷体_GB2312"/>
          <w:b/>
          <w:bCs/>
          <w:sz w:val="32"/>
          <w:szCs w:val="32"/>
        </w:rPr>
        <w:t>4</w:t>
      </w:r>
      <w:r>
        <w:rPr>
          <w:rFonts w:ascii="楷体_GB2312" w:eastAsia="楷体_GB2312"/>
          <w:b/>
          <w:bCs/>
          <w:sz w:val="32"/>
          <w:szCs w:val="32"/>
        </w:rPr>
        <w:t>.</w:t>
      </w:r>
      <w:r>
        <w:rPr>
          <w:rFonts w:hint="eastAsia" w:ascii="楷体_GB2312" w:eastAsia="楷体_GB2312"/>
          <w:b/>
          <w:bCs/>
          <w:sz w:val="32"/>
          <w:szCs w:val="32"/>
        </w:rPr>
        <w:t>做好绩效自评。</w:t>
      </w:r>
      <w:r>
        <w:rPr>
          <w:rFonts w:hint="eastAsia" w:eastAsia="仿宋_GB2312"/>
          <w:sz w:val="32"/>
          <w:szCs w:val="32"/>
        </w:rPr>
        <w:t>按要求开展上年度部门预算绩效自评和重点评价工作，对评价中发现的问题及时整改，调整优化支出结构，提高财政资金使用效益。</w:t>
      </w:r>
    </w:p>
    <w:p>
      <w:pPr>
        <w:spacing w:line="580" w:lineRule="exact"/>
        <w:ind w:firstLine="642" w:firstLineChars="200"/>
        <w:rPr>
          <w:rFonts w:eastAsia="仿宋_GB2312"/>
          <w:sz w:val="32"/>
          <w:szCs w:val="32"/>
        </w:rPr>
      </w:pPr>
      <w:r>
        <w:rPr>
          <w:rFonts w:hint="eastAsia" w:ascii="楷体_GB2312" w:eastAsia="楷体_GB2312"/>
          <w:b/>
          <w:bCs/>
          <w:sz w:val="32"/>
          <w:szCs w:val="32"/>
        </w:rPr>
        <w:t>5</w:t>
      </w:r>
      <w:r>
        <w:rPr>
          <w:rFonts w:ascii="楷体_GB2312" w:eastAsia="楷体_GB2312"/>
          <w:b/>
          <w:bCs/>
          <w:sz w:val="32"/>
          <w:szCs w:val="32"/>
        </w:rPr>
        <w:t>.</w:t>
      </w:r>
      <w:r>
        <w:rPr>
          <w:rFonts w:hint="eastAsia" w:ascii="楷体_GB2312" w:eastAsia="楷体_GB2312"/>
          <w:b/>
          <w:bCs/>
          <w:sz w:val="32"/>
          <w:szCs w:val="32"/>
        </w:rPr>
        <w:t>规范财务资产管理。</w:t>
      </w:r>
      <w:r>
        <w:rPr>
          <w:rFonts w:hint="eastAsia" w:eastAsia="仿宋_GB2312"/>
          <w:sz w:val="32"/>
          <w:szCs w:val="32"/>
        </w:rPr>
        <w:t>完善财务管理制度，严格审批程序，加强固定资产登记、使用和报废处置管理，做到支出合理，物尽其用。</w:t>
      </w:r>
    </w:p>
    <w:p>
      <w:pPr>
        <w:spacing w:line="580" w:lineRule="exact"/>
        <w:ind w:firstLine="642" w:firstLineChars="200"/>
        <w:rPr>
          <w:rFonts w:eastAsia="仿宋_GB2312"/>
          <w:sz w:val="32"/>
          <w:szCs w:val="32"/>
        </w:rPr>
      </w:pPr>
      <w:r>
        <w:rPr>
          <w:rFonts w:hint="eastAsia" w:ascii="楷体_GB2312" w:eastAsia="楷体_GB2312"/>
          <w:b/>
          <w:bCs/>
          <w:sz w:val="32"/>
          <w:szCs w:val="32"/>
        </w:rPr>
        <w:t>6</w:t>
      </w:r>
      <w:r>
        <w:rPr>
          <w:rFonts w:ascii="楷体_GB2312" w:eastAsia="楷体_GB2312"/>
          <w:b/>
          <w:bCs/>
          <w:sz w:val="32"/>
          <w:szCs w:val="32"/>
        </w:rPr>
        <w:t>.</w:t>
      </w:r>
      <w:r>
        <w:rPr>
          <w:rFonts w:hint="eastAsia" w:ascii="楷体_GB2312" w:eastAsia="楷体_GB2312"/>
          <w:b/>
          <w:bCs/>
          <w:sz w:val="32"/>
          <w:szCs w:val="32"/>
        </w:rPr>
        <w:t>加强内部监督。</w:t>
      </w:r>
      <w:r>
        <w:rPr>
          <w:rFonts w:hint="eastAsia" w:eastAsia="仿宋_GB2312"/>
          <w:sz w:val="32"/>
          <w:szCs w:val="32"/>
        </w:rPr>
        <w:t>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pPr>
        <w:overflowPunct w:val="0"/>
        <w:adjustRightInd w:val="0"/>
        <w:snapToGrid w:val="0"/>
        <w:spacing w:after="156" w:afterLines="50" w:line="560" w:lineRule="exact"/>
        <w:ind w:firstLine="629" w:firstLineChars="196"/>
        <w:jc w:val="left"/>
        <w:rPr>
          <w:rFonts w:ascii="仿宋_GB2312" w:eastAsia="仿宋_GB2312"/>
          <w:bCs/>
          <w:sz w:val="32"/>
          <w:szCs w:val="32"/>
        </w:rPr>
      </w:pPr>
      <w:r>
        <w:rPr>
          <w:rFonts w:hint="eastAsia" w:ascii="楷体_GB2312" w:eastAsia="楷体_GB2312"/>
          <w:b/>
          <w:bCs/>
          <w:sz w:val="32"/>
          <w:szCs w:val="32"/>
        </w:rPr>
        <w:t>7</w:t>
      </w:r>
      <w:r>
        <w:rPr>
          <w:rFonts w:ascii="楷体_GB2312" w:eastAsia="楷体_GB2312"/>
          <w:b/>
          <w:bCs/>
          <w:sz w:val="32"/>
          <w:szCs w:val="32"/>
        </w:rPr>
        <w:t>.</w:t>
      </w:r>
      <w:r>
        <w:rPr>
          <w:rFonts w:hint="eastAsia" w:ascii="楷体_GB2312" w:eastAsia="楷体_GB2312"/>
          <w:b/>
          <w:bCs/>
          <w:sz w:val="32"/>
          <w:szCs w:val="32"/>
        </w:rPr>
        <w:t>加强宣传培训调研等。</w:t>
      </w:r>
      <w:r>
        <w:rPr>
          <w:rFonts w:hint="eastAsia" w:ascii="仿宋_GB2312" w:eastAsia="仿宋_GB2312"/>
          <w:bCs/>
          <w:sz w:val="32"/>
          <w:szCs w:val="32"/>
        </w:rPr>
        <w:t>加强人员培训，提高本部门职工业务素质；加强调研，提出优化财政资金配置、提高资金使用效益的意见；加大宣传力度，强化预算绩效管理意识，促进预算绩效管理水平进一步提升。</w:t>
      </w:r>
    </w:p>
    <w:p>
      <w:pPr>
        <w:keepNext w:val="0"/>
        <w:keepLines w:val="0"/>
        <w:pageBreakBefore w:val="0"/>
        <w:widowControl w:val="0"/>
        <w:kinsoku/>
        <w:wordWrap/>
        <w:overflowPunct w:val="0"/>
        <w:topLinePunct w:val="0"/>
        <w:autoSpaceDE/>
        <w:autoSpaceDN/>
        <w:bidi w:val="0"/>
        <w:adjustRightInd w:val="0"/>
        <w:snapToGrid w:val="0"/>
        <w:spacing w:after="156" w:afterLines="50" w:line="560" w:lineRule="exact"/>
        <w:ind w:firstLine="642" w:firstLineChars="200"/>
        <w:jc w:val="left"/>
        <w:textAlignment w:val="auto"/>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一级指标</w:t>
            </w:r>
          </w:p>
        </w:tc>
        <w:tc>
          <w:tcPr>
            <w:tcW w:w="825"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二级</w:t>
            </w:r>
          </w:p>
          <w:p>
            <w:pPr>
              <w:widowControl/>
              <w:adjustRightInd w:val="0"/>
              <w:snapToGrid w:val="0"/>
              <w:spacing w:line="560" w:lineRule="exact"/>
              <w:jc w:val="center"/>
              <w:rPr>
                <w:rFonts w:ascii="方正书宋_GBK" w:eastAsia="方正书宋_GBK"/>
                <w:b/>
              </w:rPr>
            </w:pPr>
            <w:r>
              <w:rPr>
                <w:rFonts w:ascii="方正书宋_GBK" w:eastAsia="方正书宋_GBK"/>
                <w:b/>
              </w:rPr>
              <w:t>指标</w:t>
            </w:r>
          </w:p>
        </w:tc>
        <w:tc>
          <w:tcPr>
            <w:tcW w:w="897"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三级</w:t>
            </w:r>
          </w:p>
          <w:p>
            <w:pPr>
              <w:widowControl/>
              <w:adjustRightInd w:val="0"/>
              <w:snapToGrid w:val="0"/>
              <w:spacing w:line="560" w:lineRule="exact"/>
              <w:jc w:val="center"/>
              <w:rPr>
                <w:rFonts w:ascii="方正书宋_GBK" w:eastAsia="方正书宋_GBK"/>
                <w:b/>
              </w:rPr>
            </w:pPr>
            <w:r>
              <w:rPr>
                <w:rFonts w:ascii="方正书宋_GBK" w:eastAsia="方正书宋_GBK"/>
                <w:b/>
              </w:rPr>
              <w:t>指标</w:t>
            </w:r>
          </w:p>
        </w:tc>
        <w:tc>
          <w:tcPr>
            <w:tcW w:w="2172"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评（扣）分标准</w:t>
            </w:r>
          </w:p>
        </w:tc>
        <w:tc>
          <w:tcPr>
            <w:tcW w:w="1483"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绩效指标</w:t>
            </w:r>
          </w:p>
          <w:p>
            <w:pPr>
              <w:widowControl/>
              <w:adjustRightInd w:val="0"/>
              <w:snapToGrid w:val="0"/>
              <w:spacing w:line="560" w:lineRule="exact"/>
              <w:jc w:val="center"/>
              <w:rPr>
                <w:rFonts w:ascii="方正书宋_GBK" w:eastAsia="方正书宋_GBK"/>
                <w:b/>
              </w:rPr>
            </w:pPr>
            <w:r>
              <w:rPr>
                <w:rFonts w:ascii="方正书宋_GBK" w:eastAsia="方正书宋_GBK"/>
                <w:b/>
              </w:rPr>
              <w:t>描述</w:t>
            </w:r>
          </w:p>
        </w:tc>
        <w:tc>
          <w:tcPr>
            <w:tcW w:w="1604" w:type="dxa"/>
            <w:gridSpan w:val="3"/>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指标值</w:t>
            </w:r>
          </w:p>
        </w:tc>
        <w:tc>
          <w:tcPr>
            <w:tcW w:w="1277"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指标值</w:t>
            </w:r>
          </w:p>
          <w:p>
            <w:pPr>
              <w:widowControl/>
              <w:adjustRightInd w:val="0"/>
              <w:snapToGrid w:val="0"/>
              <w:spacing w:line="560" w:lineRule="exact"/>
              <w:jc w:val="center"/>
              <w:rPr>
                <w:rFonts w:ascii="方正书宋_GBK" w:eastAsia="方正书宋_GBK"/>
                <w:b/>
              </w:rPr>
            </w:pPr>
            <w:r>
              <w:rPr>
                <w:rFonts w:ascii="方正书宋_GBK" w:eastAsia="方正书宋_GBK"/>
                <w:b/>
              </w:rPr>
              <w:t>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tcBorders>
              <w:tl2br w:val="nil"/>
              <w:tr2bl w:val="nil"/>
            </w:tcBorders>
            <w:vAlign w:val="center"/>
          </w:tcPr>
          <w:p>
            <w:pPr>
              <w:spacing w:line="560" w:lineRule="exact"/>
            </w:pPr>
          </w:p>
        </w:tc>
        <w:tc>
          <w:tcPr>
            <w:tcW w:w="825" w:type="dxa"/>
            <w:vMerge w:val="continue"/>
            <w:tcBorders>
              <w:tl2br w:val="nil"/>
              <w:tr2bl w:val="nil"/>
            </w:tcBorders>
            <w:vAlign w:val="center"/>
          </w:tcPr>
          <w:p>
            <w:pPr>
              <w:spacing w:line="560" w:lineRule="exact"/>
            </w:pPr>
          </w:p>
        </w:tc>
        <w:tc>
          <w:tcPr>
            <w:tcW w:w="897" w:type="dxa"/>
            <w:vMerge w:val="continue"/>
            <w:tcBorders>
              <w:tl2br w:val="nil"/>
              <w:tr2bl w:val="nil"/>
            </w:tcBorders>
            <w:vAlign w:val="center"/>
          </w:tcPr>
          <w:p>
            <w:pPr>
              <w:spacing w:line="560" w:lineRule="exact"/>
            </w:pPr>
          </w:p>
        </w:tc>
        <w:tc>
          <w:tcPr>
            <w:tcW w:w="2172" w:type="dxa"/>
            <w:vMerge w:val="continue"/>
            <w:tcBorders>
              <w:tl2br w:val="nil"/>
              <w:tr2bl w:val="nil"/>
            </w:tcBorders>
            <w:vAlign w:val="center"/>
          </w:tcPr>
          <w:p>
            <w:pPr>
              <w:spacing w:line="560" w:lineRule="exact"/>
            </w:pPr>
          </w:p>
        </w:tc>
        <w:tc>
          <w:tcPr>
            <w:tcW w:w="1483" w:type="dxa"/>
            <w:vMerge w:val="continue"/>
            <w:tcBorders>
              <w:tl2br w:val="nil"/>
              <w:tr2bl w:val="nil"/>
            </w:tcBorders>
            <w:vAlign w:val="center"/>
          </w:tcPr>
          <w:p>
            <w:pPr>
              <w:spacing w:line="560" w:lineRule="exact"/>
            </w:pPr>
          </w:p>
        </w:tc>
        <w:tc>
          <w:tcPr>
            <w:tcW w:w="543" w:type="dxa"/>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pPr>
              <w:widowControl/>
              <w:adjustRightInd w:val="0"/>
              <w:snapToGrid w:val="0"/>
              <w:spacing w:line="560" w:lineRule="exact"/>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pPr>
              <w:spacing w:line="5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98" w:hRule="atLeast"/>
          <w:jc w:val="center"/>
        </w:trPr>
        <w:tc>
          <w:tcPr>
            <w:tcW w:w="558"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rPr>
            </w:pPr>
            <w:r>
              <w:rPr>
                <w:rFonts w:ascii="方正书宋_GBK" w:eastAsia="方正书宋_GBK"/>
              </w:rPr>
              <w:t>部门产出</w:t>
            </w:r>
          </w:p>
        </w:tc>
        <w:tc>
          <w:tcPr>
            <w:tcW w:w="825"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rPr>
            </w:pPr>
            <w:r>
              <w:rPr>
                <w:rFonts w:ascii="方正书宋_GBK" w:eastAsia="方正书宋_GBK"/>
              </w:rPr>
              <w:t>数量</w:t>
            </w: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新媒体粉丝数量</w:t>
            </w:r>
          </w:p>
        </w:tc>
        <w:tc>
          <w:tcPr>
            <w:tcW w:w="2172"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粉丝数量达到1万，每低于1000扣10分，扣完为止</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粉丝数量</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10000</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人</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96" w:hRule="atLeast"/>
          <w:jc w:val="center"/>
        </w:trPr>
        <w:tc>
          <w:tcPr>
            <w:tcW w:w="558" w:type="dxa"/>
            <w:vMerge w:val="continue"/>
            <w:tcBorders>
              <w:tl2br w:val="nil"/>
              <w:tr2bl w:val="nil"/>
            </w:tcBorders>
            <w:vAlign w:val="center"/>
          </w:tcPr>
          <w:p>
            <w:pPr>
              <w:widowControl/>
              <w:adjustRightInd w:val="0"/>
              <w:snapToGrid w:val="0"/>
              <w:spacing w:line="560" w:lineRule="exact"/>
              <w:jc w:val="center"/>
              <w:rPr>
                <w:rFonts w:ascii="方正书宋_GBK" w:eastAsia="方正书宋_GBK"/>
              </w:rPr>
            </w:pPr>
          </w:p>
        </w:tc>
        <w:tc>
          <w:tcPr>
            <w:tcW w:w="825" w:type="dxa"/>
            <w:vMerge w:val="continue"/>
            <w:tcBorders>
              <w:tl2br w:val="nil"/>
              <w:tr2bl w:val="nil"/>
            </w:tcBorders>
            <w:vAlign w:val="center"/>
          </w:tcPr>
          <w:p>
            <w:pPr>
              <w:widowControl/>
              <w:adjustRightInd w:val="0"/>
              <w:snapToGrid w:val="0"/>
              <w:spacing w:line="560" w:lineRule="exact"/>
              <w:jc w:val="center"/>
              <w:rPr>
                <w:rFonts w:ascii="方正书宋_GBK" w:eastAsia="方正书宋_GBK"/>
              </w:rPr>
            </w:pP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普法宣传活动场次</w:t>
            </w:r>
          </w:p>
        </w:tc>
        <w:tc>
          <w:tcPr>
            <w:tcW w:w="2172"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少于1场不得分</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普法宣传活动场次</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1</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场</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96" w:hRule="atLeast"/>
          <w:jc w:val="center"/>
        </w:trPr>
        <w:tc>
          <w:tcPr>
            <w:tcW w:w="558" w:type="dxa"/>
            <w:vMerge w:val="continue"/>
            <w:tcBorders>
              <w:tl2br w:val="nil"/>
              <w:tr2bl w:val="nil"/>
            </w:tcBorders>
            <w:vAlign w:val="center"/>
          </w:tcPr>
          <w:p>
            <w:pPr>
              <w:widowControl/>
              <w:adjustRightInd w:val="0"/>
              <w:snapToGrid w:val="0"/>
              <w:spacing w:line="560" w:lineRule="exact"/>
              <w:jc w:val="center"/>
              <w:rPr>
                <w:rFonts w:ascii="方正书宋_GBK" w:eastAsia="方正书宋_GBK"/>
              </w:rPr>
            </w:pPr>
          </w:p>
        </w:tc>
        <w:tc>
          <w:tcPr>
            <w:tcW w:w="825" w:type="dxa"/>
            <w:vMerge w:val="continue"/>
            <w:tcBorders>
              <w:tl2br w:val="nil"/>
              <w:tr2bl w:val="nil"/>
            </w:tcBorders>
            <w:vAlign w:val="center"/>
          </w:tcPr>
          <w:p>
            <w:pPr>
              <w:widowControl/>
              <w:adjustRightInd w:val="0"/>
              <w:snapToGrid w:val="0"/>
              <w:spacing w:line="560" w:lineRule="exact"/>
              <w:jc w:val="center"/>
              <w:rPr>
                <w:rFonts w:ascii="方正书宋_GBK" w:eastAsia="方正书宋_GBK"/>
              </w:rPr>
            </w:pP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召开会议次数</w:t>
            </w:r>
          </w:p>
        </w:tc>
        <w:tc>
          <w:tcPr>
            <w:tcW w:w="2172"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少于1场不得分</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全年召开会议次数</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1</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次</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5" w:hRule="atLeast"/>
          <w:jc w:val="center"/>
        </w:trPr>
        <w:tc>
          <w:tcPr>
            <w:tcW w:w="558" w:type="dxa"/>
            <w:vMerge w:val="continue"/>
            <w:tcBorders>
              <w:tl2br w:val="nil"/>
              <w:tr2bl w:val="nil"/>
            </w:tcBorders>
            <w:vAlign w:val="center"/>
          </w:tcPr>
          <w:p>
            <w:pPr>
              <w:spacing w:line="560" w:lineRule="exact"/>
            </w:pPr>
          </w:p>
        </w:tc>
        <w:tc>
          <w:tcPr>
            <w:tcW w:w="825" w:type="dxa"/>
            <w:vMerge w:val="restart"/>
            <w:tcBorders>
              <w:tl2br w:val="nil"/>
              <w:tr2bl w:val="nil"/>
            </w:tcBorders>
            <w:vAlign w:val="center"/>
          </w:tcPr>
          <w:p>
            <w:pPr>
              <w:widowControl/>
              <w:adjustRightInd w:val="0"/>
              <w:snapToGrid w:val="0"/>
              <w:spacing w:line="560" w:lineRule="exact"/>
              <w:jc w:val="center"/>
              <w:rPr>
                <w:rFonts w:ascii="方正书宋_GBK" w:eastAsia="方正书宋_GBK"/>
              </w:rPr>
            </w:pPr>
            <w:r>
              <w:rPr>
                <w:rFonts w:ascii="方正书宋_GBK" w:eastAsia="方正书宋_GBK"/>
              </w:rPr>
              <w:t>质量</w:t>
            </w: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信息阅读量</w:t>
            </w:r>
          </w:p>
        </w:tc>
        <w:tc>
          <w:tcPr>
            <w:tcW w:w="2172"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每少于100人次扣1分，扣完为止</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全年信息阅读量总和</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5000</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人次</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全年新媒体信息阅读人次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5" w:hRule="atLeast"/>
          <w:jc w:val="center"/>
        </w:trPr>
        <w:tc>
          <w:tcPr>
            <w:tcW w:w="558" w:type="dxa"/>
            <w:vMerge w:val="continue"/>
            <w:tcBorders>
              <w:tl2br w:val="nil"/>
              <w:tr2bl w:val="nil"/>
            </w:tcBorders>
            <w:vAlign w:val="center"/>
          </w:tcPr>
          <w:p>
            <w:pPr>
              <w:spacing w:line="560" w:lineRule="exact"/>
            </w:pPr>
          </w:p>
        </w:tc>
        <w:tc>
          <w:tcPr>
            <w:tcW w:w="825" w:type="dxa"/>
            <w:vMerge w:val="continue"/>
            <w:tcBorders>
              <w:tl2br w:val="nil"/>
              <w:tr2bl w:val="nil"/>
            </w:tcBorders>
            <w:vAlign w:val="center"/>
          </w:tcPr>
          <w:p>
            <w:pPr>
              <w:widowControl/>
              <w:adjustRightInd w:val="0"/>
              <w:snapToGrid w:val="0"/>
              <w:spacing w:line="560" w:lineRule="exact"/>
              <w:jc w:val="center"/>
              <w:rPr>
                <w:rFonts w:ascii="方正书宋_GBK" w:eastAsia="方正书宋_GBK"/>
              </w:rPr>
            </w:pPr>
          </w:p>
        </w:tc>
        <w:tc>
          <w:tcPr>
            <w:tcW w:w="897"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提高妇女创业创新能力</w:t>
            </w:r>
          </w:p>
        </w:tc>
        <w:tc>
          <w:tcPr>
            <w:tcW w:w="2172"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妇女创业创新能力不提高不得分</w:t>
            </w:r>
          </w:p>
        </w:tc>
        <w:tc>
          <w:tcPr>
            <w:tcW w:w="1483"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提高妇女创业创新能力</w:t>
            </w:r>
          </w:p>
        </w:tc>
        <w:tc>
          <w:tcPr>
            <w:tcW w:w="54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p>
        </w:tc>
        <w:tc>
          <w:tcPr>
            <w:tcW w:w="488"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提高</w:t>
            </w:r>
          </w:p>
        </w:tc>
        <w:tc>
          <w:tcPr>
            <w:tcW w:w="57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p>
        </w:tc>
        <w:tc>
          <w:tcPr>
            <w:tcW w:w="1277"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pPr>
              <w:spacing w:line="560" w:lineRule="exact"/>
            </w:pPr>
          </w:p>
        </w:tc>
        <w:tc>
          <w:tcPr>
            <w:tcW w:w="825" w:type="dxa"/>
            <w:tcBorders>
              <w:tl2br w:val="nil"/>
              <w:tr2bl w:val="nil"/>
            </w:tcBorders>
            <w:vAlign w:val="center"/>
          </w:tcPr>
          <w:p>
            <w:pPr>
              <w:widowControl/>
              <w:adjustRightInd w:val="0"/>
              <w:snapToGrid w:val="0"/>
              <w:spacing w:line="560" w:lineRule="exact"/>
              <w:jc w:val="center"/>
              <w:rPr>
                <w:rFonts w:ascii="方正书宋_GBK" w:eastAsia="方正书宋_GBK"/>
              </w:rPr>
            </w:pPr>
            <w:r>
              <w:rPr>
                <w:rFonts w:ascii="方正书宋_GBK" w:eastAsia="方正书宋_GBK"/>
              </w:rPr>
              <w:t>时效</w:t>
            </w: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重点工作完成及时率</w:t>
            </w:r>
          </w:p>
        </w:tc>
        <w:tc>
          <w:tcPr>
            <w:tcW w:w="2172"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及时率不达标不得分</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实际完成时间与计划完成时间比率</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100</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pPr>
              <w:spacing w:line="560" w:lineRule="exact"/>
            </w:pPr>
          </w:p>
        </w:tc>
        <w:tc>
          <w:tcPr>
            <w:tcW w:w="825" w:type="dxa"/>
            <w:tcBorders>
              <w:tl2br w:val="nil"/>
              <w:tr2bl w:val="nil"/>
            </w:tcBorders>
            <w:vAlign w:val="center"/>
          </w:tcPr>
          <w:p>
            <w:pPr>
              <w:widowControl/>
              <w:adjustRightInd w:val="0"/>
              <w:snapToGrid w:val="0"/>
              <w:spacing w:line="560" w:lineRule="exact"/>
              <w:jc w:val="center"/>
              <w:rPr>
                <w:rFonts w:ascii="方正书宋_GBK" w:eastAsia="方正书宋_GBK"/>
              </w:rPr>
            </w:pPr>
            <w:r>
              <w:rPr>
                <w:rFonts w:ascii="方正书宋_GBK" w:eastAsia="方正书宋_GBK"/>
              </w:rPr>
              <w:t>成本</w:t>
            </w:r>
          </w:p>
        </w:tc>
        <w:tc>
          <w:tcPr>
            <w:tcW w:w="89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公用经费控制率</w:t>
            </w:r>
          </w:p>
        </w:tc>
        <w:tc>
          <w:tcPr>
            <w:tcW w:w="2172" w:type="dxa"/>
            <w:tcBorders>
              <w:tl2br w:val="nil"/>
              <w:tr2bl w:val="nil"/>
            </w:tcBorders>
            <w:vAlign w:val="center"/>
          </w:tcPr>
          <w:p>
            <w:pPr>
              <w:adjustRightInd w:val="0"/>
              <w:snapToGrid w:val="0"/>
              <w:jc w:val="both"/>
              <w:rPr>
                <w:rFonts w:eastAsia="仿宋_GB2312"/>
                <w:color w:val="000000"/>
                <w:sz w:val="21"/>
                <w:szCs w:val="21"/>
                <w:lang w:eastAsia="zh-CN"/>
              </w:rPr>
            </w:pPr>
            <w:r>
              <w:rPr>
                <w:rFonts w:eastAsia="仿宋_GB2312"/>
                <w:color w:val="000000"/>
                <w:sz w:val="21"/>
                <w:szCs w:val="21"/>
                <w:lang w:eastAsia="zh-CN"/>
              </w:rPr>
              <w:t>1.三公经费实际支出数≤预算安排的三公经费数，得权重分的50%，否则不得分；</w:t>
            </w:r>
          </w:p>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2.日常公用经费决算数≤日常公用经费调整预算数，得权重分的50%，否则不得分</w:t>
            </w:r>
          </w:p>
        </w:tc>
        <w:tc>
          <w:tcPr>
            <w:tcW w:w="1483"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kern w:val="2"/>
                <w:sz w:val="21"/>
                <w:szCs w:val="21"/>
                <w:lang w:eastAsia="zh-CN"/>
              </w:rPr>
              <w:t>部门本年度实际支出的公用经费总额与预算安排的公用经费总额的比率，反映和考核部门对机构运转成本的实际可控制程度。</w:t>
            </w:r>
          </w:p>
        </w:tc>
        <w:tc>
          <w:tcPr>
            <w:tcW w:w="54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100</w:t>
            </w:r>
          </w:p>
        </w:tc>
        <w:tc>
          <w:tcPr>
            <w:tcW w:w="57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1277"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预算安排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60" w:hRule="atLeast"/>
          <w:jc w:val="center"/>
        </w:trPr>
        <w:tc>
          <w:tcPr>
            <w:tcW w:w="558" w:type="dxa"/>
            <w:vMerge w:val="continue"/>
            <w:tcBorders>
              <w:tl2br w:val="nil"/>
              <w:tr2bl w:val="nil"/>
            </w:tcBorders>
            <w:vAlign w:val="center"/>
          </w:tcPr>
          <w:p>
            <w:pPr>
              <w:adjustRightInd w:val="0"/>
              <w:snapToGrid w:val="0"/>
              <w:spacing w:line="560" w:lineRule="exact"/>
              <w:jc w:val="center"/>
              <w:rPr>
                <w:rFonts w:ascii="方正书宋_GBK" w:eastAsia="方正书宋_GBK"/>
              </w:rPr>
            </w:pPr>
          </w:p>
        </w:tc>
        <w:tc>
          <w:tcPr>
            <w:tcW w:w="825"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方正书宋_GBK" w:eastAsia="方正书宋_GBK"/>
                <w:lang w:eastAsia="zh-CN"/>
              </w:rPr>
            </w:pPr>
            <w:r>
              <w:rPr>
                <w:rFonts w:hint="eastAsia" w:ascii="方正书宋_GBK" w:eastAsia="方正书宋_GBK"/>
                <w:lang w:eastAsia="zh-CN"/>
              </w:rPr>
              <w:t>社会效益</w:t>
            </w:r>
          </w:p>
        </w:tc>
        <w:tc>
          <w:tcPr>
            <w:tcW w:w="897"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妇女儿童生活幸福感提升</w:t>
            </w:r>
          </w:p>
        </w:tc>
        <w:tc>
          <w:tcPr>
            <w:tcW w:w="2172"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妇女儿童生活幸福感不提升不得分</w:t>
            </w:r>
          </w:p>
        </w:tc>
        <w:tc>
          <w:tcPr>
            <w:tcW w:w="1483"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妇女儿童生活幸福感提升</w:t>
            </w:r>
          </w:p>
        </w:tc>
        <w:tc>
          <w:tcPr>
            <w:tcW w:w="54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p>
        </w:tc>
        <w:tc>
          <w:tcPr>
            <w:tcW w:w="488"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提升</w:t>
            </w:r>
          </w:p>
        </w:tc>
        <w:tc>
          <w:tcPr>
            <w:tcW w:w="573" w:type="dxa"/>
            <w:tcBorders>
              <w:tl2br w:val="nil"/>
              <w:tr2bl w:val="nil"/>
            </w:tcBorders>
            <w:vAlign w:val="center"/>
          </w:tcPr>
          <w:p>
            <w:pPr>
              <w:adjustRightInd w:val="0"/>
              <w:snapToGrid w:val="0"/>
              <w:jc w:val="center"/>
              <w:rPr>
                <w:rFonts w:ascii="Times New Roman" w:hAnsi="Times New Roman" w:eastAsia="仿宋_GB2312" w:cs="Times New Roman"/>
                <w:color w:val="000000" w:themeColor="text1"/>
                <w:kern w:val="0"/>
                <w:sz w:val="18"/>
                <w:szCs w:val="18"/>
              </w:rPr>
            </w:pPr>
          </w:p>
        </w:tc>
        <w:tc>
          <w:tcPr>
            <w:tcW w:w="1277" w:type="dxa"/>
            <w:tcBorders>
              <w:tl2br w:val="nil"/>
              <w:tr2bl w:val="nil"/>
            </w:tcBorders>
            <w:vAlign w:val="center"/>
          </w:tcPr>
          <w:p>
            <w:pPr>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实际工作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vMerge w:val="continue"/>
            <w:tcBorders>
              <w:tl2br w:val="nil"/>
              <w:tr2bl w:val="nil"/>
            </w:tcBorders>
            <w:vAlign w:val="center"/>
          </w:tcPr>
          <w:p>
            <w:pPr>
              <w:spacing w:line="560" w:lineRule="exact"/>
            </w:pPr>
          </w:p>
        </w:tc>
        <w:tc>
          <w:tcPr>
            <w:tcW w:w="825" w:type="dxa"/>
            <w:tcBorders>
              <w:tl2br w:val="nil"/>
              <w:tr2bl w:val="nil"/>
            </w:tcBorders>
            <w:vAlign w:val="center"/>
          </w:tcPr>
          <w:p>
            <w:pPr>
              <w:widowControl/>
              <w:adjustRightInd w:val="0"/>
              <w:snapToGrid w:val="0"/>
              <w:spacing w:line="560" w:lineRule="exact"/>
              <w:jc w:val="center"/>
              <w:rPr>
                <w:rFonts w:ascii="方正书宋_GBK" w:eastAsia="方正书宋_GBK"/>
              </w:rPr>
            </w:pPr>
            <w:r>
              <w:rPr>
                <w:rFonts w:hint="eastAsia" w:ascii="方正书宋_GBK" w:eastAsia="方正书宋_GBK"/>
              </w:rPr>
              <w:t>满意度</w:t>
            </w:r>
          </w:p>
        </w:tc>
        <w:tc>
          <w:tcPr>
            <w:tcW w:w="897" w:type="dxa"/>
            <w:tcBorders>
              <w:tl2br w:val="nil"/>
              <w:tr2bl w:val="nil"/>
            </w:tcBorders>
            <w:noWrap/>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服务群众满意度</w:t>
            </w:r>
          </w:p>
        </w:tc>
        <w:tc>
          <w:tcPr>
            <w:tcW w:w="2172" w:type="dxa"/>
            <w:tcBorders>
              <w:tl2br w:val="nil"/>
              <w:tr2bl w:val="nil"/>
            </w:tcBorders>
            <w:noWrap/>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满意度不达标不得分</w:t>
            </w:r>
          </w:p>
        </w:tc>
        <w:tc>
          <w:tcPr>
            <w:tcW w:w="1483" w:type="dxa"/>
            <w:tcBorders>
              <w:tl2br w:val="nil"/>
              <w:tr2bl w:val="nil"/>
            </w:tcBorders>
            <w:noWrap/>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群众对本部门工作满意度</w:t>
            </w:r>
          </w:p>
        </w:tc>
        <w:tc>
          <w:tcPr>
            <w:tcW w:w="54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488"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90</w:t>
            </w:r>
          </w:p>
        </w:tc>
        <w:tc>
          <w:tcPr>
            <w:tcW w:w="573" w:type="dxa"/>
            <w:tcBorders>
              <w:tl2br w:val="nil"/>
              <w:tr2bl w:val="nil"/>
            </w:tcBorders>
            <w:vAlign w:val="center"/>
          </w:tcPr>
          <w:p>
            <w:pPr>
              <w:widowControl w:val="0"/>
              <w:overflowPunct w:val="0"/>
              <w:adjustRightInd w:val="0"/>
              <w:snapToGrid w:val="0"/>
              <w:jc w:val="center"/>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w:t>
            </w:r>
          </w:p>
        </w:tc>
        <w:tc>
          <w:tcPr>
            <w:tcW w:w="1277" w:type="dxa"/>
            <w:tcBorders>
              <w:tl2br w:val="nil"/>
              <w:tr2bl w:val="nil"/>
            </w:tcBorders>
            <w:vAlign w:val="center"/>
          </w:tcPr>
          <w:p>
            <w:pPr>
              <w:widowControl w:val="0"/>
              <w:overflowPunct w:val="0"/>
              <w:adjustRightInd w:val="0"/>
              <w:snapToGrid w:val="0"/>
              <w:jc w:val="both"/>
              <w:rPr>
                <w:rFonts w:ascii="Times New Roman" w:hAnsi="Times New Roman" w:eastAsia="仿宋_GB2312" w:cs="Times New Roman"/>
                <w:color w:val="000000" w:themeColor="text1"/>
                <w:kern w:val="0"/>
                <w:sz w:val="18"/>
                <w:szCs w:val="18"/>
              </w:rPr>
            </w:pPr>
            <w:r>
              <w:rPr>
                <w:rFonts w:eastAsia="仿宋_GB2312"/>
                <w:color w:val="000000"/>
                <w:sz w:val="21"/>
                <w:szCs w:val="21"/>
                <w:lang w:eastAsia="zh-CN"/>
              </w:rPr>
              <w:t>满意度调查问卷</w:t>
            </w:r>
          </w:p>
        </w:tc>
      </w:tr>
    </w:tbl>
    <w:p>
      <w:pPr>
        <w:spacing w:line="560" w:lineRule="exact"/>
        <w:rPr>
          <w:rFonts w:ascii="仿宋_GB2312" w:eastAsia="仿宋_GB2312" w:cs="Times New Roman"/>
          <w:sz w:val="32"/>
          <w:szCs w:val="32"/>
        </w:rPr>
      </w:pPr>
    </w:p>
    <w:p>
      <w:pPr>
        <w:spacing w:line="560" w:lineRule="exact"/>
        <w:ind w:firstLine="640" w:firstLineChars="200"/>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pPr>
        <w:spacing w:line="560"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机关工作经费</w:t>
      </w:r>
      <w:r>
        <w:rPr>
          <w:rFonts w:ascii="Times New Roman" w:hAnsi="Times New Roman" w:eastAsia="仿宋_GB2312" w:cs="Times New Roman"/>
          <w:sz w:val="28"/>
        </w:rPr>
        <w:t>绩效目标表</w:t>
      </w:r>
      <w:bookmarkStart w:id="0" w:name="_Toc29799657"/>
      <w:bookmarkEnd w:id="0"/>
    </w:p>
    <w:p>
      <w:pPr>
        <w:spacing w:line="560"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619"/>
        <w:gridCol w:w="2634"/>
        <w:gridCol w:w="3402"/>
        <w:gridCol w:w="1335"/>
        <w:gridCol w:w="26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spacing w:line="400" w:lineRule="exact"/>
              <w:rPr>
                <w:rFonts w:ascii="Times New Roman" w:hAnsi="Times New Roman" w:eastAsia="仿宋_GB2312" w:cs="Times New Roman"/>
                <w:b/>
              </w:rPr>
            </w:pPr>
            <w:r>
              <w:rPr>
                <w:rFonts w:ascii="Times New Roman" w:hAnsi="Times New Roman" w:cs="Times New Roman"/>
              </w:rPr>
              <w:t>举办基层妇联组织建设工作观摩推进会，开展“十佳百优”美丽庭院创建活动，着重深化“美丽庭院”创建，大力宣传创建工作。通过开展普法宣传，提升广大妇女的维权意识。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161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634"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335"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663"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美丽庭院创建个数</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创建“十佳百优”美丽庭院个数</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≥100个</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实际工作情况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普法宣传活动场次</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普法宣传活动场次</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1场</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实际工作情况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召开会议次数</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全年召开会议次数</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1次</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质量指标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先进典型发挥示范带动作用</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先进典型发挥示范带动作用</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是</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先进典型发挥示范带动作用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时效指标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完成工作的及时率</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完成工作的进度/进划完成时间</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100%</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实际完成工作时间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成本指标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在预算范围内</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符合预算安排</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15万元</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预算安排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社会效益指标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对法律普及影响</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增强妇女群众依法维权意识，在社会形成守法、学法、用法的良好氛围</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是</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实际工作情况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服务对象满意度指标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服务对象的满意度</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机关工作人员的满意度</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≥85%</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调查问卷</w:t>
            </w:r>
          </w:p>
        </w:tc>
      </w:tr>
    </w:tbl>
    <w:p>
      <w:pPr>
        <w:spacing w:line="560" w:lineRule="exact"/>
        <w:ind w:firstLine="560" w:firstLineChars="200"/>
        <w:jc w:val="left"/>
        <w:outlineLvl w:val="1"/>
        <w:rPr>
          <w:rFonts w:ascii="Times New Roman" w:hAnsi="Times New Roman" w:eastAsia="仿宋_GB2312" w:cs="Times New Roman"/>
          <w:sz w:val="28"/>
        </w:rPr>
      </w:pPr>
    </w:p>
    <w:p>
      <w:pPr>
        <w:spacing w:line="560" w:lineRule="exact"/>
        <w:ind w:firstLine="560" w:firstLineChars="200"/>
        <w:jc w:val="left"/>
        <w:outlineLvl w:val="1"/>
        <w:rPr>
          <w:rFonts w:ascii="Times New Roman" w:hAnsi="Times New Roman" w:eastAsia="仿宋_GB2312" w:cs="Times New Roman"/>
          <w:sz w:val="28"/>
        </w:rPr>
      </w:pPr>
    </w:p>
    <w:p>
      <w:pPr>
        <w:spacing w:line="560"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妇联业务经费</w:t>
      </w:r>
      <w:r>
        <w:rPr>
          <w:rFonts w:ascii="Times New Roman" w:hAnsi="Times New Roman" w:eastAsia="仿宋_GB2312" w:cs="Times New Roman"/>
          <w:sz w:val="28"/>
        </w:rPr>
        <w:t>绩效目标表</w:t>
      </w:r>
    </w:p>
    <w:p>
      <w:pPr>
        <w:spacing w:line="560" w:lineRule="exact"/>
        <w:ind w:firstLine="560" w:firstLineChars="200"/>
        <w:jc w:val="left"/>
        <w:outlineLvl w:val="1"/>
        <w:rPr>
          <w:rFonts w:ascii="Times New Roman" w:hAnsi="Times New Roman" w:eastAsia="仿宋_GB2312" w:cs="Times New Roman"/>
          <w:sz w:val="28"/>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619"/>
        <w:gridCol w:w="2634"/>
        <w:gridCol w:w="3402"/>
        <w:gridCol w:w="1335"/>
        <w:gridCol w:w="26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pPr>
              <w:pStyle w:val="14"/>
              <w:rPr>
                <w:rFonts w:ascii="Times New Roman" w:hAnsi="Times New Roman" w:cs="Times New Roman"/>
              </w:rPr>
            </w:pPr>
            <w:r>
              <w:rPr>
                <w:rFonts w:ascii="Times New Roman" w:hAnsi="Times New Roman" w:cs="Times New Roman"/>
              </w:rPr>
              <w:t>1.通过开展妇联工作提升广大家长的家教素质和家教水平，推动形成爱国爱家、相亲相爱、向上向善、共建共享的新时代家庭观，引导广大家庭奋斗新征程，贡献“家”力量；促进家政高质量发展。</w:t>
            </w:r>
          </w:p>
          <w:p>
            <w:pPr>
              <w:spacing w:line="400" w:lineRule="exact"/>
              <w:rPr>
                <w:rFonts w:ascii="Times New Roman" w:hAnsi="Times New Roman" w:eastAsia="仿宋_GB2312" w:cs="Times New Roman"/>
                <w:b/>
              </w:rPr>
            </w:pPr>
            <w:r>
              <w:rPr>
                <w:rFonts w:ascii="Times New Roman" w:hAnsi="Times New Roman" w:cs="Times New Roman"/>
              </w:rPr>
              <w:t>2.通过开展妇联工作全面完成依法治市、平安建设等各项任务，促进法治宣传教育工作正常开展，推动婚姻家庭矛盾纠纷化解，提升群众法治意识，营造法治氛围；推进妇女工作在实体领域和虚拟空间、线上和线下两条战线联动互动、深度融合；推进家政行业发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1619"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634"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335"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663" w:type="dxa"/>
            <w:shd w:val="clear" w:color="auto" w:fill="auto"/>
            <w:vAlign w:val="center"/>
          </w:tcPr>
          <w:p>
            <w:pPr>
              <w:spacing w:line="56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家庭个数</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寻找最美家庭个数</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≥20个</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全年发布信息数量</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新媒体推送信息数量</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≥100篇</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实际发布信息数量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数量指标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家庭教育指导服务场次</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家庭教育指导服务场次</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≥1场</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质量指标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全年信息阅读量总和</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信息阅读量</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≥5000人次</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全年新媒体信息阅读人次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质量指标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课程内容准确</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课程内容准确率</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≥99%</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实际工作情况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时效指标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每周发布信息数量</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每周发布信息</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≥3篇</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工作日发布信息数量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pPr>
              <w:spacing w:line="560" w:lineRule="exact"/>
            </w:pP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成本指标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在预算范围内</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符合预算安排</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30万元</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预算安排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社会效益指标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为社会发展贡献巾帼力量</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营造妇女儿童发展的良好环境</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是</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实际工作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pPr>
              <w:spacing w:line="56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1619"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服务对象满意度指标</w:t>
            </w:r>
          </w:p>
        </w:tc>
        <w:tc>
          <w:tcPr>
            <w:tcW w:w="2634"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群众满意度</w:t>
            </w:r>
          </w:p>
        </w:tc>
        <w:tc>
          <w:tcPr>
            <w:tcW w:w="3402"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服务对象满意度</w:t>
            </w:r>
          </w:p>
        </w:tc>
        <w:tc>
          <w:tcPr>
            <w:tcW w:w="1335"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≥85%</w:t>
            </w:r>
          </w:p>
        </w:tc>
        <w:tc>
          <w:tcPr>
            <w:tcW w:w="2663" w:type="dxa"/>
            <w:shd w:val="clear" w:color="auto" w:fill="auto"/>
            <w:vAlign w:val="center"/>
          </w:tcPr>
          <w:p>
            <w:pPr>
              <w:pStyle w:val="14"/>
              <w:rPr>
                <w:rFonts w:ascii="Times New Roman" w:hAnsi="Times New Roman" w:eastAsia="仿宋_GB2312" w:cs="Times New Roman"/>
              </w:rPr>
            </w:pPr>
            <w:r>
              <w:rPr>
                <w:rFonts w:ascii="Times New Roman" w:hAnsi="Times New Roman" w:cs="Times New Roman"/>
              </w:rPr>
              <w:t>调查问卷</w:t>
            </w:r>
          </w:p>
        </w:tc>
      </w:tr>
    </w:tbl>
    <w:p>
      <w:pPr>
        <w:spacing w:line="560" w:lineRule="exact"/>
        <w:ind w:firstLine="560" w:firstLineChars="200"/>
        <w:jc w:val="left"/>
        <w:outlineLvl w:val="1"/>
        <w:rPr>
          <w:rFonts w:ascii="Times New Roman" w:hAnsi="Times New Roman" w:eastAsia="仿宋_GB2312" w:cs="Times New Roman"/>
          <w:sz w:val="28"/>
        </w:rPr>
      </w:pPr>
    </w:p>
    <w:p>
      <w:pPr>
        <w:widowControl/>
        <w:jc w:val="left"/>
        <w:rPr>
          <w:rFonts w:ascii="Times New Roman" w:hAnsi="Times New Roman" w:eastAsia="黑体" w:cs="Times New Roman"/>
          <w:sz w:val="44"/>
          <w:szCs w:val="44"/>
        </w:rPr>
      </w:pPr>
      <w:r>
        <w:rPr>
          <w:rFonts w:ascii="仿宋_GB2312" w:hAnsi="Times New Roman" w:eastAsia="仿宋_GB2312" w:cs="Times New Roman"/>
          <w:sz w:val="28"/>
          <w:szCs w:val="28"/>
        </w:rPr>
        <w:br w:type="page"/>
      </w:r>
    </w:p>
    <w:p>
      <w:pPr>
        <w:autoSpaceDE w:val="0"/>
        <w:autoSpaceDN w:val="0"/>
        <w:adjustRightInd w:val="0"/>
        <w:spacing w:line="560"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pPr>
        <w:spacing w:line="560"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hint="eastAsia" w:ascii="Times New Roman" w:hAnsi="Times New Roman" w:eastAsia="仿宋_GB2312" w:cs="Times New Roman"/>
          <w:sz w:val="32"/>
          <w:szCs w:val="24"/>
          <w:lang w:val="en-US" w:eastAsia="zh-CN"/>
        </w:rPr>
        <w:t>3</w:t>
      </w:r>
      <w:r>
        <w:rPr>
          <w:rFonts w:ascii="Times New Roman" w:hAnsi="Times New Roman" w:eastAsia="仿宋_GB2312" w:cs="Times New Roman"/>
          <w:sz w:val="32"/>
          <w:szCs w:val="24"/>
        </w:rPr>
        <w:t>年，我部门安排政府采购预算0万元。具体内容见下表。</w:t>
      </w:r>
    </w:p>
    <w:bookmarkEnd w:id="1"/>
    <w:p>
      <w:pPr>
        <w:spacing w:line="560" w:lineRule="exact"/>
        <w:jc w:val="center"/>
        <w:outlineLvl w:val="1"/>
        <w:rPr>
          <w:rFonts w:ascii="方正小标宋_GBK" w:eastAsia="方正小标宋_GBK" w:cs="Times New Roman"/>
          <w:sz w:val="32"/>
        </w:rPr>
      </w:pPr>
      <w:bookmarkStart w:id="2" w:name="_Toc64920910"/>
      <w:r>
        <w:rPr>
          <w:rFonts w:hint="eastAsia" w:ascii="方正小标宋_GBK" w:eastAsia="方正小标宋_GBK" w:cs="Times New Roman"/>
          <w:sz w:val="32"/>
        </w:rPr>
        <w:t>部门政府采购预算</w:t>
      </w:r>
      <w:bookmarkEnd w:id="2"/>
    </w:p>
    <w:p>
      <w:pPr>
        <w:spacing w:line="560" w:lineRule="exact"/>
        <w:outlineLvl w:val="1"/>
        <w:rPr>
          <w:rFonts w:ascii="方正小标宋_GBK" w:eastAsia="方正小标宋_GBK" w:cs="Times New Roman"/>
          <w:sz w:val="32"/>
        </w:rPr>
      </w:pPr>
      <w:r>
        <w:t>廊坊</w:t>
      </w:r>
      <w:r>
        <w:rPr>
          <w:rFonts w:hint="eastAsia"/>
          <w:lang w:eastAsia="zh-CN"/>
        </w:rPr>
        <w:t>妇女联合会</w:t>
      </w:r>
      <w: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pPr>
              <w:pStyle w:val="12"/>
              <w:spacing w:line="560" w:lineRule="exact"/>
            </w:pPr>
            <w:r>
              <w:t>政府采购项目来源</w:t>
            </w:r>
          </w:p>
        </w:tc>
        <w:tc>
          <w:tcPr>
            <w:tcW w:w="1134" w:type="dxa"/>
            <w:vMerge w:val="restart"/>
            <w:vAlign w:val="center"/>
          </w:tcPr>
          <w:p>
            <w:pPr>
              <w:pStyle w:val="12"/>
              <w:spacing w:line="560" w:lineRule="exact"/>
            </w:pPr>
            <w:r>
              <w:t>采购物品名称</w:t>
            </w:r>
          </w:p>
        </w:tc>
        <w:tc>
          <w:tcPr>
            <w:tcW w:w="1134" w:type="dxa"/>
            <w:vMerge w:val="restart"/>
            <w:vAlign w:val="center"/>
          </w:tcPr>
          <w:p>
            <w:pPr>
              <w:pStyle w:val="12"/>
              <w:spacing w:line="560" w:lineRule="exact"/>
            </w:pPr>
            <w:r>
              <w:t>政府采购目录序号</w:t>
            </w:r>
          </w:p>
        </w:tc>
        <w:tc>
          <w:tcPr>
            <w:tcW w:w="709" w:type="dxa"/>
            <w:vMerge w:val="restart"/>
            <w:vAlign w:val="center"/>
          </w:tcPr>
          <w:p>
            <w:pPr>
              <w:pStyle w:val="12"/>
              <w:spacing w:line="560" w:lineRule="exact"/>
            </w:pPr>
            <w:r>
              <w:t>计量  单位</w:t>
            </w:r>
          </w:p>
        </w:tc>
        <w:tc>
          <w:tcPr>
            <w:tcW w:w="850" w:type="dxa"/>
            <w:vMerge w:val="restart"/>
            <w:vAlign w:val="center"/>
          </w:tcPr>
          <w:p>
            <w:pPr>
              <w:pStyle w:val="12"/>
              <w:spacing w:line="560" w:lineRule="exact"/>
            </w:pPr>
            <w:r>
              <w:t>数量</w:t>
            </w:r>
          </w:p>
        </w:tc>
        <w:tc>
          <w:tcPr>
            <w:tcW w:w="850" w:type="dxa"/>
            <w:vMerge w:val="restart"/>
            <w:vAlign w:val="center"/>
          </w:tcPr>
          <w:p>
            <w:pPr>
              <w:pStyle w:val="12"/>
              <w:spacing w:line="560" w:lineRule="exact"/>
            </w:pPr>
            <w:r>
              <w:t>单价</w:t>
            </w:r>
          </w:p>
        </w:tc>
        <w:tc>
          <w:tcPr>
            <w:tcW w:w="7712" w:type="dxa"/>
            <w:gridSpan w:val="8"/>
            <w:vAlign w:val="center"/>
          </w:tcPr>
          <w:p>
            <w:pPr>
              <w:pStyle w:val="12"/>
              <w:spacing w:line="560" w:lineRule="exact"/>
            </w:pPr>
            <w:r>
              <w:t>政府采购金额（当年部门预算安排资金）</w:t>
            </w:r>
          </w:p>
        </w:tc>
        <w:tc>
          <w:tcPr>
            <w:tcW w:w="964" w:type="dxa"/>
            <w:vMerge w:val="restart"/>
            <w:vAlign w:val="center"/>
          </w:tcPr>
          <w:p>
            <w:pPr>
              <w:pStyle w:val="12"/>
              <w:spacing w:line="560" w:lineRule="exact"/>
            </w:pPr>
            <w:r>
              <w:t>202</w:t>
            </w:r>
            <w:r>
              <w:rPr>
                <w:rFonts w:hint="eastAsia"/>
                <w:lang w:val="en-US" w:eastAsia="zh-CN"/>
              </w:rPr>
              <w:t>3</w:t>
            </w:r>
            <w:r>
              <w:t>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pPr>
              <w:pStyle w:val="12"/>
              <w:spacing w:line="560" w:lineRule="exact"/>
            </w:pPr>
            <w:r>
              <w:t>项目名称</w:t>
            </w:r>
          </w:p>
        </w:tc>
        <w:tc>
          <w:tcPr>
            <w:tcW w:w="964" w:type="dxa"/>
            <w:vAlign w:val="center"/>
          </w:tcPr>
          <w:p>
            <w:pPr>
              <w:pStyle w:val="12"/>
              <w:spacing w:line="560" w:lineRule="exact"/>
            </w:pPr>
            <w:r>
              <w:t>预算    资金</w:t>
            </w:r>
          </w:p>
        </w:tc>
        <w:tc>
          <w:tcPr>
            <w:tcW w:w="1134" w:type="dxa"/>
            <w:vMerge w:val="continue"/>
          </w:tcPr>
          <w:p>
            <w:pPr>
              <w:spacing w:line="560" w:lineRule="exact"/>
            </w:pPr>
          </w:p>
        </w:tc>
        <w:tc>
          <w:tcPr>
            <w:tcW w:w="1134" w:type="dxa"/>
            <w:vMerge w:val="continue"/>
          </w:tcPr>
          <w:p>
            <w:pPr>
              <w:spacing w:line="560" w:lineRule="exact"/>
            </w:pPr>
          </w:p>
        </w:tc>
        <w:tc>
          <w:tcPr>
            <w:tcW w:w="709" w:type="dxa"/>
            <w:vMerge w:val="continue"/>
          </w:tcPr>
          <w:p>
            <w:pPr>
              <w:spacing w:line="560" w:lineRule="exact"/>
            </w:pPr>
          </w:p>
        </w:tc>
        <w:tc>
          <w:tcPr>
            <w:tcW w:w="850" w:type="dxa"/>
            <w:vMerge w:val="continue"/>
          </w:tcPr>
          <w:p>
            <w:pPr>
              <w:spacing w:line="560" w:lineRule="exact"/>
            </w:pPr>
          </w:p>
        </w:tc>
        <w:tc>
          <w:tcPr>
            <w:tcW w:w="850" w:type="dxa"/>
            <w:vMerge w:val="continue"/>
          </w:tcPr>
          <w:p>
            <w:pPr>
              <w:spacing w:line="560" w:lineRule="exact"/>
            </w:pPr>
          </w:p>
        </w:tc>
        <w:tc>
          <w:tcPr>
            <w:tcW w:w="964" w:type="dxa"/>
            <w:vAlign w:val="center"/>
          </w:tcPr>
          <w:p>
            <w:pPr>
              <w:pStyle w:val="12"/>
              <w:spacing w:line="560" w:lineRule="exact"/>
            </w:pPr>
            <w:r>
              <w:t>合计</w:t>
            </w:r>
          </w:p>
        </w:tc>
        <w:tc>
          <w:tcPr>
            <w:tcW w:w="964" w:type="dxa"/>
            <w:vAlign w:val="center"/>
          </w:tcPr>
          <w:p>
            <w:pPr>
              <w:pStyle w:val="12"/>
              <w:spacing w:line="560" w:lineRule="exact"/>
            </w:pPr>
            <w:r>
              <w:t>一般公共预算拨款</w:t>
            </w:r>
          </w:p>
        </w:tc>
        <w:tc>
          <w:tcPr>
            <w:tcW w:w="964" w:type="dxa"/>
            <w:vAlign w:val="center"/>
          </w:tcPr>
          <w:p>
            <w:pPr>
              <w:pStyle w:val="12"/>
              <w:spacing w:line="560" w:lineRule="exact"/>
            </w:pPr>
            <w:r>
              <w:t>基金预算拨款</w:t>
            </w:r>
          </w:p>
        </w:tc>
        <w:tc>
          <w:tcPr>
            <w:tcW w:w="964" w:type="dxa"/>
            <w:vAlign w:val="center"/>
          </w:tcPr>
          <w:p>
            <w:pPr>
              <w:pStyle w:val="12"/>
              <w:spacing w:line="560" w:lineRule="exact"/>
            </w:pPr>
            <w:r>
              <w:t>国有资本经营预算拨款</w:t>
            </w:r>
          </w:p>
        </w:tc>
        <w:tc>
          <w:tcPr>
            <w:tcW w:w="964" w:type="dxa"/>
            <w:vAlign w:val="center"/>
          </w:tcPr>
          <w:p>
            <w:pPr>
              <w:pStyle w:val="12"/>
              <w:spacing w:line="560" w:lineRule="exact"/>
            </w:pPr>
            <w:r>
              <w:t>财政专户核拨</w:t>
            </w:r>
          </w:p>
        </w:tc>
        <w:tc>
          <w:tcPr>
            <w:tcW w:w="964" w:type="dxa"/>
            <w:vAlign w:val="center"/>
          </w:tcPr>
          <w:p>
            <w:pPr>
              <w:pStyle w:val="12"/>
              <w:spacing w:line="560" w:lineRule="exact"/>
            </w:pPr>
            <w:r>
              <w:t>单位    资金</w:t>
            </w:r>
          </w:p>
        </w:tc>
        <w:tc>
          <w:tcPr>
            <w:tcW w:w="964" w:type="dxa"/>
            <w:vAlign w:val="center"/>
          </w:tcPr>
          <w:p>
            <w:pPr>
              <w:pStyle w:val="12"/>
              <w:spacing w:line="560" w:lineRule="exact"/>
            </w:pPr>
            <w:r>
              <w:t>财政拨    款结转</w:t>
            </w:r>
          </w:p>
        </w:tc>
        <w:tc>
          <w:tcPr>
            <w:tcW w:w="964" w:type="dxa"/>
            <w:vAlign w:val="center"/>
          </w:tcPr>
          <w:p>
            <w:pPr>
              <w:pStyle w:val="12"/>
              <w:spacing w:line="560" w:lineRule="exact"/>
            </w:pPr>
            <w:r>
              <w:t>非财政    拨款结    转结余</w:t>
            </w:r>
          </w:p>
        </w:tc>
        <w:tc>
          <w:tcPr>
            <w:tcW w:w="964" w:type="dxa"/>
            <w:vMerge w:val="continue"/>
          </w:tcPr>
          <w:p>
            <w:pPr>
              <w:spacing w:line="560" w:lineRule="exact"/>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6"/>
              <w:spacing w:line="560" w:lineRule="exact"/>
            </w:pPr>
            <w:r>
              <w:t>合  计</w:t>
            </w:r>
          </w:p>
        </w:tc>
        <w:tc>
          <w:tcPr>
            <w:tcW w:w="964" w:type="dxa"/>
            <w:vAlign w:val="center"/>
          </w:tcPr>
          <w:p>
            <w:pPr>
              <w:pStyle w:val="17"/>
              <w:spacing w:line="560" w:lineRule="exact"/>
            </w:pPr>
          </w:p>
        </w:tc>
        <w:tc>
          <w:tcPr>
            <w:tcW w:w="1134" w:type="dxa"/>
            <w:vAlign w:val="center"/>
          </w:tcPr>
          <w:p>
            <w:pPr>
              <w:pStyle w:val="18"/>
              <w:spacing w:line="560" w:lineRule="exact"/>
            </w:pPr>
          </w:p>
        </w:tc>
        <w:tc>
          <w:tcPr>
            <w:tcW w:w="1134" w:type="dxa"/>
            <w:vAlign w:val="center"/>
          </w:tcPr>
          <w:p>
            <w:pPr>
              <w:pStyle w:val="18"/>
              <w:spacing w:line="560" w:lineRule="exact"/>
            </w:pPr>
          </w:p>
        </w:tc>
        <w:tc>
          <w:tcPr>
            <w:tcW w:w="709" w:type="dxa"/>
            <w:vAlign w:val="center"/>
          </w:tcPr>
          <w:p>
            <w:pPr>
              <w:pStyle w:val="16"/>
              <w:spacing w:line="560" w:lineRule="exact"/>
            </w:pPr>
          </w:p>
        </w:tc>
        <w:tc>
          <w:tcPr>
            <w:tcW w:w="850" w:type="dxa"/>
            <w:vAlign w:val="center"/>
          </w:tcPr>
          <w:p>
            <w:pPr>
              <w:pStyle w:val="17"/>
              <w:spacing w:line="560" w:lineRule="exact"/>
            </w:pPr>
          </w:p>
        </w:tc>
        <w:tc>
          <w:tcPr>
            <w:tcW w:w="850"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097" w:type="dxa"/>
            <w:vAlign w:val="center"/>
          </w:tcPr>
          <w:p>
            <w:pPr>
              <w:pStyle w:val="16"/>
              <w:spacing w:line="560" w:lineRule="exact"/>
            </w:pPr>
          </w:p>
        </w:tc>
        <w:tc>
          <w:tcPr>
            <w:tcW w:w="964" w:type="dxa"/>
            <w:vAlign w:val="center"/>
          </w:tcPr>
          <w:p>
            <w:pPr>
              <w:pStyle w:val="17"/>
              <w:spacing w:line="560" w:lineRule="exact"/>
            </w:pPr>
          </w:p>
        </w:tc>
        <w:tc>
          <w:tcPr>
            <w:tcW w:w="1134" w:type="dxa"/>
            <w:vAlign w:val="center"/>
          </w:tcPr>
          <w:p>
            <w:pPr>
              <w:pStyle w:val="18"/>
              <w:spacing w:line="560" w:lineRule="exact"/>
            </w:pPr>
          </w:p>
        </w:tc>
        <w:tc>
          <w:tcPr>
            <w:tcW w:w="1134" w:type="dxa"/>
            <w:vAlign w:val="center"/>
          </w:tcPr>
          <w:p>
            <w:pPr>
              <w:pStyle w:val="18"/>
              <w:spacing w:line="560" w:lineRule="exact"/>
            </w:pPr>
          </w:p>
        </w:tc>
        <w:tc>
          <w:tcPr>
            <w:tcW w:w="709" w:type="dxa"/>
            <w:vAlign w:val="center"/>
          </w:tcPr>
          <w:p>
            <w:pPr>
              <w:pStyle w:val="16"/>
              <w:spacing w:line="560" w:lineRule="exact"/>
            </w:pPr>
          </w:p>
        </w:tc>
        <w:tc>
          <w:tcPr>
            <w:tcW w:w="850" w:type="dxa"/>
            <w:vAlign w:val="center"/>
          </w:tcPr>
          <w:p>
            <w:pPr>
              <w:pStyle w:val="17"/>
              <w:spacing w:line="560" w:lineRule="exact"/>
            </w:pPr>
          </w:p>
        </w:tc>
        <w:tc>
          <w:tcPr>
            <w:tcW w:w="850"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6"/>
              <w:spacing w:line="560" w:lineRule="exact"/>
            </w:pPr>
          </w:p>
        </w:tc>
        <w:tc>
          <w:tcPr>
            <w:tcW w:w="964" w:type="dxa"/>
            <w:vAlign w:val="center"/>
          </w:tcPr>
          <w:p>
            <w:pPr>
              <w:pStyle w:val="17"/>
              <w:spacing w:line="560" w:lineRule="exact"/>
            </w:pPr>
          </w:p>
        </w:tc>
        <w:tc>
          <w:tcPr>
            <w:tcW w:w="1134" w:type="dxa"/>
            <w:vAlign w:val="center"/>
          </w:tcPr>
          <w:p>
            <w:pPr>
              <w:pStyle w:val="18"/>
              <w:spacing w:line="560" w:lineRule="exact"/>
            </w:pPr>
          </w:p>
        </w:tc>
        <w:tc>
          <w:tcPr>
            <w:tcW w:w="1134" w:type="dxa"/>
            <w:vAlign w:val="center"/>
          </w:tcPr>
          <w:p>
            <w:pPr>
              <w:pStyle w:val="18"/>
              <w:spacing w:line="560" w:lineRule="exact"/>
            </w:pPr>
          </w:p>
        </w:tc>
        <w:tc>
          <w:tcPr>
            <w:tcW w:w="709" w:type="dxa"/>
            <w:vAlign w:val="center"/>
          </w:tcPr>
          <w:p>
            <w:pPr>
              <w:pStyle w:val="16"/>
              <w:spacing w:line="560" w:lineRule="exact"/>
            </w:pPr>
          </w:p>
        </w:tc>
        <w:tc>
          <w:tcPr>
            <w:tcW w:w="850" w:type="dxa"/>
            <w:vAlign w:val="center"/>
          </w:tcPr>
          <w:p>
            <w:pPr>
              <w:pStyle w:val="17"/>
              <w:spacing w:line="560" w:lineRule="exact"/>
            </w:pPr>
          </w:p>
        </w:tc>
        <w:tc>
          <w:tcPr>
            <w:tcW w:w="850"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pPr>
              <w:pStyle w:val="16"/>
              <w:spacing w:line="560" w:lineRule="exact"/>
            </w:pPr>
          </w:p>
        </w:tc>
        <w:tc>
          <w:tcPr>
            <w:tcW w:w="964" w:type="dxa"/>
            <w:vAlign w:val="center"/>
          </w:tcPr>
          <w:p>
            <w:pPr>
              <w:pStyle w:val="17"/>
              <w:spacing w:line="560" w:lineRule="exact"/>
            </w:pPr>
          </w:p>
        </w:tc>
        <w:tc>
          <w:tcPr>
            <w:tcW w:w="1134" w:type="dxa"/>
            <w:vAlign w:val="center"/>
          </w:tcPr>
          <w:p>
            <w:pPr>
              <w:pStyle w:val="18"/>
              <w:spacing w:line="560" w:lineRule="exact"/>
            </w:pPr>
          </w:p>
        </w:tc>
        <w:tc>
          <w:tcPr>
            <w:tcW w:w="1134" w:type="dxa"/>
            <w:vAlign w:val="center"/>
          </w:tcPr>
          <w:p>
            <w:pPr>
              <w:pStyle w:val="18"/>
              <w:spacing w:line="560" w:lineRule="exact"/>
            </w:pPr>
          </w:p>
        </w:tc>
        <w:tc>
          <w:tcPr>
            <w:tcW w:w="709" w:type="dxa"/>
            <w:vAlign w:val="center"/>
          </w:tcPr>
          <w:p>
            <w:pPr>
              <w:pStyle w:val="16"/>
              <w:spacing w:line="560" w:lineRule="exact"/>
            </w:pPr>
          </w:p>
        </w:tc>
        <w:tc>
          <w:tcPr>
            <w:tcW w:w="850" w:type="dxa"/>
            <w:vAlign w:val="center"/>
          </w:tcPr>
          <w:p>
            <w:pPr>
              <w:pStyle w:val="17"/>
              <w:spacing w:line="560" w:lineRule="exact"/>
            </w:pPr>
          </w:p>
        </w:tc>
        <w:tc>
          <w:tcPr>
            <w:tcW w:w="850"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c>
          <w:tcPr>
            <w:tcW w:w="964" w:type="dxa"/>
            <w:vAlign w:val="center"/>
          </w:tcPr>
          <w:p>
            <w:pPr>
              <w:pStyle w:val="17"/>
              <w:spacing w:line="560" w:lineRule="exact"/>
            </w:pPr>
          </w:p>
        </w:tc>
      </w:tr>
    </w:tbl>
    <w:p>
      <w:pPr>
        <w:spacing w:line="56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pPr>
        <w:spacing w:line="560" w:lineRule="exact"/>
        <w:ind w:firstLine="420"/>
        <w:rPr>
          <w:rFonts w:ascii="方正仿宋_GBK" w:hAnsi="方正仿宋_GBK" w:eastAsia="方正仿宋_GBK" w:cs="方正仿宋_GBK"/>
          <w:color w:val="000000"/>
        </w:rPr>
      </w:pPr>
    </w:p>
    <w:p>
      <w:pPr>
        <w:spacing w:line="560" w:lineRule="exact"/>
        <w:ind w:firstLine="420"/>
        <w:rPr>
          <w:rFonts w:ascii="Times New Roman" w:hAnsi="Times New Roman" w:eastAsia="黑体" w:cs="Times New Roman"/>
          <w:sz w:val="32"/>
          <w:szCs w:val="32"/>
        </w:rPr>
      </w:pPr>
    </w:p>
    <w:p>
      <w:pPr>
        <w:spacing w:line="56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廊坊市妇女联合会上年末固定资产金额为</w:t>
      </w:r>
      <w:r>
        <w:rPr>
          <w:rFonts w:hint="eastAsia" w:ascii="Times New Roman" w:hAnsi="Times New Roman" w:eastAsia="仿宋_GB2312" w:cs="Times New Roman"/>
          <w:sz w:val="32"/>
          <w:szCs w:val="32"/>
          <w:lang w:val="en-US" w:eastAsia="zh-CN"/>
        </w:rPr>
        <w:t>47.99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w:t>
      </w:r>
      <w:r>
        <w:rPr>
          <w:rFonts w:hint="eastAsia" w:ascii="Times New Roman" w:hAnsi="Times New Roman" w:eastAsia="仿宋_GB2312" w:cs="Times New Roman"/>
          <w:sz w:val="32"/>
          <w:szCs w:val="32"/>
        </w:rPr>
        <w:t>无</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w:t>
      </w:r>
    </w:p>
    <w:p>
      <w:pPr>
        <w:spacing w:line="560"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60"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编制部门：廊坊市妇女联合会</w:t>
            </w:r>
          </w:p>
        </w:tc>
        <w:tc>
          <w:tcPr>
            <w:tcW w:w="5103" w:type="dxa"/>
            <w:tcBorders>
              <w:top w:val="nil"/>
              <w:left w:val="nil"/>
              <w:bottom w:val="nil"/>
              <w:right w:val="nil"/>
            </w:tcBorders>
            <w:shd w:val="clear" w:color="auto" w:fill="auto"/>
            <w:noWrap/>
            <w:vAlign w:val="center"/>
          </w:tcPr>
          <w:p>
            <w:pPr>
              <w:widowControl/>
              <w:spacing w:line="5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hint="eastAsia" w:ascii="Times New Roman" w:hAnsi="Times New Roman" w:eastAsia="仿宋_GB2312" w:cs="Times New Roman"/>
                <w:kern w:val="0"/>
                <w:sz w:val="22"/>
                <w:lang w:val="en-US" w:eastAsia="zh-CN"/>
              </w:rPr>
              <w:t>2</w:t>
            </w:r>
            <w:r>
              <w:rPr>
                <w:rFonts w:ascii="Times New Roman" w:hAnsi="Times New Roman" w:eastAsia="仿宋_GB2312" w:cs="Times New Roman"/>
                <w:kern w:val="0"/>
                <w:sz w:val="22"/>
              </w:rPr>
              <w:t xml:space="preserve">年12月31日  </w:t>
            </w:r>
          </w:p>
        </w:tc>
      </w:tr>
      <w:tr>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47.99</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8</w:t>
            </w:r>
            <w:r>
              <w:rPr>
                <w:rFonts w:ascii="Times New Roman" w:hAnsi="Times New Roman" w:eastAsia="仿宋_GB2312" w:cs="Times New Roman"/>
                <w:sz w:val="22"/>
              </w:rPr>
              <w:t>3.55</w:t>
            </w: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12.13</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0.00</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ascii="Times New Roman" w:hAnsi="Times New Roman" w:eastAsia="仿宋_GB2312" w:cs="Times New Roman"/>
                <w:sz w:val="22"/>
              </w:rPr>
            </w:pP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 xml:space="preserve">563 </w:t>
            </w:r>
          </w:p>
        </w:tc>
        <w:tc>
          <w:tcPr>
            <w:tcW w:w="5103" w:type="dxa"/>
            <w:tcBorders>
              <w:top w:val="nil"/>
              <w:left w:val="nil"/>
              <w:bottom w:val="single" w:color="auto" w:sz="4" w:space="0"/>
              <w:right w:val="single" w:color="auto" w:sz="4" w:space="0"/>
            </w:tcBorders>
            <w:shd w:val="clear" w:color="auto" w:fill="auto"/>
            <w:noWrap/>
            <w:vAlign w:val="center"/>
          </w:tcPr>
          <w:p>
            <w:pPr>
              <w:spacing w:line="560"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35.86</w:t>
            </w:r>
          </w:p>
        </w:tc>
      </w:tr>
    </w:tbl>
    <w:p>
      <w:pPr>
        <w:autoSpaceDE w:val="0"/>
        <w:autoSpaceDN w:val="0"/>
        <w:adjustRightInd w:val="0"/>
        <w:spacing w:line="560" w:lineRule="exact"/>
        <w:ind w:firstLine="640" w:firstLineChars="200"/>
        <w:jc w:val="left"/>
        <w:rPr>
          <w:rFonts w:ascii="Times New Roman" w:hAnsi="Times New Roman" w:eastAsia="黑体" w:cs="Times New Roman"/>
          <w:sz w:val="32"/>
          <w:szCs w:val="32"/>
        </w:rPr>
      </w:pPr>
    </w:p>
    <w:p>
      <w:pPr>
        <w:autoSpaceDE w:val="0"/>
        <w:autoSpaceDN w:val="0"/>
        <w:adjustRightInd w:val="0"/>
        <w:spacing w:line="560" w:lineRule="exact"/>
        <w:ind w:firstLine="640" w:firstLineChars="200"/>
        <w:jc w:val="left"/>
        <w:rPr>
          <w:rFonts w:hint="eastAsia" w:ascii="Times New Roman" w:hAnsi="Times New Roman" w:eastAsia="黑体" w:cs="Times New Roman"/>
          <w:sz w:val="32"/>
          <w:szCs w:val="32"/>
        </w:rPr>
      </w:pPr>
    </w:p>
    <w:p>
      <w:pPr>
        <w:autoSpaceDE w:val="0"/>
        <w:autoSpaceDN w:val="0"/>
        <w:adjustRightInd w:val="0"/>
        <w:spacing w:line="560" w:lineRule="exact"/>
        <w:ind w:firstLine="640" w:firstLineChars="200"/>
        <w:jc w:val="left"/>
        <w:rPr>
          <w:rFonts w:ascii="Times New Roman" w:hAnsi="Times New Roman" w:eastAsia="黑体" w:cs="Times New Roman"/>
          <w:sz w:val="32"/>
          <w:szCs w:val="32"/>
        </w:rPr>
      </w:pPr>
    </w:p>
    <w:p>
      <w:pPr>
        <w:autoSpaceDE w:val="0"/>
        <w:autoSpaceDN w:val="0"/>
        <w:adjustRightInd w:val="0"/>
        <w:spacing w:line="560"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财政当年拨付的资金。</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60" w:lineRule="exact"/>
        <w:ind w:firstLine="642"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财政预算管理的“三公”经费，是指</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6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60"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361" w:right="1021" w:bottom="1361" w:left="102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00041D"/>
    <w:rsid w:val="0002077F"/>
    <w:rsid w:val="000230E6"/>
    <w:rsid w:val="00047077"/>
    <w:rsid w:val="000857F5"/>
    <w:rsid w:val="00093676"/>
    <w:rsid w:val="000F698A"/>
    <w:rsid w:val="00102AEE"/>
    <w:rsid w:val="00115D6D"/>
    <w:rsid w:val="00137D5B"/>
    <w:rsid w:val="0014682A"/>
    <w:rsid w:val="00160F09"/>
    <w:rsid w:val="00194625"/>
    <w:rsid w:val="001A3CC9"/>
    <w:rsid w:val="001C583C"/>
    <w:rsid w:val="002020BB"/>
    <w:rsid w:val="0025632D"/>
    <w:rsid w:val="00275400"/>
    <w:rsid w:val="002C1630"/>
    <w:rsid w:val="00333D81"/>
    <w:rsid w:val="00346062"/>
    <w:rsid w:val="0034631A"/>
    <w:rsid w:val="003515F8"/>
    <w:rsid w:val="003615F5"/>
    <w:rsid w:val="00383A94"/>
    <w:rsid w:val="003904DB"/>
    <w:rsid w:val="003956FB"/>
    <w:rsid w:val="003A0A9B"/>
    <w:rsid w:val="003E5098"/>
    <w:rsid w:val="003E7175"/>
    <w:rsid w:val="00425396"/>
    <w:rsid w:val="00455E7A"/>
    <w:rsid w:val="00471993"/>
    <w:rsid w:val="0047283E"/>
    <w:rsid w:val="00474120"/>
    <w:rsid w:val="004A26DB"/>
    <w:rsid w:val="004A54AA"/>
    <w:rsid w:val="004F5D3F"/>
    <w:rsid w:val="005152A5"/>
    <w:rsid w:val="005B2018"/>
    <w:rsid w:val="005E333A"/>
    <w:rsid w:val="00604211"/>
    <w:rsid w:val="0061032B"/>
    <w:rsid w:val="00621B90"/>
    <w:rsid w:val="0074753B"/>
    <w:rsid w:val="00750EB7"/>
    <w:rsid w:val="007812ED"/>
    <w:rsid w:val="0078191A"/>
    <w:rsid w:val="007C3AE6"/>
    <w:rsid w:val="008122A9"/>
    <w:rsid w:val="00844869"/>
    <w:rsid w:val="0085300F"/>
    <w:rsid w:val="00887297"/>
    <w:rsid w:val="008E4C6F"/>
    <w:rsid w:val="00925CEB"/>
    <w:rsid w:val="00926EA8"/>
    <w:rsid w:val="00944233"/>
    <w:rsid w:val="009D1856"/>
    <w:rsid w:val="009E077F"/>
    <w:rsid w:val="009F4E44"/>
    <w:rsid w:val="00A35350"/>
    <w:rsid w:val="00A540FF"/>
    <w:rsid w:val="00B15A86"/>
    <w:rsid w:val="00B17545"/>
    <w:rsid w:val="00B40732"/>
    <w:rsid w:val="00B5209B"/>
    <w:rsid w:val="00B753CA"/>
    <w:rsid w:val="00B80935"/>
    <w:rsid w:val="00BD4388"/>
    <w:rsid w:val="00C17135"/>
    <w:rsid w:val="00CC0315"/>
    <w:rsid w:val="00CC5FEC"/>
    <w:rsid w:val="00D122DB"/>
    <w:rsid w:val="00D347CC"/>
    <w:rsid w:val="00D36436"/>
    <w:rsid w:val="00D414AF"/>
    <w:rsid w:val="00D50209"/>
    <w:rsid w:val="00D53E4A"/>
    <w:rsid w:val="00D93C09"/>
    <w:rsid w:val="00E542AE"/>
    <w:rsid w:val="00E5526B"/>
    <w:rsid w:val="00E64BA6"/>
    <w:rsid w:val="00EF1495"/>
    <w:rsid w:val="00F6209F"/>
    <w:rsid w:val="00F95746"/>
    <w:rsid w:val="00FD4F63"/>
    <w:rsid w:val="00FE133E"/>
    <w:rsid w:val="27BFB98F"/>
    <w:rsid w:val="37EF7B66"/>
    <w:rsid w:val="3F27F4DD"/>
    <w:rsid w:val="42F6B509"/>
    <w:rsid w:val="47F8A485"/>
    <w:rsid w:val="4ADBF6A3"/>
    <w:rsid w:val="555F7AA1"/>
    <w:rsid w:val="5BBEF6D6"/>
    <w:rsid w:val="67FF6B92"/>
    <w:rsid w:val="7DD9C0BA"/>
    <w:rsid w:val="DAFB89B9"/>
    <w:rsid w:val="EBEB7E1F"/>
    <w:rsid w:val="F7B65D9F"/>
    <w:rsid w:val="FAEF9034"/>
    <w:rsid w:val="FBF9619D"/>
    <w:rsid w:val="FF4B997D"/>
    <w:rsid w:val="FFD2B553"/>
    <w:rsid w:val="FFE7EB1C"/>
    <w:rsid w:val="FFEBA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3">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4">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5">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6">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8">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1088</Words>
  <Characters>6203</Characters>
  <Lines>51</Lines>
  <Paragraphs>14</Paragraphs>
  <TotalTime>15</TotalTime>
  <ScaleCrop>false</ScaleCrop>
  <LinksUpToDate>false</LinksUpToDate>
  <CharactersWithSpaces>7277</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2020-01-17T11:27:00Z</dcterms:created>
  <dc:creator>guest</dc:creator>
  <cp:lastModifiedBy>user</cp:lastModifiedBy>
  <cp:lastPrinted>2018-02-03T14:12:00Z</cp:lastPrinted>
  <dcterms:modified xsi:type="dcterms:W3CDTF">2023-01-16T16:13:42Z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