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方正小标宋_GBK" w:hAnsi="方正小标宋_GBK" w:eastAsia="方正小标宋_GBK" w:cs="方正小标宋_GBK"/>
          <w:color w:val="000000"/>
          <w:sz w:val="44"/>
          <w:lang w:val="en-US" w:eastAsia="zh-CN"/>
        </w:rPr>
      </w:pPr>
      <w:r>
        <w:rPr>
          <w:rFonts w:ascii="方正小标宋_GBK" w:hAnsi="方正小标宋_GBK" w:eastAsia="方正小标宋_GBK" w:cs="方正小标宋_GBK"/>
          <w:color w:val="000000"/>
          <w:sz w:val="44"/>
        </w:rPr>
        <w:t>中共廊坊市委网络安全和信息化委员会办公室</w:t>
      </w:r>
      <w:r>
        <w:rPr>
          <w:rFonts w:hint="eastAsia" w:ascii="方正小标宋_GBK" w:hAnsi="方正小标宋_GBK" w:eastAsia="方正小标宋_GBK" w:cs="方正小标宋_GBK"/>
          <w:color w:val="000000"/>
          <w:sz w:val="44"/>
          <w:lang w:val="en-US" w:eastAsia="zh-CN"/>
        </w:rPr>
        <w:t>本级</w:t>
      </w:r>
    </w:p>
    <w:p>
      <w:pPr>
        <w:jc w:val="center"/>
      </w:pPr>
      <w:r>
        <w:rPr>
          <w:rFonts w:ascii="方正小标宋_GBK" w:hAnsi="方正小标宋_GBK" w:eastAsia="方正小标宋_GBK" w:cs="方正小标宋_GBK"/>
          <w:color w:val="000000"/>
          <w:sz w:val="44"/>
        </w:rPr>
        <w:t>2022年</w:t>
      </w:r>
      <w:r>
        <w:rPr>
          <w:rFonts w:hint="eastAsia" w:ascii="方正小标宋_GBK" w:hAnsi="方正小标宋_GBK" w:eastAsia="方正小标宋_GBK" w:cs="方正小标宋_GBK"/>
          <w:color w:val="000000"/>
          <w:sz w:val="44"/>
          <w:lang w:eastAsia="zh-CN"/>
        </w:rPr>
        <w:t>单位</w:t>
      </w:r>
      <w:r>
        <w:rPr>
          <w:rFonts w:ascii="方正小标宋_GBK" w:hAnsi="方正小标宋_GBK" w:eastAsia="方正小标宋_GBK" w:cs="方正小标宋_GBK"/>
          <w:color w:val="000000"/>
          <w:sz w:val="44"/>
        </w:rPr>
        <w:t>预算信息公开情况说明</w:t>
      </w:r>
    </w:p>
    <w:p>
      <w:pPr>
        <w:spacing w:line="500" w:lineRule="exact"/>
        <w:ind w:firstLine="560"/>
      </w:pPr>
      <w:r>
        <w:rPr>
          <w:rFonts w:eastAsia="方正仿宋_GBK"/>
          <w:color w:val="000000"/>
          <w:sz w:val="28"/>
        </w:rPr>
        <w:t>按照《预算法》、《地方预决算公开操作规程》和《关于进一步推进预算公开工作的实施意见》规定，现将中共廊坊市委网络安全和信息化委员会办公室</w:t>
      </w:r>
      <w:r>
        <w:rPr>
          <w:rFonts w:hint="eastAsia" w:eastAsia="方正仿宋_GBK"/>
          <w:color w:val="000000"/>
          <w:sz w:val="28"/>
          <w:lang w:eastAsia="zh-CN"/>
        </w:rPr>
        <w:t>本级</w:t>
      </w:r>
      <w:r>
        <w:rPr>
          <w:rFonts w:eastAsia="方正仿宋_GBK"/>
          <w:color w:val="000000"/>
          <w:sz w:val="28"/>
        </w:rPr>
        <w:t>2022年</w:t>
      </w:r>
      <w:r>
        <w:rPr>
          <w:rFonts w:hint="eastAsia" w:eastAsia="方正仿宋_GBK"/>
          <w:color w:val="000000"/>
          <w:sz w:val="28"/>
          <w:lang w:eastAsia="zh-CN"/>
        </w:rPr>
        <w:t>单位</w:t>
      </w:r>
      <w:r>
        <w:rPr>
          <w:rFonts w:eastAsia="方正仿宋_GBK"/>
          <w:color w:val="000000"/>
          <w:sz w:val="28"/>
        </w:rPr>
        <w:t>预算公开如下：</w:t>
      </w:r>
    </w:p>
    <w:p>
      <w:pPr>
        <w:spacing w:before="10" w:after="10" w:line="360" w:lineRule="auto"/>
        <w:ind w:firstLine="640"/>
        <w:outlineLvl w:val="2"/>
      </w:pPr>
      <w:bookmarkStart w:id="0" w:name="_Toc_3_3_0000000010"/>
      <w:r>
        <w:rPr>
          <w:rFonts w:ascii="黑体" w:hAnsi="黑体" w:eastAsia="黑体" w:cs="黑体"/>
          <w:color w:val="000000"/>
          <w:sz w:val="32"/>
        </w:rPr>
        <w:t>一、</w:t>
      </w:r>
      <w:r>
        <w:rPr>
          <w:rFonts w:hint="eastAsia" w:ascii="黑体" w:hAnsi="黑体" w:eastAsia="黑体" w:cs="黑体"/>
          <w:color w:val="000000"/>
          <w:sz w:val="32"/>
          <w:lang w:eastAsia="zh-CN"/>
        </w:rPr>
        <w:t>单位</w:t>
      </w:r>
      <w:r>
        <w:rPr>
          <w:rFonts w:ascii="黑体" w:hAnsi="黑体" w:eastAsia="黑体" w:cs="黑体"/>
          <w:color w:val="000000"/>
          <w:sz w:val="32"/>
        </w:rPr>
        <w:t>职责及机构设置情况</w:t>
      </w:r>
      <w:bookmarkEnd w:id="0"/>
    </w:p>
    <w:p>
      <w:pPr>
        <w:ind w:firstLine="640"/>
      </w:pPr>
      <w:r>
        <w:rPr>
          <w:rFonts w:hint="eastAsia" w:ascii="方正楷体_GBK" w:hAnsi="方正楷体_GBK" w:eastAsia="方正楷体_GBK" w:cs="方正楷体_GBK"/>
          <w:b/>
          <w:color w:val="000000"/>
          <w:sz w:val="32"/>
          <w:lang w:eastAsia="zh-CN"/>
        </w:rPr>
        <w:t>单位</w:t>
      </w:r>
      <w:r>
        <w:rPr>
          <w:rFonts w:ascii="方正楷体_GBK" w:hAnsi="方正楷体_GBK" w:eastAsia="方正楷体_GBK" w:cs="方正楷体_GBK"/>
          <w:b/>
          <w:color w:val="000000"/>
          <w:sz w:val="32"/>
        </w:rPr>
        <w:t>职责：</w:t>
      </w:r>
    </w:p>
    <w:p>
      <w:pPr>
        <w:pStyle w:val="6"/>
      </w:pPr>
      <w:r>
        <w:t>根据《中共廊坊市委网络安全和信息化委员会办公室职能配置、内设机构和人员编制规定》，中共廊坊市委网络安全和信息化委员会办公室的主要职责是：</w:t>
      </w:r>
    </w:p>
    <w:p>
      <w:pPr>
        <w:pStyle w:val="6"/>
      </w:pPr>
      <w:r>
        <w:t>负责处理市委网络安全和信息化委员会日常事务工作。</w:t>
      </w:r>
    </w:p>
    <w:p>
      <w:pPr>
        <w:pStyle w:val="6"/>
      </w:pPr>
      <w:r>
        <w:t>组织研究起草我市网络安全和信息化发展战略、宏观规划和重大政策。</w:t>
      </w:r>
    </w:p>
    <w:p>
      <w:pPr>
        <w:pStyle w:val="6"/>
      </w:pPr>
      <w:r>
        <w:t>统筹协调全市网络安全保障体系和可信体系建设。</w:t>
      </w:r>
    </w:p>
    <w:p>
      <w:pPr>
        <w:pStyle w:val="6"/>
      </w:pPr>
      <w:r>
        <w:t>督促落实我市涉及政治、经济、文化、社会、生态及军事等各个领域网络安全和信息化重大事项；负责协调处理网络安全和信息化重大突发事件有关应急工作。</w:t>
      </w:r>
    </w:p>
    <w:p>
      <w:pPr>
        <w:pStyle w:val="6"/>
      </w:pPr>
      <w:r>
        <w:t>负责全市互联网信息内容管理。</w:t>
      </w:r>
    </w:p>
    <w:p>
      <w:pPr>
        <w:pStyle w:val="6"/>
      </w:pPr>
      <w:r>
        <w:t>负责指导协调全市网络舆情工作。</w:t>
      </w:r>
    </w:p>
    <w:p>
      <w:pPr>
        <w:pStyle w:val="6"/>
      </w:pPr>
      <w:r>
        <w:t>推动全市网络阵地建设和重点新闻网站规划建设。</w:t>
      </w:r>
    </w:p>
    <w:p>
      <w:pPr>
        <w:pStyle w:val="6"/>
      </w:pPr>
      <w:r>
        <w:t>推动全市网络社会工作和网络文化、网络文明建设；指导互联网行业自律，推进网站党建工作。</w:t>
      </w:r>
    </w:p>
    <w:p>
      <w:pPr>
        <w:pStyle w:val="6"/>
      </w:pPr>
      <w:r>
        <w:t>落实互联网信息服务资本准入和信息网络行业安全审查的有关政策。</w:t>
      </w:r>
    </w:p>
    <w:p>
      <w:pPr>
        <w:pStyle w:val="6"/>
      </w:pPr>
      <w:r>
        <w:t>协调推进全市信息网络行业自主创新和发展。</w:t>
      </w:r>
    </w:p>
    <w:p>
      <w:pPr>
        <w:pStyle w:val="6"/>
      </w:pPr>
      <w:r>
        <w:t>规划指导市内机构开展金融信息服务业务。</w:t>
      </w:r>
    </w:p>
    <w:p>
      <w:pPr>
        <w:pStyle w:val="6"/>
      </w:pPr>
      <w:r>
        <w:t>组织拟订网络安全和信息化干部人才队伍发展规划，组织开展网信系统干部教育培训和人才队伍建设。</w:t>
      </w:r>
    </w:p>
    <w:p>
      <w:pPr>
        <w:pStyle w:val="6"/>
      </w:pPr>
      <w:r>
        <w:t>组织开展相关领域国内国际交流与合作。</w:t>
      </w:r>
    </w:p>
    <w:p>
      <w:pPr>
        <w:pStyle w:val="6"/>
      </w:pPr>
      <w:r>
        <w:t>指导、检查、推动各县（市、区)、廊坊开发区有关部门网络安全和信息化工作。</w:t>
      </w:r>
    </w:p>
    <w:p>
      <w:pPr>
        <w:pStyle w:val="6"/>
      </w:pPr>
      <w:r>
        <w:t>统筹协调网络数据开发、利用的安全管理，统筹协调网络数据安全和个人信息保护工作，指导协调网络数据跨区域流动安全管理。</w:t>
      </w:r>
    </w:p>
    <w:p>
      <w:pPr>
        <w:pStyle w:val="6"/>
      </w:pPr>
      <w:r>
        <w:t>负责全市网络安全和信息化重大专项任务的统筹协调、组织推动、督促落实。</w:t>
      </w:r>
    </w:p>
    <w:p>
      <w:pPr>
        <w:pStyle w:val="6"/>
      </w:pPr>
      <w:r>
        <w:t>统筹协调全市网络综合治理体系建设，协调推进上下协同的网信工作体系建设。</w:t>
      </w:r>
    </w:p>
    <w:p>
      <w:pPr>
        <w:pStyle w:val="6"/>
      </w:pPr>
      <w:r>
        <w:t>完成省委网络安全和信息化委员会办公室（省互联网信息办公室）和市委、市政府及市委网络安全和信息化委员会、市委宣传部交办的其他任务。</w:t>
      </w:r>
    </w:p>
    <w:p>
      <w:pPr>
        <w:ind w:firstLine="640"/>
      </w:pPr>
      <w:r>
        <w:rPr>
          <w:rFonts w:ascii="方正楷体_GBK" w:hAnsi="方正楷体_GBK" w:eastAsia="方正楷体_GBK" w:cs="方正楷体_GBK"/>
          <w:b/>
          <w:color w:val="000000"/>
          <w:sz w:val="32"/>
        </w:rPr>
        <w:t>机构设置：</w:t>
      </w:r>
    </w:p>
    <w:p>
      <w:pPr>
        <w:jc w:val="center"/>
      </w:pPr>
      <w:r>
        <w:rPr>
          <w:rFonts w:hint="eastAsia" w:ascii="方正小标宋_GBK" w:hAnsi="方正小标宋_GBK" w:eastAsia="方正小标宋_GBK" w:cs="方正小标宋_GBK"/>
          <w:color w:val="000000"/>
          <w:sz w:val="32"/>
          <w:lang w:eastAsia="zh-CN"/>
        </w:rPr>
        <w:t>单位</w:t>
      </w:r>
      <w:r>
        <w:rPr>
          <w:rFonts w:ascii="方正小标宋_GBK" w:hAnsi="方正小标宋_GBK" w:eastAsia="方正小标宋_GBK" w:cs="方正小标宋_GBK"/>
          <w:color w:val="000000"/>
          <w:sz w:val="32"/>
        </w:rPr>
        <w:t>机构设置情况</w:t>
      </w:r>
    </w:p>
    <w:tbl>
      <w:tblPr>
        <w:tblStyle w:val="4"/>
        <w:tblW w:w="13465"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5669"/>
        <w:gridCol w:w="1843"/>
        <w:gridCol w:w="2126"/>
        <w:gridCol w:w="382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67" w:hRule="atLeast"/>
          <w:tblHeader/>
          <w:jc w:val="center"/>
        </w:trPr>
        <w:tc>
          <w:tcPr>
            <w:tcW w:w="5669" w:type="dxa"/>
            <w:noWrap w:val="0"/>
            <w:vAlign w:val="center"/>
          </w:tcPr>
          <w:p>
            <w:pPr>
              <w:pStyle w:val="7"/>
            </w:pPr>
            <w:r>
              <w:t>单位名称</w:t>
            </w:r>
          </w:p>
        </w:tc>
        <w:tc>
          <w:tcPr>
            <w:tcW w:w="1843" w:type="dxa"/>
            <w:noWrap w:val="0"/>
            <w:vAlign w:val="center"/>
          </w:tcPr>
          <w:p>
            <w:pPr>
              <w:pStyle w:val="7"/>
            </w:pPr>
            <w:r>
              <w:t>单位性质</w:t>
            </w:r>
          </w:p>
        </w:tc>
        <w:tc>
          <w:tcPr>
            <w:tcW w:w="2126" w:type="dxa"/>
            <w:noWrap w:val="0"/>
            <w:vAlign w:val="center"/>
          </w:tcPr>
          <w:p>
            <w:pPr>
              <w:pStyle w:val="7"/>
            </w:pPr>
            <w:r>
              <w:t>单位规格</w:t>
            </w:r>
          </w:p>
        </w:tc>
        <w:tc>
          <w:tcPr>
            <w:tcW w:w="3827" w:type="dxa"/>
            <w:noWrap w:val="0"/>
            <w:vAlign w:val="center"/>
          </w:tcPr>
          <w:p>
            <w:pPr>
              <w:pStyle w:val="7"/>
            </w:pPr>
            <w:r>
              <w:t>经费保障形式</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5669" w:type="dxa"/>
            <w:noWrap w:val="0"/>
            <w:vAlign w:val="center"/>
          </w:tcPr>
          <w:p>
            <w:pPr>
              <w:pStyle w:val="8"/>
            </w:pPr>
            <w:r>
              <w:t>中共廊坊市委网络安全和信息化委员会办公室本级</w:t>
            </w:r>
          </w:p>
        </w:tc>
        <w:tc>
          <w:tcPr>
            <w:tcW w:w="1843" w:type="dxa"/>
            <w:noWrap w:val="0"/>
            <w:vAlign w:val="center"/>
          </w:tcPr>
          <w:p>
            <w:pPr>
              <w:pStyle w:val="9"/>
            </w:pPr>
            <w:r>
              <w:t>行政</w:t>
            </w:r>
          </w:p>
        </w:tc>
        <w:tc>
          <w:tcPr>
            <w:tcW w:w="2126" w:type="dxa"/>
            <w:noWrap w:val="0"/>
            <w:vAlign w:val="center"/>
          </w:tcPr>
          <w:p>
            <w:pPr>
              <w:pStyle w:val="9"/>
            </w:pPr>
            <w:r>
              <w:t>正处（县）级</w:t>
            </w:r>
          </w:p>
        </w:tc>
        <w:tc>
          <w:tcPr>
            <w:tcW w:w="3827" w:type="dxa"/>
            <w:noWrap w:val="0"/>
            <w:vAlign w:val="center"/>
          </w:tcPr>
          <w:p>
            <w:pPr>
              <w:pStyle w:val="9"/>
            </w:pPr>
            <w:r>
              <w:t>财政拨款</w:t>
            </w:r>
          </w:p>
        </w:tc>
      </w:tr>
    </w:tbl>
    <w:p>
      <w:pPr>
        <w:spacing w:before="10" w:after="10" w:line="360" w:lineRule="auto"/>
        <w:ind w:firstLine="640"/>
        <w:outlineLvl w:val="2"/>
      </w:pPr>
      <w:bookmarkStart w:id="1" w:name="_Toc_3_3_0000000011"/>
      <w:r>
        <w:rPr>
          <w:rFonts w:ascii="黑体" w:hAnsi="黑体" w:eastAsia="黑体" w:cs="黑体"/>
          <w:color w:val="000000"/>
          <w:sz w:val="32"/>
        </w:rPr>
        <w:t>二、</w:t>
      </w:r>
      <w:r>
        <w:rPr>
          <w:rFonts w:hint="eastAsia" w:ascii="黑体" w:hAnsi="黑体" w:eastAsia="黑体" w:cs="黑体"/>
          <w:color w:val="000000"/>
          <w:sz w:val="32"/>
          <w:lang w:eastAsia="zh-CN"/>
        </w:rPr>
        <w:t>单位</w:t>
      </w:r>
      <w:r>
        <w:rPr>
          <w:rFonts w:ascii="黑体" w:hAnsi="黑体" w:eastAsia="黑体" w:cs="黑体"/>
          <w:color w:val="000000"/>
          <w:sz w:val="32"/>
        </w:rPr>
        <w:t>预算安排的总体情况</w:t>
      </w:r>
      <w:bookmarkEnd w:id="1"/>
    </w:p>
    <w:p>
      <w:pPr>
        <w:keepNext w:val="0"/>
        <w:keepLines w:val="0"/>
        <w:pageBreakBefore w:val="0"/>
        <w:widowControl/>
        <w:kinsoku/>
        <w:wordWrap/>
        <w:overflowPunct/>
        <w:topLinePunct w:val="0"/>
        <w:bidi w:val="0"/>
        <w:snapToGrid/>
        <w:spacing w:line="572" w:lineRule="exact"/>
        <w:ind w:firstLine="640"/>
        <w:textAlignment w:val="auto"/>
        <w:rPr>
          <w:rFonts w:eastAsia="方正仿宋_GBK"/>
          <w:color w:val="000000"/>
          <w:sz w:val="28"/>
        </w:rPr>
      </w:pPr>
      <w:r>
        <w:rPr>
          <w:rFonts w:eastAsia="方正仿宋_GBK"/>
          <w:color w:val="000000"/>
          <w:sz w:val="28"/>
        </w:rPr>
        <w:t>按照预算管理有关规定，目前我省</w:t>
      </w:r>
      <w:r>
        <w:rPr>
          <w:rFonts w:hint="eastAsia" w:eastAsia="方正仿宋_GBK"/>
          <w:color w:val="000000"/>
          <w:sz w:val="28"/>
          <w:lang w:eastAsia="zh-CN"/>
        </w:rPr>
        <w:t>单位</w:t>
      </w:r>
      <w:r>
        <w:rPr>
          <w:rFonts w:eastAsia="方正仿宋_GBK"/>
          <w:color w:val="000000"/>
          <w:sz w:val="28"/>
        </w:rPr>
        <w:t>预算的编制实行综合预算管理，即全部收入和支出都反映在预算中。</w:t>
      </w:r>
    </w:p>
    <w:p>
      <w:pPr>
        <w:keepNext w:val="0"/>
        <w:keepLines w:val="0"/>
        <w:pageBreakBefore w:val="0"/>
        <w:widowControl/>
        <w:kinsoku/>
        <w:wordWrap/>
        <w:overflowPunct/>
        <w:topLinePunct w:val="0"/>
        <w:bidi w:val="0"/>
        <w:snapToGrid/>
        <w:spacing w:line="572" w:lineRule="exact"/>
        <w:ind w:firstLine="640"/>
        <w:textAlignment w:val="auto"/>
        <w:rPr>
          <w:rFonts w:ascii="Times New Roman" w:hAnsi="Times New Roman" w:eastAsia="仿宋_GB2312" w:cs="Times New Roman"/>
          <w:b/>
          <w:sz w:val="32"/>
          <w:szCs w:val="32"/>
          <w:highlight w:val="none"/>
        </w:rPr>
      </w:pPr>
      <w:r>
        <w:rPr>
          <w:rFonts w:ascii="Times New Roman" w:hAnsi="Times New Roman" w:eastAsia="仿宋_GB2312" w:cs="Times New Roman"/>
          <w:b/>
          <w:sz w:val="32"/>
          <w:szCs w:val="32"/>
          <w:highlight w:val="none"/>
        </w:rPr>
        <w:t>1、收入说明</w:t>
      </w:r>
    </w:p>
    <w:p>
      <w:pPr>
        <w:keepNext w:val="0"/>
        <w:keepLines w:val="0"/>
        <w:pageBreakBefore w:val="0"/>
        <w:widowControl/>
        <w:kinsoku/>
        <w:wordWrap/>
        <w:overflowPunct/>
        <w:topLinePunct w:val="0"/>
        <w:bidi w:val="0"/>
        <w:snapToGrid/>
        <w:spacing w:line="572" w:lineRule="exact"/>
        <w:ind w:firstLine="640"/>
        <w:textAlignment w:val="auto"/>
        <w:rPr>
          <w:rFonts w:ascii="Times New Roman" w:hAnsi="Times New Roman" w:eastAsia="方正仿宋_GBK" w:cs="Times New Roman"/>
          <w:sz w:val="28"/>
          <w:szCs w:val="24"/>
          <w:lang w:val="en-US" w:eastAsia="uk-UA" w:bidi="ar-SA"/>
        </w:rPr>
      </w:pPr>
      <w:r>
        <w:rPr>
          <w:rFonts w:ascii="Times New Roman" w:hAnsi="Times New Roman" w:eastAsia="方正仿宋_GBK" w:cs="Times New Roman"/>
          <w:sz w:val="28"/>
          <w:szCs w:val="24"/>
          <w:lang w:val="en-US" w:eastAsia="uk-UA" w:bidi="ar-SA"/>
        </w:rPr>
        <w:t>反映本</w:t>
      </w:r>
      <w:r>
        <w:rPr>
          <w:rFonts w:hint="eastAsia" w:eastAsia="方正仿宋_GBK" w:cs="Times New Roman"/>
          <w:sz w:val="28"/>
          <w:szCs w:val="24"/>
          <w:lang w:val="en-US" w:eastAsia="zh-CN" w:bidi="ar-SA"/>
        </w:rPr>
        <w:t>单位</w:t>
      </w:r>
      <w:r>
        <w:rPr>
          <w:rFonts w:ascii="Times New Roman" w:hAnsi="Times New Roman" w:eastAsia="方正仿宋_GBK" w:cs="Times New Roman"/>
          <w:sz w:val="28"/>
          <w:szCs w:val="24"/>
          <w:lang w:val="en-US" w:eastAsia="uk-UA" w:bidi="ar-SA"/>
        </w:rPr>
        <w:t>当年全部收入。20</w:t>
      </w:r>
      <w:r>
        <w:rPr>
          <w:rFonts w:hint="eastAsia" w:ascii="Times New Roman" w:hAnsi="Times New Roman" w:eastAsia="方正仿宋_GBK" w:cs="Times New Roman"/>
          <w:sz w:val="28"/>
          <w:szCs w:val="24"/>
          <w:lang w:val="en-US" w:eastAsia="uk-UA" w:bidi="ar-SA"/>
        </w:rPr>
        <w:t>2</w:t>
      </w:r>
      <w:r>
        <w:rPr>
          <w:rFonts w:ascii="Times New Roman" w:hAnsi="Times New Roman" w:eastAsia="方正仿宋_GBK" w:cs="Times New Roman"/>
          <w:sz w:val="28"/>
          <w:szCs w:val="24"/>
          <w:lang w:val="en-US" w:eastAsia="uk-UA" w:bidi="ar-SA"/>
        </w:rPr>
        <w:t>2年预算收入</w:t>
      </w:r>
      <w:r>
        <w:rPr>
          <w:rFonts w:hint="eastAsia" w:ascii="Times New Roman" w:hAnsi="Times New Roman" w:eastAsia="方正仿宋_GBK" w:cs="Times New Roman"/>
          <w:sz w:val="28"/>
          <w:szCs w:val="24"/>
          <w:lang w:val="en-US" w:eastAsia="zh-CN" w:bidi="ar-SA"/>
        </w:rPr>
        <w:t>6057.87</w:t>
      </w:r>
      <w:r>
        <w:rPr>
          <w:rFonts w:ascii="Times New Roman" w:hAnsi="Times New Roman" w:eastAsia="方正仿宋_GBK" w:cs="Times New Roman"/>
          <w:sz w:val="28"/>
          <w:szCs w:val="24"/>
          <w:lang w:val="en-US" w:eastAsia="uk-UA" w:bidi="ar-SA"/>
        </w:rPr>
        <w:t>万元，其中：一般公共预算收入</w:t>
      </w:r>
      <w:r>
        <w:rPr>
          <w:rFonts w:hint="eastAsia" w:ascii="Times New Roman" w:hAnsi="Times New Roman" w:eastAsia="方正仿宋_GBK" w:cs="Times New Roman"/>
          <w:sz w:val="28"/>
          <w:szCs w:val="24"/>
          <w:lang w:val="en-US" w:eastAsia="zh-CN" w:bidi="ar-SA"/>
        </w:rPr>
        <w:t>6057.87</w:t>
      </w:r>
      <w:r>
        <w:rPr>
          <w:rFonts w:ascii="Times New Roman" w:hAnsi="Times New Roman" w:eastAsia="方正仿宋_GBK" w:cs="Times New Roman"/>
          <w:sz w:val="28"/>
          <w:szCs w:val="24"/>
          <w:lang w:val="en-US" w:eastAsia="uk-UA" w:bidi="ar-SA"/>
        </w:rPr>
        <w:t>万元，基金预算收入</w:t>
      </w:r>
      <w:r>
        <w:rPr>
          <w:rFonts w:hint="eastAsia" w:ascii="Times New Roman" w:hAnsi="Times New Roman" w:eastAsia="方正仿宋_GBK" w:cs="Times New Roman"/>
          <w:sz w:val="28"/>
          <w:szCs w:val="24"/>
          <w:lang w:val="en-US" w:eastAsia="zh-CN" w:bidi="ar-SA"/>
        </w:rPr>
        <w:t>0</w:t>
      </w:r>
      <w:r>
        <w:rPr>
          <w:rFonts w:ascii="Times New Roman" w:hAnsi="Times New Roman" w:eastAsia="方正仿宋_GBK" w:cs="Times New Roman"/>
          <w:sz w:val="28"/>
          <w:szCs w:val="24"/>
          <w:lang w:val="en-US" w:eastAsia="uk-UA" w:bidi="ar-SA"/>
        </w:rPr>
        <w:t>万元，财政专户核拨收入</w:t>
      </w:r>
      <w:r>
        <w:rPr>
          <w:rFonts w:hint="eastAsia" w:ascii="Times New Roman" w:hAnsi="Times New Roman" w:eastAsia="方正仿宋_GBK" w:cs="Times New Roman"/>
          <w:sz w:val="28"/>
          <w:szCs w:val="24"/>
          <w:lang w:val="en-US" w:eastAsia="zh-CN" w:bidi="ar-SA"/>
        </w:rPr>
        <w:t>0</w:t>
      </w:r>
      <w:r>
        <w:rPr>
          <w:rFonts w:ascii="Times New Roman" w:hAnsi="Times New Roman" w:eastAsia="方正仿宋_GBK" w:cs="Times New Roman"/>
          <w:sz w:val="28"/>
          <w:szCs w:val="24"/>
          <w:lang w:val="en-US" w:eastAsia="uk-UA" w:bidi="ar-SA"/>
        </w:rPr>
        <w:t>万元，其他来源收入</w:t>
      </w:r>
      <w:r>
        <w:rPr>
          <w:rFonts w:hint="eastAsia" w:ascii="Times New Roman" w:hAnsi="Times New Roman" w:eastAsia="方正仿宋_GBK" w:cs="Times New Roman"/>
          <w:sz w:val="28"/>
          <w:szCs w:val="24"/>
          <w:lang w:val="en-US" w:eastAsia="zh-CN" w:bidi="ar-SA"/>
        </w:rPr>
        <w:t>0</w:t>
      </w:r>
      <w:r>
        <w:rPr>
          <w:rFonts w:ascii="Times New Roman" w:hAnsi="Times New Roman" w:eastAsia="方正仿宋_GBK" w:cs="Times New Roman"/>
          <w:sz w:val="28"/>
          <w:szCs w:val="24"/>
          <w:lang w:val="en-US" w:eastAsia="uk-UA" w:bidi="ar-SA"/>
        </w:rPr>
        <w:t>万元</w:t>
      </w:r>
      <w:r>
        <w:rPr>
          <w:rFonts w:hint="eastAsia" w:ascii="Times New Roman" w:hAnsi="Times New Roman" w:eastAsia="方正仿宋_GBK" w:cs="Times New Roman"/>
          <w:sz w:val="28"/>
          <w:szCs w:val="24"/>
          <w:lang w:val="en-US" w:eastAsia="uk-UA" w:bidi="ar-SA"/>
        </w:rPr>
        <w:t>，</w:t>
      </w:r>
      <w:r>
        <w:rPr>
          <w:rFonts w:ascii="Times New Roman" w:hAnsi="Times New Roman" w:eastAsia="方正仿宋_GBK" w:cs="Times New Roman"/>
          <w:sz w:val="28"/>
          <w:szCs w:val="24"/>
          <w:lang w:val="en-US" w:eastAsia="uk-UA" w:bidi="ar-SA"/>
        </w:rPr>
        <w:t>上年结转</w:t>
      </w:r>
      <w:r>
        <w:rPr>
          <w:rFonts w:hint="eastAsia" w:ascii="Times New Roman" w:hAnsi="Times New Roman" w:eastAsia="方正仿宋_GBK" w:cs="Times New Roman"/>
          <w:sz w:val="28"/>
          <w:szCs w:val="24"/>
          <w:lang w:val="en-US" w:eastAsia="zh-CN" w:bidi="ar-SA"/>
        </w:rPr>
        <w:t>0</w:t>
      </w:r>
      <w:r>
        <w:rPr>
          <w:rFonts w:hint="eastAsia" w:ascii="Times New Roman" w:hAnsi="Times New Roman" w:eastAsia="方正仿宋_GBK" w:cs="Times New Roman"/>
          <w:sz w:val="28"/>
          <w:szCs w:val="24"/>
          <w:lang w:val="en-US" w:eastAsia="uk-UA" w:bidi="ar-SA"/>
        </w:rPr>
        <w:t>万元</w:t>
      </w:r>
      <w:r>
        <w:rPr>
          <w:rFonts w:ascii="Times New Roman" w:hAnsi="Times New Roman" w:eastAsia="方正仿宋_GBK" w:cs="Times New Roman"/>
          <w:sz w:val="28"/>
          <w:szCs w:val="24"/>
          <w:lang w:val="en-US" w:eastAsia="uk-UA" w:bidi="ar-SA"/>
        </w:rPr>
        <w:t>。</w:t>
      </w:r>
    </w:p>
    <w:p>
      <w:pPr>
        <w:keepNext w:val="0"/>
        <w:keepLines w:val="0"/>
        <w:pageBreakBefore w:val="0"/>
        <w:widowControl/>
        <w:kinsoku/>
        <w:wordWrap/>
        <w:overflowPunct/>
        <w:topLinePunct w:val="0"/>
        <w:bidi w:val="0"/>
        <w:snapToGrid/>
        <w:spacing w:line="572" w:lineRule="exact"/>
        <w:ind w:firstLine="640"/>
        <w:textAlignment w:val="auto"/>
        <w:rPr>
          <w:rFonts w:ascii="Times New Roman" w:hAnsi="Times New Roman" w:eastAsia="仿宋_GB2312" w:cs="Times New Roman"/>
          <w:b/>
          <w:sz w:val="32"/>
          <w:szCs w:val="32"/>
          <w:highlight w:val="none"/>
        </w:rPr>
      </w:pPr>
      <w:r>
        <w:rPr>
          <w:rFonts w:ascii="Times New Roman" w:hAnsi="Times New Roman" w:eastAsia="仿宋_GB2312" w:cs="Times New Roman"/>
          <w:b/>
          <w:sz w:val="32"/>
          <w:szCs w:val="32"/>
          <w:highlight w:val="none"/>
        </w:rPr>
        <w:t>2、支出说明</w:t>
      </w:r>
    </w:p>
    <w:p>
      <w:pPr>
        <w:keepNext w:val="0"/>
        <w:keepLines w:val="0"/>
        <w:pageBreakBefore w:val="0"/>
        <w:widowControl/>
        <w:kinsoku/>
        <w:wordWrap/>
        <w:overflowPunct/>
        <w:topLinePunct w:val="0"/>
        <w:bidi w:val="0"/>
        <w:snapToGrid/>
        <w:spacing w:line="572" w:lineRule="exact"/>
        <w:ind w:firstLine="640"/>
        <w:textAlignment w:val="auto"/>
        <w:rPr>
          <w:rFonts w:ascii="Times New Roman" w:hAnsi="Times New Roman" w:eastAsia="方正仿宋_GBK" w:cs="Times New Roman"/>
          <w:sz w:val="28"/>
          <w:szCs w:val="24"/>
          <w:lang w:val="en-US" w:eastAsia="uk-UA" w:bidi="ar-SA"/>
        </w:rPr>
      </w:pPr>
      <w:r>
        <w:rPr>
          <w:rFonts w:ascii="Times New Roman" w:hAnsi="Times New Roman" w:eastAsia="方正仿宋_GBK" w:cs="Times New Roman"/>
          <w:sz w:val="28"/>
          <w:szCs w:val="24"/>
          <w:lang w:val="en-US" w:eastAsia="uk-UA" w:bidi="ar-SA"/>
        </w:rPr>
        <w:t>收支预算总表支出栏、基本支出表、项目支出表按经济分类和支出功能分类科目编制，反映廊坊</w:t>
      </w:r>
      <w:r>
        <w:rPr>
          <w:rFonts w:hint="eastAsia" w:eastAsia="方正仿宋_GBK" w:cs="Times New Roman"/>
          <w:sz w:val="28"/>
          <w:szCs w:val="24"/>
          <w:lang w:val="en-US" w:eastAsia="zh-CN" w:bidi="ar-SA"/>
        </w:rPr>
        <w:t>市委网络安全和信息化委员会办公室本级单位</w:t>
      </w:r>
      <w:r>
        <w:rPr>
          <w:rFonts w:ascii="Times New Roman" w:hAnsi="Times New Roman" w:eastAsia="方正仿宋_GBK" w:cs="Times New Roman"/>
          <w:sz w:val="28"/>
          <w:szCs w:val="24"/>
          <w:lang w:val="en-US" w:eastAsia="uk-UA" w:bidi="ar-SA"/>
        </w:rPr>
        <w:t>预算中支出预算的总体情况。20</w:t>
      </w:r>
      <w:r>
        <w:rPr>
          <w:rFonts w:hint="eastAsia" w:ascii="Times New Roman" w:hAnsi="Times New Roman" w:eastAsia="方正仿宋_GBK" w:cs="Times New Roman"/>
          <w:sz w:val="28"/>
          <w:szCs w:val="24"/>
          <w:lang w:val="en-US" w:eastAsia="uk-UA" w:bidi="ar-SA"/>
        </w:rPr>
        <w:t>2</w:t>
      </w:r>
      <w:r>
        <w:rPr>
          <w:rFonts w:ascii="Times New Roman" w:hAnsi="Times New Roman" w:eastAsia="方正仿宋_GBK" w:cs="Times New Roman"/>
          <w:sz w:val="28"/>
          <w:szCs w:val="24"/>
          <w:lang w:val="en-US" w:eastAsia="uk-UA" w:bidi="ar-SA"/>
        </w:rPr>
        <w:t>2年支出预算</w:t>
      </w:r>
      <w:r>
        <w:rPr>
          <w:rFonts w:hint="eastAsia" w:ascii="Times New Roman" w:hAnsi="Times New Roman" w:eastAsia="方正仿宋_GBK" w:cs="Times New Roman"/>
          <w:sz w:val="28"/>
          <w:szCs w:val="24"/>
          <w:lang w:val="en-US" w:eastAsia="zh-CN" w:bidi="ar-SA"/>
        </w:rPr>
        <w:t>6057.87</w:t>
      </w:r>
      <w:r>
        <w:rPr>
          <w:rFonts w:ascii="Times New Roman" w:hAnsi="Times New Roman" w:eastAsia="方正仿宋_GBK" w:cs="Times New Roman"/>
          <w:sz w:val="28"/>
          <w:szCs w:val="24"/>
          <w:lang w:val="en-US" w:eastAsia="uk-UA" w:bidi="ar-SA"/>
        </w:rPr>
        <w:t>万元，其中基本支出</w:t>
      </w:r>
      <w:r>
        <w:rPr>
          <w:rFonts w:hint="eastAsia" w:ascii="Times New Roman" w:hAnsi="Times New Roman" w:eastAsia="方正仿宋_GBK" w:cs="Times New Roman"/>
          <w:sz w:val="28"/>
          <w:szCs w:val="24"/>
          <w:lang w:val="en-US" w:eastAsia="zh-CN" w:bidi="ar-SA"/>
        </w:rPr>
        <w:t>689.92</w:t>
      </w:r>
      <w:r>
        <w:rPr>
          <w:rFonts w:ascii="Times New Roman" w:hAnsi="Times New Roman" w:eastAsia="方正仿宋_GBK" w:cs="Times New Roman"/>
          <w:sz w:val="28"/>
          <w:szCs w:val="24"/>
          <w:lang w:val="en-US" w:eastAsia="uk-UA" w:bidi="ar-SA"/>
        </w:rPr>
        <w:t>万元，包括人员经费</w:t>
      </w:r>
      <w:r>
        <w:rPr>
          <w:rFonts w:hint="eastAsia" w:ascii="Times New Roman" w:hAnsi="Times New Roman" w:eastAsia="方正仿宋_GBK" w:cs="Times New Roman"/>
          <w:sz w:val="28"/>
          <w:szCs w:val="24"/>
          <w:lang w:val="en-US" w:eastAsia="zh-CN" w:bidi="ar-SA"/>
        </w:rPr>
        <w:t>623.62</w:t>
      </w:r>
      <w:r>
        <w:rPr>
          <w:rFonts w:ascii="Times New Roman" w:hAnsi="Times New Roman" w:eastAsia="方正仿宋_GBK" w:cs="Times New Roman"/>
          <w:sz w:val="28"/>
          <w:szCs w:val="24"/>
          <w:lang w:val="en-US" w:eastAsia="uk-UA" w:bidi="ar-SA"/>
        </w:rPr>
        <w:t>万元和</w:t>
      </w:r>
      <w:r>
        <w:rPr>
          <w:rFonts w:hint="eastAsia" w:ascii="Times New Roman" w:hAnsi="Times New Roman" w:eastAsia="方正仿宋_GBK" w:cs="Times New Roman"/>
          <w:sz w:val="28"/>
          <w:szCs w:val="24"/>
          <w:lang w:val="en-US" w:eastAsia="zh-CN" w:bidi="ar-SA"/>
        </w:rPr>
        <w:t>日常</w:t>
      </w:r>
      <w:r>
        <w:rPr>
          <w:rFonts w:ascii="Times New Roman" w:hAnsi="Times New Roman" w:eastAsia="方正仿宋_GBK" w:cs="Times New Roman"/>
          <w:sz w:val="28"/>
          <w:szCs w:val="24"/>
          <w:lang w:val="en-US" w:eastAsia="uk-UA" w:bidi="ar-SA"/>
        </w:rPr>
        <w:t>公用经费</w:t>
      </w:r>
      <w:r>
        <w:rPr>
          <w:rFonts w:hint="eastAsia" w:ascii="Times New Roman" w:hAnsi="Times New Roman" w:eastAsia="方正仿宋_GBK" w:cs="Times New Roman"/>
          <w:sz w:val="28"/>
          <w:szCs w:val="24"/>
          <w:lang w:val="en-US" w:eastAsia="zh-CN" w:bidi="ar-SA"/>
        </w:rPr>
        <w:t>66.30</w:t>
      </w:r>
      <w:r>
        <w:rPr>
          <w:rFonts w:ascii="Times New Roman" w:hAnsi="Times New Roman" w:eastAsia="方正仿宋_GBK" w:cs="Times New Roman"/>
          <w:sz w:val="28"/>
          <w:szCs w:val="24"/>
          <w:lang w:val="en-US" w:eastAsia="uk-UA" w:bidi="ar-SA"/>
        </w:rPr>
        <w:t>万元；运转类其他及特定目标类项目支出</w:t>
      </w:r>
      <w:r>
        <w:rPr>
          <w:rFonts w:hint="eastAsia" w:ascii="Times New Roman" w:hAnsi="Times New Roman" w:eastAsia="方正仿宋_GBK" w:cs="Times New Roman"/>
          <w:sz w:val="28"/>
          <w:szCs w:val="24"/>
          <w:lang w:val="en-US" w:eastAsia="zh-CN" w:bidi="ar-SA"/>
        </w:rPr>
        <w:t>5367.95</w:t>
      </w:r>
      <w:r>
        <w:rPr>
          <w:rFonts w:ascii="Times New Roman" w:hAnsi="Times New Roman" w:eastAsia="方正仿宋_GBK" w:cs="Times New Roman"/>
          <w:sz w:val="28"/>
          <w:szCs w:val="24"/>
          <w:lang w:val="en-US" w:eastAsia="uk-UA" w:bidi="ar-SA"/>
        </w:rPr>
        <w:t>万元，包括本级支出</w:t>
      </w:r>
      <w:r>
        <w:rPr>
          <w:rFonts w:hint="eastAsia" w:ascii="Times New Roman" w:hAnsi="Times New Roman" w:eastAsia="方正仿宋_GBK" w:cs="Times New Roman"/>
          <w:sz w:val="28"/>
          <w:szCs w:val="24"/>
          <w:lang w:val="en-US" w:eastAsia="zh-CN" w:bidi="ar-SA"/>
        </w:rPr>
        <w:t>5367.95万元</w:t>
      </w:r>
      <w:r>
        <w:rPr>
          <w:rFonts w:ascii="Times New Roman" w:hAnsi="Times New Roman" w:eastAsia="方正仿宋_GBK" w:cs="Times New Roman"/>
          <w:sz w:val="28"/>
          <w:szCs w:val="24"/>
          <w:lang w:val="en-US" w:eastAsia="uk-UA" w:bidi="ar-SA"/>
        </w:rPr>
        <w:t>，主要为</w:t>
      </w:r>
      <w:r>
        <w:rPr>
          <w:rFonts w:hint="eastAsia" w:ascii="Times New Roman" w:hAnsi="Times New Roman" w:eastAsia="方正仿宋_GBK" w:cs="Times New Roman"/>
          <w:sz w:val="28"/>
          <w:szCs w:val="24"/>
          <w:lang w:val="en-US" w:eastAsia="zh-CN" w:bidi="ar-SA"/>
        </w:rPr>
        <w:t>公务网络机房维护、廊坊新型智慧城市购买服务和网络媒体宣传引导</w:t>
      </w:r>
      <w:r>
        <w:rPr>
          <w:rFonts w:ascii="Times New Roman" w:hAnsi="Times New Roman" w:eastAsia="方正仿宋_GBK" w:cs="Times New Roman"/>
          <w:sz w:val="28"/>
          <w:szCs w:val="24"/>
          <w:lang w:val="en-US" w:eastAsia="uk-UA" w:bidi="ar-SA"/>
        </w:rPr>
        <w:t>等</w:t>
      </w:r>
      <w:r>
        <w:rPr>
          <w:rFonts w:hint="eastAsia" w:ascii="Times New Roman" w:hAnsi="Times New Roman" w:eastAsia="方正仿宋_GBK" w:cs="Times New Roman"/>
          <w:sz w:val="28"/>
          <w:szCs w:val="24"/>
          <w:lang w:val="en-US" w:eastAsia="zh-CN" w:bidi="ar-SA"/>
        </w:rPr>
        <w:t>项目</w:t>
      </w:r>
      <w:r>
        <w:rPr>
          <w:rFonts w:ascii="Times New Roman" w:hAnsi="Times New Roman" w:eastAsia="方正仿宋_GBK" w:cs="Times New Roman"/>
          <w:sz w:val="28"/>
          <w:szCs w:val="24"/>
          <w:lang w:val="en-US" w:eastAsia="uk-UA" w:bidi="ar-SA"/>
        </w:rPr>
        <w:t>支出。</w:t>
      </w:r>
    </w:p>
    <w:p>
      <w:pPr>
        <w:keepNext w:val="0"/>
        <w:keepLines w:val="0"/>
        <w:pageBreakBefore w:val="0"/>
        <w:widowControl/>
        <w:kinsoku/>
        <w:wordWrap/>
        <w:overflowPunct/>
        <w:topLinePunct w:val="0"/>
        <w:bidi w:val="0"/>
        <w:snapToGrid/>
        <w:spacing w:line="572" w:lineRule="exact"/>
        <w:ind w:firstLine="640"/>
        <w:textAlignment w:val="auto"/>
        <w:rPr>
          <w:rFonts w:ascii="Times New Roman" w:hAnsi="Times New Roman" w:eastAsia="仿宋_GB2312" w:cs="Times New Roman"/>
          <w:b/>
          <w:sz w:val="32"/>
          <w:szCs w:val="32"/>
          <w:highlight w:val="none"/>
        </w:rPr>
      </w:pPr>
      <w:r>
        <w:rPr>
          <w:rFonts w:ascii="Times New Roman" w:hAnsi="Times New Roman" w:eastAsia="仿宋_GB2312" w:cs="Times New Roman"/>
          <w:b/>
          <w:sz w:val="32"/>
          <w:szCs w:val="32"/>
          <w:highlight w:val="none"/>
        </w:rPr>
        <w:t>3、比上年增减情况</w:t>
      </w:r>
    </w:p>
    <w:p>
      <w:pPr>
        <w:keepNext w:val="0"/>
        <w:keepLines w:val="0"/>
        <w:pageBreakBefore w:val="0"/>
        <w:widowControl/>
        <w:kinsoku/>
        <w:wordWrap/>
        <w:overflowPunct/>
        <w:topLinePunct w:val="0"/>
        <w:bidi w:val="0"/>
        <w:snapToGrid/>
        <w:spacing w:line="572" w:lineRule="exact"/>
        <w:ind w:firstLine="640"/>
        <w:textAlignment w:val="auto"/>
      </w:pPr>
      <w:r>
        <w:rPr>
          <w:rFonts w:ascii="Times New Roman" w:hAnsi="Times New Roman" w:eastAsia="方正仿宋_GBK" w:cs="Times New Roman"/>
          <w:sz w:val="28"/>
          <w:szCs w:val="24"/>
          <w:lang w:val="en-US" w:eastAsia="uk-UA" w:bidi="ar-SA"/>
        </w:rPr>
        <w:t>20</w:t>
      </w:r>
      <w:r>
        <w:rPr>
          <w:rFonts w:hint="eastAsia" w:ascii="Times New Roman" w:hAnsi="Times New Roman" w:eastAsia="方正仿宋_GBK" w:cs="Times New Roman"/>
          <w:sz w:val="28"/>
          <w:szCs w:val="24"/>
          <w:lang w:val="en-US" w:eastAsia="uk-UA" w:bidi="ar-SA"/>
        </w:rPr>
        <w:t>2</w:t>
      </w:r>
      <w:r>
        <w:rPr>
          <w:rFonts w:ascii="Times New Roman" w:hAnsi="Times New Roman" w:eastAsia="方正仿宋_GBK" w:cs="Times New Roman"/>
          <w:sz w:val="28"/>
          <w:szCs w:val="24"/>
          <w:lang w:val="en-US" w:eastAsia="uk-UA" w:bidi="ar-SA"/>
        </w:rPr>
        <w:t>2年预算收支安排</w:t>
      </w:r>
      <w:r>
        <w:rPr>
          <w:rFonts w:hint="eastAsia" w:ascii="Times New Roman" w:hAnsi="Times New Roman" w:eastAsia="方正仿宋_GBK" w:cs="Times New Roman"/>
          <w:sz w:val="28"/>
          <w:szCs w:val="24"/>
          <w:lang w:val="en-US" w:eastAsia="zh-CN" w:bidi="ar-SA"/>
        </w:rPr>
        <w:t>6057.87</w:t>
      </w:r>
      <w:r>
        <w:rPr>
          <w:rFonts w:ascii="Times New Roman" w:hAnsi="Times New Roman" w:eastAsia="方正仿宋_GBK" w:cs="Times New Roman"/>
          <w:sz w:val="28"/>
          <w:szCs w:val="24"/>
          <w:lang w:val="en-US" w:eastAsia="uk-UA" w:bidi="ar-SA"/>
        </w:rPr>
        <w:t>万元，较20</w:t>
      </w:r>
      <w:r>
        <w:rPr>
          <w:rFonts w:hint="eastAsia" w:ascii="Times New Roman" w:hAnsi="Times New Roman" w:eastAsia="方正仿宋_GBK" w:cs="Times New Roman"/>
          <w:sz w:val="28"/>
          <w:szCs w:val="24"/>
          <w:lang w:val="en-US" w:eastAsia="uk-UA" w:bidi="ar-SA"/>
        </w:rPr>
        <w:t>2</w:t>
      </w:r>
      <w:r>
        <w:rPr>
          <w:rFonts w:ascii="Times New Roman" w:hAnsi="Times New Roman" w:eastAsia="方正仿宋_GBK" w:cs="Times New Roman"/>
          <w:sz w:val="28"/>
          <w:szCs w:val="24"/>
          <w:lang w:val="en-US" w:eastAsia="uk-UA" w:bidi="ar-SA"/>
        </w:rPr>
        <w:t>1年预算</w:t>
      </w:r>
      <w:r>
        <w:rPr>
          <w:rFonts w:hint="eastAsia" w:ascii="Times New Roman" w:hAnsi="Times New Roman" w:eastAsia="方正仿宋_GBK" w:cs="Times New Roman"/>
          <w:sz w:val="28"/>
          <w:szCs w:val="24"/>
          <w:lang w:val="en-US" w:eastAsia="zh-CN" w:bidi="ar-SA"/>
        </w:rPr>
        <w:t>增加3093.11</w:t>
      </w:r>
      <w:r>
        <w:rPr>
          <w:rFonts w:ascii="Times New Roman" w:hAnsi="Times New Roman" w:eastAsia="方正仿宋_GBK" w:cs="Times New Roman"/>
          <w:sz w:val="28"/>
          <w:szCs w:val="24"/>
          <w:lang w:val="en-US" w:eastAsia="uk-UA" w:bidi="ar-SA"/>
        </w:rPr>
        <w:t>万元，其中：基本支出</w:t>
      </w:r>
      <w:r>
        <w:rPr>
          <w:rFonts w:hint="eastAsia" w:ascii="Times New Roman" w:hAnsi="Times New Roman" w:eastAsia="方正仿宋_GBK" w:cs="Times New Roman"/>
          <w:sz w:val="28"/>
          <w:szCs w:val="24"/>
          <w:lang w:val="en-US" w:eastAsia="zh-CN" w:bidi="ar-SA"/>
        </w:rPr>
        <w:t>增加200.56</w:t>
      </w:r>
      <w:r>
        <w:rPr>
          <w:rFonts w:ascii="Times New Roman" w:hAnsi="Times New Roman" w:eastAsia="方正仿宋_GBK" w:cs="Times New Roman"/>
          <w:sz w:val="28"/>
          <w:szCs w:val="24"/>
          <w:lang w:val="en-US" w:eastAsia="uk-UA" w:bidi="ar-SA"/>
        </w:rPr>
        <w:t>万元，主要为</w:t>
      </w:r>
      <w:r>
        <w:rPr>
          <w:rFonts w:hint="eastAsia" w:ascii="Times New Roman" w:hAnsi="Times New Roman" w:eastAsia="方正仿宋_GBK" w:cs="Times New Roman"/>
          <w:sz w:val="28"/>
          <w:szCs w:val="24"/>
          <w:lang w:val="en-US" w:eastAsia="zh-CN" w:bidi="ar-SA"/>
        </w:rPr>
        <w:t>人员经费</w:t>
      </w:r>
      <w:r>
        <w:rPr>
          <w:rFonts w:ascii="Times New Roman" w:hAnsi="Times New Roman" w:eastAsia="方正仿宋_GBK" w:cs="Times New Roman"/>
          <w:sz w:val="28"/>
          <w:szCs w:val="24"/>
          <w:lang w:val="en-US" w:eastAsia="uk-UA" w:bidi="ar-SA"/>
        </w:rPr>
        <w:t>支出；项目支出</w:t>
      </w:r>
      <w:r>
        <w:rPr>
          <w:rFonts w:hint="eastAsia" w:ascii="Times New Roman" w:hAnsi="Times New Roman" w:eastAsia="方正仿宋_GBK" w:cs="Times New Roman"/>
          <w:sz w:val="28"/>
          <w:szCs w:val="24"/>
          <w:lang w:val="en-US" w:eastAsia="zh-CN" w:bidi="ar-SA"/>
        </w:rPr>
        <w:t>增加2892.55</w:t>
      </w:r>
      <w:r>
        <w:rPr>
          <w:rFonts w:ascii="Times New Roman" w:hAnsi="Times New Roman" w:eastAsia="方正仿宋_GBK" w:cs="Times New Roman"/>
          <w:sz w:val="28"/>
          <w:szCs w:val="24"/>
          <w:lang w:val="en-US" w:eastAsia="uk-UA" w:bidi="ar-SA"/>
        </w:rPr>
        <w:t>万元，主要为</w:t>
      </w:r>
      <w:r>
        <w:rPr>
          <w:rFonts w:hint="eastAsia" w:ascii="Times New Roman" w:hAnsi="Times New Roman" w:eastAsia="方正仿宋_GBK" w:cs="Times New Roman"/>
          <w:sz w:val="28"/>
          <w:szCs w:val="24"/>
          <w:lang w:val="en-US" w:eastAsia="zh-CN" w:bidi="ar-SA"/>
        </w:rPr>
        <w:t>廊坊新型智慧城市购买服务</w:t>
      </w:r>
      <w:r>
        <w:rPr>
          <w:rFonts w:ascii="Times New Roman" w:hAnsi="Times New Roman" w:eastAsia="方正仿宋_GBK" w:cs="Times New Roman"/>
          <w:sz w:val="28"/>
          <w:szCs w:val="24"/>
          <w:lang w:val="en-US" w:eastAsia="uk-UA" w:bidi="ar-SA"/>
        </w:rPr>
        <w:t>项目支出。</w:t>
      </w:r>
    </w:p>
    <w:p>
      <w:pPr>
        <w:pStyle w:val="10"/>
      </w:pPr>
    </w:p>
    <w:p>
      <w:pPr>
        <w:spacing w:before="10" w:after="10" w:line="360" w:lineRule="auto"/>
        <w:ind w:firstLine="640"/>
        <w:outlineLvl w:val="2"/>
        <w:rPr>
          <w:highlight w:val="none"/>
        </w:rPr>
      </w:pPr>
      <w:bookmarkStart w:id="2" w:name="_Toc_3_3_0000000012"/>
      <w:r>
        <w:rPr>
          <w:rFonts w:ascii="黑体" w:hAnsi="黑体" w:eastAsia="黑体" w:cs="黑体"/>
          <w:color w:val="000000"/>
          <w:sz w:val="32"/>
          <w:highlight w:val="none"/>
        </w:rPr>
        <w:t>三、机关运行经费安排情况</w:t>
      </w:r>
      <w:bookmarkEnd w:id="2"/>
    </w:p>
    <w:p>
      <w:pPr>
        <w:keepNext w:val="0"/>
        <w:keepLines w:val="0"/>
        <w:pageBreakBefore w:val="0"/>
        <w:widowControl/>
        <w:kinsoku/>
        <w:wordWrap/>
        <w:overflowPunct/>
        <w:topLinePunct w:val="0"/>
        <w:bidi w:val="0"/>
        <w:snapToGrid/>
        <w:spacing w:line="572" w:lineRule="exact"/>
        <w:ind w:firstLine="640"/>
        <w:textAlignment w:val="auto"/>
        <w:rPr>
          <w:rFonts w:hint="eastAsia" w:ascii="Times New Roman" w:hAnsi="Times New Roman" w:eastAsia="方正仿宋_GBK" w:cs="Times New Roman"/>
          <w:sz w:val="28"/>
          <w:szCs w:val="24"/>
          <w:lang w:val="en-US" w:eastAsia="zh-CN" w:bidi="ar-SA"/>
        </w:rPr>
      </w:pPr>
      <w:r>
        <w:rPr>
          <w:rFonts w:hint="eastAsia" w:ascii="Times New Roman" w:hAnsi="Times New Roman" w:eastAsia="方正仿宋_GBK" w:cs="Times New Roman"/>
          <w:sz w:val="28"/>
          <w:szCs w:val="24"/>
          <w:lang w:val="en-US" w:eastAsia="zh-CN" w:bidi="ar-SA"/>
        </w:rPr>
        <w:t>2022年，我</w:t>
      </w:r>
      <w:r>
        <w:rPr>
          <w:rFonts w:hint="eastAsia" w:eastAsia="方正仿宋_GBK" w:cs="Times New Roman"/>
          <w:sz w:val="28"/>
          <w:szCs w:val="24"/>
          <w:lang w:val="en-US" w:eastAsia="zh-CN" w:bidi="ar-SA"/>
        </w:rPr>
        <w:t>单位</w:t>
      </w:r>
      <w:r>
        <w:rPr>
          <w:rFonts w:hint="eastAsia" w:ascii="Times New Roman" w:hAnsi="Times New Roman" w:eastAsia="方正仿宋_GBK" w:cs="Times New Roman"/>
          <w:sz w:val="28"/>
          <w:szCs w:val="24"/>
          <w:lang w:val="en-US" w:eastAsia="zh-CN" w:bidi="ar-SA"/>
        </w:rPr>
        <w:t>机关运行经费共计安排66.30万元，主要用于中共廊坊市委网络安全和信息化委员会办公室办公区的日常维修、办公用房水电费、办公用房取暖费、办公用房物业管理费等日常运行支出。</w:t>
      </w:r>
    </w:p>
    <w:p>
      <w:pPr>
        <w:keepNext w:val="0"/>
        <w:keepLines w:val="0"/>
        <w:pageBreakBefore w:val="0"/>
        <w:widowControl/>
        <w:kinsoku/>
        <w:wordWrap/>
        <w:overflowPunct/>
        <w:topLinePunct w:val="0"/>
        <w:bidi w:val="0"/>
        <w:snapToGrid/>
        <w:spacing w:line="572" w:lineRule="exact"/>
        <w:ind w:firstLine="640"/>
        <w:textAlignment w:val="auto"/>
        <w:rPr>
          <w:rFonts w:hint="eastAsia" w:ascii="Times New Roman" w:hAnsi="Times New Roman" w:eastAsia="方正仿宋_GBK" w:cs="Times New Roman"/>
          <w:sz w:val="28"/>
          <w:szCs w:val="24"/>
          <w:lang w:val="en-US" w:eastAsia="zh-CN" w:bidi="ar-SA"/>
        </w:rPr>
      </w:pPr>
    </w:p>
    <w:p>
      <w:pPr>
        <w:spacing w:before="10" w:after="10" w:line="360" w:lineRule="auto"/>
        <w:ind w:firstLine="640"/>
        <w:outlineLvl w:val="2"/>
        <w:rPr>
          <w:highlight w:val="none"/>
        </w:rPr>
      </w:pPr>
      <w:bookmarkStart w:id="3" w:name="_Toc_3_3_0000000013"/>
      <w:r>
        <w:rPr>
          <w:rFonts w:ascii="黑体" w:hAnsi="黑体" w:eastAsia="黑体" w:cs="黑体"/>
          <w:color w:val="000000"/>
          <w:sz w:val="32"/>
          <w:highlight w:val="none"/>
        </w:rPr>
        <w:t>四、财政拨款“三公”经费预算情况及增减变化原因</w:t>
      </w:r>
      <w:bookmarkEnd w:id="3"/>
    </w:p>
    <w:p>
      <w:pPr>
        <w:keepNext w:val="0"/>
        <w:keepLines w:val="0"/>
        <w:pageBreakBefore w:val="0"/>
        <w:widowControl/>
        <w:kinsoku/>
        <w:wordWrap/>
        <w:overflowPunct/>
        <w:topLinePunct w:val="0"/>
        <w:bidi w:val="0"/>
        <w:snapToGrid/>
        <w:spacing w:line="572" w:lineRule="exact"/>
        <w:ind w:firstLine="640"/>
        <w:textAlignment w:val="auto"/>
        <w:rPr>
          <w:rFonts w:hint="eastAsia" w:ascii="Times New Roman" w:hAnsi="Times New Roman" w:eastAsia="方正仿宋_GBK" w:cs="Times New Roman"/>
          <w:sz w:val="28"/>
          <w:szCs w:val="24"/>
          <w:lang w:val="en-US" w:eastAsia="uk-UA" w:bidi="ar-SA"/>
        </w:rPr>
      </w:pPr>
      <w:r>
        <w:rPr>
          <w:rFonts w:hint="eastAsia" w:ascii="Times New Roman" w:hAnsi="Times New Roman" w:eastAsia="方正仿宋_GBK" w:cs="Times New Roman"/>
          <w:sz w:val="28"/>
          <w:szCs w:val="24"/>
          <w:lang w:val="en-US" w:eastAsia="uk-UA" w:bidi="ar-SA"/>
        </w:rPr>
        <w:t>2022年，我</w:t>
      </w:r>
      <w:r>
        <w:rPr>
          <w:rFonts w:hint="eastAsia" w:eastAsia="方正仿宋_GBK" w:cs="Times New Roman"/>
          <w:sz w:val="28"/>
          <w:szCs w:val="24"/>
          <w:lang w:val="en-US" w:eastAsia="zh-CN" w:bidi="ar-SA"/>
        </w:rPr>
        <w:t>单位</w:t>
      </w:r>
      <w:r>
        <w:rPr>
          <w:rFonts w:hint="eastAsia" w:ascii="Times New Roman" w:hAnsi="Times New Roman" w:eastAsia="方正仿宋_GBK" w:cs="Times New Roman"/>
          <w:sz w:val="28"/>
          <w:szCs w:val="24"/>
          <w:lang w:val="en-US" w:eastAsia="uk-UA" w:bidi="ar-SA"/>
        </w:rPr>
        <w:t>财政拨款“三公”经费预算安排</w:t>
      </w:r>
      <w:r>
        <w:rPr>
          <w:rFonts w:hint="eastAsia" w:ascii="Times New Roman" w:hAnsi="Times New Roman" w:eastAsia="方正仿宋_GBK" w:cs="Times New Roman"/>
          <w:sz w:val="28"/>
          <w:szCs w:val="24"/>
          <w:lang w:val="en-US" w:eastAsia="zh-CN" w:bidi="ar-SA"/>
        </w:rPr>
        <w:t>6.63</w:t>
      </w:r>
      <w:r>
        <w:rPr>
          <w:rFonts w:hint="eastAsia" w:ascii="Times New Roman" w:hAnsi="Times New Roman" w:eastAsia="方正仿宋_GBK" w:cs="Times New Roman"/>
          <w:sz w:val="28"/>
          <w:szCs w:val="24"/>
          <w:lang w:val="en-US" w:eastAsia="uk-UA" w:bidi="ar-SA"/>
        </w:rPr>
        <w:t>万元。其中，因公出国（境）费0万元；公务用车购置及运维费</w:t>
      </w:r>
      <w:r>
        <w:rPr>
          <w:rFonts w:hint="eastAsia" w:ascii="Times New Roman" w:hAnsi="Times New Roman" w:eastAsia="方正仿宋_GBK" w:cs="Times New Roman"/>
          <w:sz w:val="28"/>
          <w:szCs w:val="24"/>
          <w:lang w:val="en-US" w:eastAsia="zh-CN" w:bidi="ar-SA"/>
        </w:rPr>
        <w:t>6.20</w:t>
      </w:r>
      <w:r>
        <w:rPr>
          <w:rFonts w:hint="eastAsia" w:ascii="Times New Roman" w:hAnsi="Times New Roman" w:eastAsia="方正仿宋_GBK" w:cs="Times New Roman"/>
          <w:sz w:val="28"/>
          <w:szCs w:val="24"/>
          <w:lang w:val="en-US" w:eastAsia="uk-UA" w:bidi="ar-SA"/>
        </w:rPr>
        <w:t>万元（其中：公务用车购置费为0万元，公务用车运维费</w:t>
      </w:r>
      <w:r>
        <w:rPr>
          <w:rFonts w:hint="eastAsia" w:ascii="Times New Roman" w:hAnsi="Times New Roman" w:eastAsia="方正仿宋_GBK" w:cs="Times New Roman"/>
          <w:sz w:val="28"/>
          <w:szCs w:val="24"/>
          <w:lang w:val="en-US" w:eastAsia="zh-CN" w:bidi="ar-SA"/>
        </w:rPr>
        <w:t>6.20</w:t>
      </w:r>
      <w:r>
        <w:rPr>
          <w:rFonts w:hint="eastAsia" w:ascii="Times New Roman" w:hAnsi="Times New Roman" w:eastAsia="方正仿宋_GBK" w:cs="Times New Roman"/>
          <w:sz w:val="28"/>
          <w:szCs w:val="24"/>
          <w:lang w:val="en-US" w:eastAsia="uk-UA" w:bidi="ar-SA"/>
        </w:rPr>
        <w:t>万元)；公务接待费0.4</w:t>
      </w:r>
      <w:r>
        <w:rPr>
          <w:rFonts w:hint="eastAsia" w:ascii="Times New Roman" w:hAnsi="Times New Roman" w:eastAsia="方正仿宋_GBK" w:cs="Times New Roman"/>
          <w:sz w:val="28"/>
          <w:szCs w:val="24"/>
          <w:lang w:val="en-US" w:eastAsia="zh-CN" w:bidi="ar-SA"/>
        </w:rPr>
        <w:t>3</w:t>
      </w:r>
      <w:r>
        <w:rPr>
          <w:rFonts w:hint="eastAsia" w:ascii="Times New Roman" w:hAnsi="Times New Roman" w:eastAsia="方正仿宋_GBK" w:cs="Times New Roman"/>
          <w:sz w:val="28"/>
          <w:szCs w:val="24"/>
          <w:lang w:val="en-US" w:eastAsia="uk-UA" w:bidi="ar-SA"/>
        </w:rPr>
        <w:t>万元。与2021年相比持平。</w:t>
      </w:r>
    </w:p>
    <w:p>
      <w:pPr>
        <w:spacing w:before="10" w:after="10" w:line="360" w:lineRule="auto"/>
        <w:ind w:firstLine="640"/>
        <w:outlineLvl w:val="2"/>
        <w:rPr>
          <w:rFonts w:ascii="黑体" w:hAnsi="黑体" w:eastAsia="黑体" w:cs="黑体"/>
          <w:color w:val="000000"/>
          <w:sz w:val="32"/>
        </w:rPr>
      </w:pPr>
      <w:bookmarkStart w:id="4" w:name="_Toc_3_3_0000000014"/>
    </w:p>
    <w:p>
      <w:pPr>
        <w:spacing w:before="10" w:after="10" w:line="360" w:lineRule="auto"/>
        <w:ind w:firstLine="640"/>
        <w:outlineLvl w:val="2"/>
      </w:pPr>
      <w:r>
        <w:rPr>
          <w:rFonts w:ascii="黑体" w:hAnsi="黑体" w:eastAsia="黑体" w:cs="黑体"/>
          <w:color w:val="000000"/>
          <w:sz w:val="32"/>
        </w:rPr>
        <w:t>五、预算绩效信息</w:t>
      </w:r>
      <w:bookmarkEnd w:id="4"/>
    </w:p>
    <w:p>
      <w:pPr>
        <w:pStyle w:val="14"/>
        <w:ind w:firstLine="560"/>
      </w:pPr>
      <w:r>
        <w:rPr>
          <w:rFonts w:ascii="方正仿宋_GBK" w:hAnsi="方正仿宋_GBK" w:eastAsia="方正仿宋_GBK" w:cs="方正仿宋_GBK"/>
          <w:b/>
          <w:color w:val="000000"/>
          <w:sz w:val="28"/>
        </w:rPr>
        <w:t>1、网信业务保障经费绩效目标表</w:t>
      </w:r>
    </w:p>
    <w:tbl>
      <w:tblPr>
        <w:tblStyle w:val="4"/>
        <w:tblW w:w="14173" w:type="dxa"/>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1417"/>
        <w:gridCol w:w="12756"/>
      </w:tblGrid>
      <w:tr>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1417" w:type="dxa"/>
            <w:tcBorders>
              <w:bottom w:val="single" w:color="FFFFFF" w:sz="6" w:space="0"/>
            </w:tcBorders>
            <w:noWrap w:val="0"/>
            <w:vAlign w:val="center"/>
          </w:tcPr>
          <w:p>
            <w:pPr>
              <w:pStyle w:val="15"/>
            </w:pPr>
            <w:r>
              <w:t>绩效目标</w:t>
            </w:r>
          </w:p>
        </w:tc>
        <w:tc>
          <w:tcPr>
            <w:tcW w:w="12756" w:type="dxa"/>
            <w:tcBorders>
              <w:bottom w:val="single" w:color="FFFFFF" w:sz="6" w:space="0"/>
            </w:tcBorders>
            <w:noWrap w:val="0"/>
            <w:vAlign w:val="center"/>
          </w:tcPr>
          <w:p>
            <w:pPr>
              <w:pStyle w:val="16"/>
            </w:pPr>
            <w:r>
              <w:t>1.从2021年开始安排该项目，用于市委网信办机关运行和业务保障。</w:t>
            </w:r>
          </w:p>
        </w:tc>
      </w:tr>
    </w:tbl>
    <w:p>
      <w:pPr>
        <w:pStyle w:val="14"/>
        <w:spacing w:line="2" w:lineRule="exact"/>
        <w:jc w:val="center"/>
      </w:pPr>
      <w:r>
        <w:rPr>
          <w:rFonts w:ascii="方正书宋_GBK" w:hAnsi="方正书宋_GBK" w:eastAsia="方正书宋_GBK" w:cs="方正书宋_GBK"/>
          <w:color w:val="000000"/>
          <w:sz w:val="18"/>
        </w:rPr>
        <w:t xml:space="preserve"> </w:t>
      </w:r>
    </w:p>
    <w:tbl>
      <w:tblPr>
        <w:tblStyle w:val="4"/>
        <w:tblW w:w="1417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7"/>
        <w:gridCol w:w="2268"/>
        <w:gridCol w:w="2835"/>
        <w:gridCol w:w="2835"/>
        <w:gridCol w:w="2551"/>
        <w:gridCol w:w="226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417" w:type="dxa"/>
            <w:noWrap w:val="0"/>
            <w:vAlign w:val="center"/>
          </w:tcPr>
          <w:p>
            <w:pPr>
              <w:pStyle w:val="15"/>
            </w:pPr>
            <w:r>
              <w:t>一级指标</w:t>
            </w:r>
          </w:p>
        </w:tc>
        <w:tc>
          <w:tcPr>
            <w:tcW w:w="2268" w:type="dxa"/>
            <w:noWrap w:val="0"/>
            <w:vAlign w:val="center"/>
          </w:tcPr>
          <w:p>
            <w:pPr>
              <w:pStyle w:val="15"/>
            </w:pPr>
            <w:r>
              <w:t>二级指标</w:t>
            </w:r>
          </w:p>
        </w:tc>
        <w:tc>
          <w:tcPr>
            <w:tcW w:w="2835" w:type="dxa"/>
            <w:noWrap w:val="0"/>
            <w:vAlign w:val="center"/>
          </w:tcPr>
          <w:p>
            <w:pPr>
              <w:pStyle w:val="15"/>
            </w:pPr>
            <w:r>
              <w:t>三级指标</w:t>
            </w:r>
          </w:p>
        </w:tc>
        <w:tc>
          <w:tcPr>
            <w:tcW w:w="2835" w:type="dxa"/>
            <w:noWrap w:val="0"/>
            <w:vAlign w:val="center"/>
          </w:tcPr>
          <w:p>
            <w:pPr>
              <w:pStyle w:val="15"/>
            </w:pPr>
            <w:r>
              <w:t>绩效指标描述</w:t>
            </w:r>
          </w:p>
        </w:tc>
        <w:tc>
          <w:tcPr>
            <w:tcW w:w="2551" w:type="dxa"/>
            <w:noWrap w:val="0"/>
            <w:vAlign w:val="center"/>
          </w:tcPr>
          <w:p>
            <w:pPr>
              <w:pStyle w:val="15"/>
            </w:pPr>
            <w:r>
              <w:t>指标值</w:t>
            </w:r>
          </w:p>
        </w:tc>
        <w:tc>
          <w:tcPr>
            <w:tcW w:w="2268" w:type="dxa"/>
            <w:noWrap w:val="0"/>
            <w:vAlign w:val="center"/>
          </w:tcPr>
          <w:p>
            <w:pPr>
              <w:pStyle w:val="15"/>
            </w:pPr>
            <w: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noWrap w:val="0"/>
            <w:vAlign w:val="center"/>
          </w:tcPr>
          <w:p>
            <w:pPr>
              <w:pStyle w:val="17"/>
            </w:pPr>
            <w:r>
              <w:t>产出指标</w:t>
            </w:r>
          </w:p>
        </w:tc>
        <w:tc>
          <w:tcPr>
            <w:tcW w:w="2268" w:type="dxa"/>
            <w:noWrap w:val="0"/>
            <w:vAlign w:val="center"/>
          </w:tcPr>
          <w:p>
            <w:pPr>
              <w:pStyle w:val="16"/>
            </w:pPr>
            <w:r>
              <w:t>数量指标</w:t>
            </w:r>
          </w:p>
        </w:tc>
        <w:tc>
          <w:tcPr>
            <w:tcW w:w="2835" w:type="dxa"/>
            <w:noWrap w:val="0"/>
            <w:vAlign w:val="center"/>
          </w:tcPr>
          <w:p>
            <w:pPr>
              <w:pStyle w:val="16"/>
            </w:pPr>
            <w:r>
              <w:t>外出学习考察次数</w:t>
            </w:r>
          </w:p>
        </w:tc>
        <w:tc>
          <w:tcPr>
            <w:tcW w:w="2835" w:type="dxa"/>
            <w:noWrap w:val="0"/>
            <w:vAlign w:val="center"/>
          </w:tcPr>
          <w:p>
            <w:pPr>
              <w:pStyle w:val="16"/>
            </w:pPr>
            <w:r>
              <w:t>参加国家级数字博览会、赴先进城市考察学习智慧城市建设次数</w:t>
            </w:r>
          </w:p>
        </w:tc>
        <w:tc>
          <w:tcPr>
            <w:tcW w:w="2551" w:type="dxa"/>
            <w:noWrap w:val="0"/>
            <w:vAlign w:val="center"/>
          </w:tcPr>
          <w:p>
            <w:pPr>
              <w:pStyle w:val="16"/>
            </w:pPr>
            <w:r>
              <w:t>≥2次</w:t>
            </w:r>
          </w:p>
        </w:tc>
        <w:tc>
          <w:tcPr>
            <w:tcW w:w="2268" w:type="dxa"/>
            <w:noWrap w:val="0"/>
            <w:vAlign w:val="center"/>
          </w:tcPr>
          <w:p>
            <w:pPr>
              <w:pStyle w:val="16"/>
            </w:pPr>
            <w:r>
              <w:t>学习考察报告</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noWrap w:val="0"/>
            <w:vAlign w:val="center"/>
          </w:tcPr>
          <w:p>
            <w:pPr>
              <w:pStyle w:val="14"/>
            </w:pPr>
          </w:p>
        </w:tc>
        <w:tc>
          <w:tcPr>
            <w:tcW w:w="2268" w:type="dxa"/>
            <w:noWrap w:val="0"/>
            <w:vAlign w:val="center"/>
          </w:tcPr>
          <w:p>
            <w:pPr>
              <w:pStyle w:val="16"/>
            </w:pPr>
            <w:r>
              <w:t>数量指标</w:t>
            </w:r>
          </w:p>
        </w:tc>
        <w:tc>
          <w:tcPr>
            <w:tcW w:w="2835" w:type="dxa"/>
            <w:noWrap w:val="0"/>
            <w:vAlign w:val="center"/>
          </w:tcPr>
          <w:p>
            <w:pPr>
              <w:pStyle w:val="16"/>
            </w:pPr>
            <w:r>
              <w:t>线下巡展宣传点数量</w:t>
            </w:r>
          </w:p>
        </w:tc>
        <w:tc>
          <w:tcPr>
            <w:tcW w:w="2835" w:type="dxa"/>
            <w:noWrap w:val="0"/>
            <w:vAlign w:val="center"/>
          </w:tcPr>
          <w:p>
            <w:pPr>
              <w:pStyle w:val="16"/>
            </w:pPr>
            <w:r>
              <w:t>线下巡展宣传点数量</w:t>
            </w:r>
          </w:p>
        </w:tc>
        <w:tc>
          <w:tcPr>
            <w:tcW w:w="2551" w:type="dxa"/>
            <w:noWrap w:val="0"/>
            <w:vAlign w:val="center"/>
          </w:tcPr>
          <w:p>
            <w:pPr>
              <w:pStyle w:val="16"/>
            </w:pPr>
            <w:r>
              <w:t>＝10个</w:t>
            </w:r>
          </w:p>
        </w:tc>
        <w:tc>
          <w:tcPr>
            <w:tcW w:w="2268" w:type="dxa"/>
            <w:noWrap w:val="0"/>
            <w:vAlign w:val="center"/>
          </w:tcPr>
          <w:p>
            <w:pPr>
              <w:pStyle w:val="16"/>
            </w:pPr>
            <w:r>
              <w:t>实际开展情况</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noWrap w:val="0"/>
            <w:vAlign w:val="center"/>
          </w:tcPr>
          <w:p>
            <w:pPr>
              <w:pStyle w:val="14"/>
            </w:pPr>
          </w:p>
        </w:tc>
        <w:tc>
          <w:tcPr>
            <w:tcW w:w="2268" w:type="dxa"/>
            <w:noWrap w:val="0"/>
            <w:vAlign w:val="center"/>
          </w:tcPr>
          <w:p>
            <w:pPr>
              <w:pStyle w:val="16"/>
            </w:pPr>
            <w:r>
              <w:t>质量指标</w:t>
            </w:r>
          </w:p>
        </w:tc>
        <w:tc>
          <w:tcPr>
            <w:tcW w:w="2835" w:type="dxa"/>
            <w:noWrap w:val="0"/>
            <w:vAlign w:val="center"/>
          </w:tcPr>
          <w:p>
            <w:pPr>
              <w:pStyle w:val="16"/>
            </w:pPr>
            <w:r>
              <w:t>法律顾问审稿完成反馈率</w:t>
            </w:r>
          </w:p>
        </w:tc>
        <w:tc>
          <w:tcPr>
            <w:tcW w:w="2835" w:type="dxa"/>
            <w:noWrap w:val="0"/>
            <w:vAlign w:val="center"/>
          </w:tcPr>
          <w:p>
            <w:pPr>
              <w:pStyle w:val="16"/>
            </w:pPr>
            <w:r>
              <w:t>完成率</w:t>
            </w:r>
          </w:p>
        </w:tc>
        <w:tc>
          <w:tcPr>
            <w:tcW w:w="2551" w:type="dxa"/>
            <w:noWrap w:val="0"/>
            <w:vAlign w:val="center"/>
          </w:tcPr>
          <w:p>
            <w:pPr>
              <w:pStyle w:val="16"/>
            </w:pPr>
            <w:r>
              <w:t>≥90%</w:t>
            </w:r>
          </w:p>
        </w:tc>
        <w:tc>
          <w:tcPr>
            <w:tcW w:w="2268" w:type="dxa"/>
            <w:noWrap w:val="0"/>
            <w:vAlign w:val="center"/>
          </w:tcPr>
          <w:p>
            <w:pPr>
              <w:pStyle w:val="16"/>
            </w:pPr>
            <w:r>
              <w:t>文件记录</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noWrap w:val="0"/>
            <w:vAlign w:val="center"/>
          </w:tcPr>
          <w:p>
            <w:pPr>
              <w:pStyle w:val="14"/>
            </w:pPr>
          </w:p>
        </w:tc>
        <w:tc>
          <w:tcPr>
            <w:tcW w:w="2268" w:type="dxa"/>
            <w:noWrap w:val="0"/>
            <w:vAlign w:val="center"/>
          </w:tcPr>
          <w:p>
            <w:pPr>
              <w:pStyle w:val="16"/>
            </w:pPr>
            <w:r>
              <w:t>质量指标</w:t>
            </w:r>
          </w:p>
        </w:tc>
        <w:tc>
          <w:tcPr>
            <w:tcW w:w="2835" w:type="dxa"/>
            <w:noWrap w:val="0"/>
            <w:vAlign w:val="center"/>
          </w:tcPr>
          <w:p>
            <w:pPr>
              <w:pStyle w:val="16"/>
            </w:pPr>
            <w:r>
              <w:t>新型智慧城市建设宣传片验收合格　</w:t>
            </w:r>
          </w:p>
        </w:tc>
        <w:tc>
          <w:tcPr>
            <w:tcW w:w="2835" w:type="dxa"/>
            <w:noWrap w:val="0"/>
            <w:vAlign w:val="center"/>
          </w:tcPr>
          <w:p>
            <w:pPr>
              <w:pStyle w:val="16"/>
            </w:pPr>
            <w:r>
              <w:t>新型智慧城市建宣传片验收合格并宣传使用</w:t>
            </w:r>
          </w:p>
        </w:tc>
        <w:tc>
          <w:tcPr>
            <w:tcW w:w="2551" w:type="dxa"/>
            <w:noWrap w:val="0"/>
            <w:vAlign w:val="center"/>
          </w:tcPr>
          <w:p>
            <w:pPr>
              <w:pStyle w:val="16"/>
            </w:pPr>
            <w:r>
              <w:t>验收合格</w:t>
            </w:r>
          </w:p>
        </w:tc>
        <w:tc>
          <w:tcPr>
            <w:tcW w:w="2268" w:type="dxa"/>
            <w:noWrap w:val="0"/>
            <w:vAlign w:val="center"/>
          </w:tcPr>
          <w:p>
            <w:pPr>
              <w:pStyle w:val="16"/>
            </w:pPr>
            <w:r>
              <w:t>验收单</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noWrap w:val="0"/>
            <w:vAlign w:val="center"/>
          </w:tcPr>
          <w:p>
            <w:pPr>
              <w:pStyle w:val="14"/>
            </w:pPr>
          </w:p>
        </w:tc>
        <w:tc>
          <w:tcPr>
            <w:tcW w:w="2268" w:type="dxa"/>
            <w:noWrap w:val="0"/>
            <w:vAlign w:val="center"/>
          </w:tcPr>
          <w:p>
            <w:pPr>
              <w:pStyle w:val="16"/>
            </w:pPr>
            <w:r>
              <w:t>时效指标</w:t>
            </w:r>
          </w:p>
        </w:tc>
        <w:tc>
          <w:tcPr>
            <w:tcW w:w="2835" w:type="dxa"/>
            <w:noWrap w:val="0"/>
            <w:vAlign w:val="center"/>
          </w:tcPr>
          <w:p>
            <w:pPr>
              <w:pStyle w:val="16"/>
            </w:pPr>
            <w:r>
              <w:t>廊坊网信网登载信息时效性</w:t>
            </w:r>
          </w:p>
        </w:tc>
        <w:tc>
          <w:tcPr>
            <w:tcW w:w="2835" w:type="dxa"/>
            <w:noWrap w:val="0"/>
            <w:vAlign w:val="center"/>
          </w:tcPr>
          <w:p>
            <w:pPr>
              <w:pStyle w:val="16"/>
            </w:pPr>
            <w:r>
              <w:t>登载更新网信工作内容是否及时</w:t>
            </w:r>
          </w:p>
        </w:tc>
        <w:tc>
          <w:tcPr>
            <w:tcW w:w="2551" w:type="dxa"/>
            <w:noWrap w:val="0"/>
            <w:vAlign w:val="center"/>
          </w:tcPr>
          <w:p>
            <w:pPr>
              <w:pStyle w:val="16"/>
            </w:pPr>
            <w:r>
              <w:t>及时</w:t>
            </w:r>
          </w:p>
        </w:tc>
        <w:tc>
          <w:tcPr>
            <w:tcW w:w="2268" w:type="dxa"/>
            <w:noWrap w:val="0"/>
            <w:vAlign w:val="center"/>
          </w:tcPr>
          <w:p>
            <w:pPr>
              <w:pStyle w:val="16"/>
            </w:pPr>
            <w:r>
              <w:t>技术后台数据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noWrap w:val="0"/>
            <w:vAlign w:val="center"/>
          </w:tcPr>
          <w:p>
            <w:pPr>
              <w:pStyle w:val="14"/>
            </w:pPr>
          </w:p>
        </w:tc>
        <w:tc>
          <w:tcPr>
            <w:tcW w:w="2268" w:type="dxa"/>
            <w:noWrap w:val="0"/>
            <w:vAlign w:val="center"/>
          </w:tcPr>
          <w:p>
            <w:pPr>
              <w:pStyle w:val="16"/>
            </w:pPr>
            <w:r>
              <w:t>时效指标</w:t>
            </w:r>
          </w:p>
        </w:tc>
        <w:tc>
          <w:tcPr>
            <w:tcW w:w="2835" w:type="dxa"/>
            <w:noWrap w:val="0"/>
            <w:vAlign w:val="center"/>
          </w:tcPr>
          <w:p>
            <w:pPr>
              <w:pStyle w:val="16"/>
            </w:pPr>
            <w:r>
              <w:t>根据工作计划要求按时开展</w:t>
            </w:r>
          </w:p>
        </w:tc>
        <w:tc>
          <w:tcPr>
            <w:tcW w:w="2835" w:type="dxa"/>
            <w:noWrap w:val="0"/>
            <w:vAlign w:val="center"/>
          </w:tcPr>
          <w:p>
            <w:pPr>
              <w:pStyle w:val="16"/>
            </w:pPr>
            <w:r>
              <w:t>能否按照工作计划在规定时间内完成宣传片制作</w:t>
            </w:r>
          </w:p>
        </w:tc>
        <w:tc>
          <w:tcPr>
            <w:tcW w:w="2551" w:type="dxa"/>
            <w:noWrap w:val="0"/>
            <w:vAlign w:val="center"/>
          </w:tcPr>
          <w:p>
            <w:pPr>
              <w:pStyle w:val="16"/>
            </w:pPr>
            <w:r>
              <w:t>及时完成</w:t>
            </w:r>
          </w:p>
        </w:tc>
        <w:tc>
          <w:tcPr>
            <w:tcW w:w="2268" w:type="dxa"/>
            <w:noWrap w:val="0"/>
            <w:vAlign w:val="center"/>
          </w:tcPr>
          <w:p>
            <w:pPr>
              <w:pStyle w:val="16"/>
            </w:pPr>
            <w:r>
              <w:t>实际开展情况</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noWrap w:val="0"/>
            <w:vAlign w:val="center"/>
          </w:tcPr>
          <w:p>
            <w:pPr>
              <w:pStyle w:val="14"/>
            </w:pPr>
          </w:p>
        </w:tc>
        <w:tc>
          <w:tcPr>
            <w:tcW w:w="2268" w:type="dxa"/>
            <w:noWrap w:val="0"/>
            <w:vAlign w:val="center"/>
          </w:tcPr>
          <w:p>
            <w:pPr>
              <w:pStyle w:val="16"/>
            </w:pPr>
            <w:r>
              <w:t>成本指标</w:t>
            </w:r>
          </w:p>
        </w:tc>
        <w:tc>
          <w:tcPr>
            <w:tcW w:w="2835" w:type="dxa"/>
            <w:noWrap w:val="0"/>
            <w:vAlign w:val="center"/>
          </w:tcPr>
          <w:p>
            <w:pPr>
              <w:pStyle w:val="16"/>
            </w:pPr>
            <w:r>
              <w:t>视频会议系统每年费用</w:t>
            </w:r>
          </w:p>
        </w:tc>
        <w:tc>
          <w:tcPr>
            <w:tcW w:w="2835" w:type="dxa"/>
            <w:noWrap w:val="0"/>
            <w:vAlign w:val="center"/>
          </w:tcPr>
          <w:p>
            <w:pPr>
              <w:pStyle w:val="16"/>
            </w:pPr>
            <w:r>
              <w:t>反映单套视频会议系统每年费用　</w:t>
            </w:r>
          </w:p>
        </w:tc>
        <w:tc>
          <w:tcPr>
            <w:tcW w:w="2551" w:type="dxa"/>
            <w:noWrap w:val="0"/>
            <w:vAlign w:val="center"/>
          </w:tcPr>
          <w:p>
            <w:pPr>
              <w:pStyle w:val="16"/>
            </w:pPr>
            <w:r>
              <w:t>≤1.8万元</w:t>
            </w:r>
          </w:p>
        </w:tc>
        <w:tc>
          <w:tcPr>
            <w:tcW w:w="2268" w:type="dxa"/>
            <w:noWrap w:val="0"/>
            <w:vAlign w:val="center"/>
          </w:tcPr>
          <w:p>
            <w:pPr>
              <w:pStyle w:val="16"/>
            </w:pPr>
            <w:r>
              <w:t>　实际开展情况</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noWrap w:val="0"/>
            <w:vAlign w:val="center"/>
          </w:tcPr>
          <w:p>
            <w:pPr>
              <w:pStyle w:val="14"/>
            </w:pPr>
          </w:p>
        </w:tc>
        <w:tc>
          <w:tcPr>
            <w:tcW w:w="2268" w:type="dxa"/>
            <w:noWrap w:val="0"/>
            <w:vAlign w:val="center"/>
          </w:tcPr>
          <w:p>
            <w:pPr>
              <w:pStyle w:val="16"/>
            </w:pPr>
            <w:r>
              <w:t>成本指标</w:t>
            </w:r>
          </w:p>
        </w:tc>
        <w:tc>
          <w:tcPr>
            <w:tcW w:w="2835" w:type="dxa"/>
            <w:noWrap w:val="0"/>
            <w:vAlign w:val="center"/>
          </w:tcPr>
          <w:p>
            <w:pPr>
              <w:pStyle w:val="16"/>
            </w:pPr>
            <w:r>
              <w:t>外出交流、调研成本控制</w:t>
            </w:r>
          </w:p>
        </w:tc>
        <w:tc>
          <w:tcPr>
            <w:tcW w:w="2835" w:type="dxa"/>
            <w:noWrap w:val="0"/>
            <w:vAlign w:val="center"/>
          </w:tcPr>
          <w:p>
            <w:pPr>
              <w:pStyle w:val="16"/>
            </w:pPr>
            <w:r>
              <w:t>外出交流、调研差旅执行标准</w:t>
            </w:r>
          </w:p>
        </w:tc>
        <w:tc>
          <w:tcPr>
            <w:tcW w:w="2551" w:type="dxa"/>
            <w:noWrap w:val="0"/>
            <w:vAlign w:val="center"/>
          </w:tcPr>
          <w:p>
            <w:pPr>
              <w:pStyle w:val="16"/>
            </w:pPr>
            <w:r>
              <w:t>≤450元/人/天</w:t>
            </w:r>
          </w:p>
        </w:tc>
        <w:tc>
          <w:tcPr>
            <w:tcW w:w="2268" w:type="dxa"/>
            <w:noWrap w:val="0"/>
            <w:vAlign w:val="center"/>
          </w:tcPr>
          <w:p>
            <w:pPr>
              <w:pStyle w:val="16"/>
            </w:pPr>
            <w:r>
              <w:t>实际报销情况</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noWrap w:val="0"/>
            <w:vAlign w:val="center"/>
          </w:tcPr>
          <w:p>
            <w:pPr>
              <w:pStyle w:val="17"/>
            </w:pPr>
            <w:r>
              <w:t>效益指标</w:t>
            </w:r>
          </w:p>
        </w:tc>
        <w:tc>
          <w:tcPr>
            <w:tcW w:w="2268" w:type="dxa"/>
            <w:noWrap w:val="0"/>
            <w:vAlign w:val="center"/>
          </w:tcPr>
          <w:p>
            <w:pPr>
              <w:pStyle w:val="16"/>
            </w:pPr>
            <w:r>
              <w:t>社会效益指标</w:t>
            </w:r>
          </w:p>
        </w:tc>
        <w:tc>
          <w:tcPr>
            <w:tcW w:w="2835" w:type="dxa"/>
            <w:noWrap w:val="0"/>
            <w:vAlign w:val="center"/>
          </w:tcPr>
          <w:p>
            <w:pPr>
              <w:pStyle w:val="16"/>
            </w:pPr>
            <w:r>
              <w:t>党的“二十大”期间营造安全稳定的网络空间和良好网上舆论氛围</w:t>
            </w:r>
          </w:p>
        </w:tc>
        <w:tc>
          <w:tcPr>
            <w:tcW w:w="2835" w:type="dxa"/>
            <w:noWrap w:val="0"/>
            <w:vAlign w:val="center"/>
          </w:tcPr>
          <w:p>
            <w:pPr>
              <w:pStyle w:val="16"/>
            </w:pPr>
            <w:r>
              <w:t>是否营造安全稳定繁荣的网络空间和良好网上舆论氛围　</w:t>
            </w:r>
          </w:p>
        </w:tc>
        <w:tc>
          <w:tcPr>
            <w:tcW w:w="2551" w:type="dxa"/>
            <w:noWrap w:val="0"/>
            <w:vAlign w:val="center"/>
          </w:tcPr>
          <w:p>
            <w:pPr>
              <w:pStyle w:val="16"/>
            </w:pPr>
            <w:r>
              <w:t>是</w:t>
            </w:r>
          </w:p>
        </w:tc>
        <w:tc>
          <w:tcPr>
            <w:tcW w:w="2268" w:type="dxa"/>
            <w:noWrap w:val="0"/>
            <w:vAlign w:val="center"/>
          </w:tcPr>
          <w:p>
            <w:pPr>
              <w:pStyle w:val="16"/>
            </w:pPr>
            <w:r>
              <w:t>工作总结和相关数据体现</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noWrap w:val="0"/>
            <w:vAlign w:val="center"/>
          </w:tcPr>
          <w:p>
            <w:pPr>
              <w:pStyle w:val="14"/>
            </w:pPr>
          </w:p>
        </w:tc>
        <w:tc>
          <w:tcPr>
            <w:tcW w:w="2268" w:type="dxa"/>
            <w:noWrap w:val="0"/>
            <w:vAlign w:val="center"/>
          </w:tcPr>
          <w:p>
            <w:pPr>
              <w:pStyle w:val="16"/>
            </w:pPr>
            <w:r>
              <w:t>社会效益指标</w:t>
            </w:r>
          </w:p>
        </w:tc>
        <w:tc>
          <w:tcPr>
            <w:tcW w:w="2835" w:type="dxa"/>
            <w:noWrap w:val="0"/>
            <w:vAlign w:val="center"/>
          </w:tcPr>
          <w:p>
            <w:pPr>
              <w:pStyle w:val="16"/>
            </w:pPr>
            <w:r>
              <w:t>是否提升业务水平　</w:t>
            </w:r>
          </w:p>
        </w:tc>
        <w:tc>
          <w:tcPr>
            <w:tcW w:w="2835" w:type="dxa"/>
            <w:noWrap w:val="0"/>
            <w:vAlign w:val="center"/>
          </w:tcPr>
          <w:p>
            <w:pPr>
              <w:pStyle w:val="16"/>
            </w:pPr>
            <w:r>
              <w:t>通过学习考察提升我市新型智慧城市建设工作水平</w:t>
            </w:r>
          </w:p>
        </w:tc>
        <w:tc>
          <w:tcPr>
            <w:tcW w:w="2551" w:type="dxa"/>
            <w:noWrap w:val="0"/>
            <w:vAlign w:val="center"/>
          </w:tcPr>
          <w:p>
            <w:pPr>
              <w:pStyle w:val="16"/>
            </w:pPr>
            <w:r>
              <w:t>提升</w:t>
            </w:r>
          </w:p>
        </w:tc>
        <w:tc>
          <w:tcPr>
            <w:tcW w:w="2268" w:type="dxa"/>
            <w:noWrap w:val="0"/>
            <w:vAlign w:val="center"/>
          </w:tcPr>
          <w:p>
            <w:pPr>
              <w:pStyle w:val="16"/>
            </w:pPr>
            <w:r>
              <w:t>调研、学习报告体现</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noWrap w:val="0"/>
            <w:vAlign w:val="center"/>
          </w:tcPr>
          <w:p>
            <w:pPr>
              <w:pStyle w:val="17"/>
            </w:pPr>
            <w:r>
              <w:t>满意度指标</w:t>
            </w:r>
          </w:p>
        </w:tc>
        <w:tc>
          <w:tcPr>
            <w:tcW w:w="2268" w:type="dxa"/>
            <w:noWrap w:val="0"/>
            <w:vAlign w:val="center"/>
          </w:tcPr>
          <w:p>
            <w:pPr>
              <w:pStyle w:val="16"/>
            </w:pPr>
            <w:r>
              <w:t>服务对象满意度指标</w:t>
            </w:r>
          </w:p>
        </w:tc>
        <w:tc>
          <w:tcPr>
            <w:tcW w:w="2835" w:type="dxa"/>
            <w:noWrap w:val="0"/>
            <w:vAlign w:val="center"/>
          </w:tcPr>
          <w:p>
            <w:pPr>
              <w:pStyle w:val="16"/>
            </w:pPr>
            <w:r>
              <w:t>登录廊坊网信网用户满意度</w:t>
            </w:r>
          </w:p>
        </w:tc>
        <w:tc>
          <w:tcPr>
            <w:tcW w:w="2835" w:type="dxa"/>
            <w:noWrap w:val="0"/>
            <w:vAlign w:val="center"/>
          </w:tcPr>
          <w:p>
            <w:pPr>
              <w:pStyle w:val="16"/>
            </w:pPr>
            <w:r>
              <w:t>登录用户满意度</w:t>
            </w:r>
          </w:p>
        </w:tc>
        <w:tc>
          <w:tcPr>
            <w:tcW w:w="2551" w:type="dxa"/>
            <w:noWrap w:val="0"/>
            <w:vAlign w:val="center"/>
          </w:tcPr>
          <w:p>
            <w:pPr>
              <w:pStyle w:val="16"/>
            </w:pPr>
            <w:r>
              <w:t>≥90%</w:t>
            </w:r>
          </w:p>
        </w:tc>
        <w:tc>
          <w:tcPr>
            <w:tcW w:w="2268" w:type="dxa"/>
            <w:noWrap w:val="0"/>
            <w:vAlign w:val="center"/>
          </w:tcPr>
          <w:p>
            <w:pPr>
              <w:pStyle w:val="16"/>
            </w:pPr>
            <w:r>
              <w:t>问卷调查</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noWrap w:val="0"/>
            <w:vAlign w:val="center"/>
          </w:tcPr>
          <w:p>
            <w:pPr>
              <w:pStyle w:val="14"/>
            </w:pPr>
          </w:p>
        </w:tc>
        <w:tc>
          <w:tcPr>
            <w:tcW w:w="2268" w:type="dxa"/>
            <w:noWrap w:val="0"/>
            <w:vAlign w:val="center"/>
          </w:tcPr>
          <w:p>
            <w:pPr>
              <w:pStyle w:val="16"/>
            </w:pPr>
            <w:r>
              <w:t>服务对象满意度指标</w:t>
            </w:r>
          </w:p>
        </w:tc>
        <w:tc>
          <w:tcPr>
            <w:tcW w:w="2835" w:type="dxa"/>
            <w:noWrap w:val="0"/>
            <w:vAlign w:val="center"/>
          </w:tcPr>
          <w:p>
            <w:pPr>
              <w:pStyle w:val="16"/>
            </w:pPr>
            <w:r>
              <w:t>宣传片受众满意度　</w:t>
            </w:r>
          </w:p>
        </w:tc>
        <w:tc>
          <w:tcPr>
            <w:tcW w:w="2835" w:type="dxa"/>
            <w:noWrap w:val="0"/>
            <w:vAlign w:val="center"/>
          </w:tcPr>
          <w:p>
            <w:pPr>
              <w:pStyle w:val="16"/>
            </w:pPr>
            <w:r>
              <w:t>宣传受众人员的满意率　</w:t>
            </w:r>
          </w:p>
        </w:tc>
        <w:tc>
          <w:tcPr>
            <w:tcW w:w="2551" w:type="dxa"/>
            <w:noWrap w:val="0"/>
            <w:vAlign w:val="center"/>
          </w:tcPr>
          <w:p>
            <w:pPr>
              <w:pStyle w:val="16"/>
            </w:pPr>
            <w:r>
              <w:t>　≥90%　</w:t>
            </w:r>
          </w:p>
        </w:tc>
        <w:tc>
          <w:tcPr>
            <w:tcW w:w="2268" w:type="dxa"/>
            <w:noWrap w:val="0"/>
            <w:vAlign w:val="center"/>
          </w:tcPr>
          <w:p>
            <w:pPr>
              <w:pStyle w:val="16"/>
            </w:pPr>
            <w:r>
              <w:t>问卷调查　</w:t>
            </w:r>
          </w:p>
        </w:tc>
      </w:tr>
    </w:tbl>
    <w:p>
      <w:pPr>
        <w:pStyle w:val="14"/>
      </w:pPr>
    </w:p>
    <w:p>
      <w:pPr>
        <w:pStyle w:val="14"/>
        <w:ind w:firstLine="560"/>
      </w:pPr>
      <w:r>
        <w:rPr>
          <w:rFonts w:ascii="方正仿宋_GBK" w:hAnsi="方正仿宋_GBK" w:eastAsia="方正仿宋_GBK" w:cs="方正仿宋_GBK"/>
          <w:b/>
          <w:color w:val="000000"/>
          <w:sz w:val="28"/>
        </w:rPr>
        <w:t>2、《廊坊数字乡村发展规划》合同尾款绩效目标表</w:t>
      </w:r>
    </w:p>
    <w:tbl>
      <w:tblPr>
        <w:tblStyle w:val="4"/>
        <w:tblW w:w="14173" w:type="dxa"/>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1417"/>
        <w:gridCol w:w="12756"/>
      </w:tblGrid>
      <w:tr>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1417" w:type="dxa"/>
            <w:tcBorders>
              <w:bottom w:val="single" w:color="FFFFFF" w:sz="6" w:space="0"/>
            </w:tcBorders>
            <w:noWrap w:val="0"/>
            <w:vAlign w:val="center"/>
          </w:tcPr>
          <w:p>
            <w:pPr>
              <w:pStyle w:val="15"/>
            </w:pPr>
            <w:r>
              <w:t>绩效目标</w:t>
            </w:r>
          </w:p>
        </w:tc>
        <w:tc>
          <w:tcPr>
            <w:tcW w:w="12756" w:type="dxa"/>
            <w:tcBorders>
              <w:bottom w:val="single" w:color="FFFFFF" w:sz="6" w:space="0"/>
            </w:tcBorders>
            <w:noWrap w:val="0"/>
            <w:vAlign w:val="center"/>
          </w:tcPr>
          <w:p>
            <w:pPr>
              <w:pStyle w:val="16"/>
            </w:pPr>
            <w:r>
              <w:t>1.完成廊坊市数字乡村发展规划及数字乡村试点评定、验收服务，并支付该项目尾款。</w:t>
            </w:r>
          </w:p>
        </w:tc>
      </w:tr>
    </w:tbl>
    <w:p>
      <w:pPr>
        <w:pStyle w:val="14"/>
        <w:spacing w:line="2" w:lineRule="exact"/>
        <w:jc w:val="center"/>
      </w:pPr>
      <w:r>
        <w:rPr>
          <w:rFonts w:ascii="方正书宋_GBK" w:hAnsi="方正书宋_GBK" w:eastAsia="方正书宋_GBK" w:cs="方正书宋_GBK"/>
          <w:color w:val="000000"/>
          <w:sz w:val="18"/>
        </w:rPr>
        <w:t xml:space="preserve"> </w:t>
      </w:r>
    </w:p>
    <w:tbl>
      <w:tblPr>
        <w:tblStyle w:val="4"/>
        <w:tblW w:w="1417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7"/>
        <w:gridCol w:w="2268"/>
        <w:gridCol w:w="2835"/>
        <w:gridCol w:w="2835"/>
        <w:gridCol w:w="2551"/>
        <w:gridCol w:w="226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417" w:type="dxa"/>
            <w:noWrap w:val="0"/>
            <w:vAlign w:val="center"/>
          </w:tcPr>
          <w:p>
            <w:pPr>
              <w:pStyle w:val="15"/>
            </w:pPr>
            <w:r>
              <w:t>一级指标</w:t>
            </w:r>
          </w:p>
        </w:tc>
        <w:tc>
          <w:tcPr>
            <w:tcW w:w="2268" w:type="dxa"/>
            <w:noWrap w:val="0"/>
            <w:vAlign w:val="center"/>
          </w:tcPr>
          <w:p>
            <w:pPr>
              <w:pStyle w:val="15"/>
            </w:pPr>
            <w:r>
              <w:t>二级指标</w:t>
            </w:r>
          </w:p>
        </w:tc>
        <w:tc>
          <w:tcPr>
            <w:tcW w:w="2835" w:type="dxa"/>
            <w:noWrap w:val="0"/>
            <w:vAlign w:val="center"/>
          </w:tcPr>
          <w:p>
            <w:pPr>
              <w:pStyle w:val="15"/>
            </w:pPr>
            <w:r>
              <w:t>三级指标</w:t>
            </w:r>
          </w:p>
        </w:tc>
        <w:tc>
          <w:tcPr>
            <w:tcW w:w="2835" w:type="dxa"/>
            <w:noWrap w:val="0"/>
            <w:vAlign w:val="center"/>
          </w:tcPr>
          <w:p>
            <w:pPr>
              <w:pStyle w:val="15"/>
            </w:pPr>
            <w:r>
              <w:t>绩效指标描述</w:t>
            </w:r>
          </w:p>
        </w:tc>
        <w:tc>
          <w:tcPr>
            <w:tcW w:w="2551" w:type="dxa"/>
            <w:noWrap w:val="0"/>
            <w:vAlign w:val="center"/>
          </w:tcPr>
          <w:p>
            <w:pPr>
              <w:pStyle w:val="15"/>
            </w:pPr>
            <w:r>
              <w:t>指标值</w:t>
            </w:r>
          </w:p>
        </w:tc>
        <w:tc>
          <w:tcPr>
            <w:tcW w:w="2268" w:type="dxa"/>
            <w:noWrap w:val="0"/>
            <w:vAlign w:val="center"/>
          </w:tcPr>
          <w:p>
            <w:pPr>
              <w:pStyle w:val="15"/>
            </w:pPr>
            <w: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noWrap w:val="0"/>
            <w:vAlign w:val="center"/>
          </w:tcPr>
          <w:p>
            <w:pPr>
              <w:pStyle w:val="17"/>
            </w:pPr>
            <w:r>
              <w:t>产出指标</w:t>
            </w:r>
          </w:p>
        </w:tc>
        <w:tc>
          <w:tcPr>
            <w:tcW w:w="2268" w:type="dxa"/>
            <w:noWrap w:val="0"/>
            <w:vAlign w:val="center"/>
          </w:tcPr>
          <w:p>
            <w:pPr>
              <w:pStyle w:val="16"/>
            </w:pPr>
            <w:r>
              <w:t>数量指标</w:t>
            </w:r>
          </w:p>
        </w:tc>
        <w:tc>
          <w:tcPr>
            <w:tcW w:w="2835" w:type="dxa"/>
            <w:noWrap w:val="0"/>
            <w:vAlign w:val="center"/>
          </w:tcPr>
          <w:p>
            <w:pPr>
              <w:pStyle w:val="16"/>
            </w:pPr>
            <w:r>
              <w:t>县级试点评定及验收数量　　</w:t>
            </w:r>
          </w:p>
        </w:tc>
        <w:tc>
          <w:tcPr>
            <w:tcW w:w="2835" w:type="dxa"/>
            <w:noWrap w:val="0"/>
            <w:vAlign w:val="center"/>
          </w:tcPr>
          <w:p>
            <w:pPr>
              <w:pStyle w:val="16"/>
            </w:pPr>
            <w:r>
              <w:t>县级试点评定及验收数量</w:t>
            </w:r>
          </w:p>
        </w:tc>
        <w:tc>
          <w:tcPr>
            <w:tcW w:w="2551" w:type="dxa"/>
            <w:noWrap w:val="0"/>
            <w:vAlign w:val="center"/>
          </w:tcPr>
          <w:p>
            <w:pPr>
              <w:pStyle w:val="16"/>
            </w:pPr>
            <w:r>
              <w:t>11个</w:t>
            </w:r>
          </w:p>
        </w:tc>
        <w:tc>
          <w:tcPr>
            <w:tcW w:w="2268" w:type="dxa"/>
            <w:noWrap w:val="0"/>
            <w:vAlign w:val="center"/>
          </w:tcPr>
          <w:p>
            <w:pPr>
              <w:pStyle w:val="16"/>
            </w:pPr>
            <w:r>
              <w:t>验收报告</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noWrap w:val="0"/>
            <w:vAlign w:val="center"/>
          </w:tcPr>
          <w:p>
            <w:pPr>
              <w:pStyle w:val="14"/>
            </w:pPr>
          </w:p>
        </w:tc>
        <w:tc>
          <w:tcPr>
            <w:tcW w:w="2268" w:type="dxa"/>
            <w:noWrap w:val="0"/>
            <w:vAlign w:val="center"/>
          </w:tcPr>
          <w:p>
            <w:pPr>
              <w:pStyle w:val="16"/>
            </w:pPr>
            <w:r>
              <w:t>质量指标</w:t>
            </w:r>
          </w:p>
        </w:tc>
        <w:tc>
          <w:tcPr>
            <w:tcW w:w="2835" w:type="dxa"/>
            <w:noWrap w:val="0"/>
            <w:vAlign w:val="center"/>
          </w:tcPr>
          <w:p>
            <w:pPr>
              <w:pStyle w:val="16"/>
            </w:pPr>
            <w:r>
              <w:t>规划、评定服务通过合格率　</w:t>
            </w:r>
          </w:p>
        </w:tc>
        <w:tc>
          <w:tcPr>
            <w:tcW w:w="2835" w:type="dxa"/>
            <w:noWrap w:val="0"/>
            <w:vAlign w:val="center"/>
          </w:tcPr>
          <w:p>
            <w:pPr>
              <w:pStyle w:val="16"/>
            </w:pPr>
            <w:r>
              <w:t>规划、评定服务通过率</w:t>
            </w:r>
          </w:p>
        </w:tc>
        <w:tc>
          <w:tcPr>
            <w:tcW w:w="2551" w:type="dxa"/>
            <w:noWrap w:val="0"/>
            <w:vAlign w:val="center"/>
          </w:tcPr>
          <w:p>
            <w:pPr>
              <w:pStyle w:val="16"/>
            </w:pPr>
            <w:r>
              <w:t>　=100%　</w:t>
            </w:r>
          </w:p>
        </w:tc>
        <w:tc>
          <w:tcPr>
            <w:tcW w:w="2268" w:type="dxa"/>
            <w:noWrap w:val="0"/>
            <w:vAlign w:val="center"/>
          </w:tcPr>
          <w:p>
            <w:pPr>
              <w:pStyle w:val="16"/>
            </w:pPr>
            <w:r>
              <w:t>验收报告</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noWrap w:val="0"/>
            <w:vAlign w:val="center"/>
          </w:tcPr>
          <w:p>
            <w:pPr>
              <w:pStyle w:val="14"/>
            </w:pPr>
          </w:p>
        </w:tc>
        <w:tc>
          <w:tcPr>
            <w:tcW w:w="2268" w:type="dxa"/>
            <w:noWrap w:val="0"/>
            <w:vAlign w:val="center"/>
          </w:tcPr>
          <w:p>
            <w:pPr>
              <w:pStyle w:val="16"/>
            </w:pPr>
            <w:r>
              <w:t>时效指标</w:t>
            </w:r>
          </w:p>
        </w:tc>
        <w:tc>
          <w:tcPr>
            <w:tcW w:w="2835" w:type="dxa"/>
            <w:noWrap w:val="0"/>
            <w:vAlign w:val="center"/>
          </w:tcPr>
          <w:p>
            <w:pPr>
              <w:pStyle w:val="16"/>
            </w:pPr>
            <w:r>
              <w:t>合同尾款支付时限</w:t>
            </w:r>
          </w:p>
        </w:tc>
        <w:tc>
          <w:tcPr>
            <w:tcW w:w="2835" w:type="dxa"/>
            <w:noWrap w:val="0"/>
            <w:vAlign w:val="center"/>
          </w:tcPr>
          <w:p>
            <w:pPr>
              <w:pStyle w:val="16"/>
            </w:pPr>
            <w:r>
              <w:t>合同尾款支付时间</w:t>
            </w:r>
          </w:p>
        </w:tc>
        <w:tc>
          <w:tcPr>
            <w:tcW w:w="2551" w:type="dxa"/>
            <w:noWrap w:val="0"/>
            <w:vAlign w:val="center"/>
          </w:tcPr>
          <w:p>
            <w:pPr>
              <w:pStyle w:val="16"/>
            </w:pPr>
            <w:r>
              <w:t>　≤3月　</w:t>
            </w:r>
          </w:p>
        </w:tc>
        <w:tc>
          <w:tcPr>
            <w:tcW w:w="2268" w:type="dxa"/>
            <w:noWrap w:val="0"/>
            <w:vAlign w:val="center"/>
          </w:tcPr>
          <w:p>
            <w:pPr>
              <w:pStyle w:val="16"/>
            </w:pPr>
            <w:r>
              <w:t>实际支付情况</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noWrap w:val="0"/>
            <w:vAlign w:val="center"/>
          </w:tcPr>
          <w:p>
            <w:pPr>
              <w:pStyle w:val="14"/>
            </w:pPr>
          </w:p>
        </w:tc>
        <w:tc>
          <w:tcPr>
            <w:tcW w:w="2268" w:type="dxa"/>
            <w:noWrap w:val="0"/>
            <w:vAlign w:val="center"/>
          </w:tcPr>
          <w:p>
            <w:pPr>
              <w:pStyle w:val="16"/>
            </w:pPr>
            <w:r>
              <w:t>成本指标</w:t>
            </w:r>
          </w:p>
        </w:tc>
        <w:tc>
          <w:tcPr>
            <w:tcW w:w="2835" w:type="dxa"/>
            <w:noWrap w:val="0"/>
            <w:vAlign w:val="center"/>
          </w:tcPr>
          <w:p>
            <w:pPr>
              <w:pStyle w:val="16"/>
            </w:pPr>
            <w:r>
              <w:t>成本控制</w:t>
            </w:r>
          </w:p>
        </w:tc>
        <w:tc>
          <w:tcPr>
            <w:tcW w:w="2835" w:type="dxa"/>
            <w:noWrap w:val="0"/>
            <w:vAlign w:val="center"/>
          </w:tcPr>
          <w:p>
            <w:pPr>
              <w:pStyle w:val="16"/>
            </w:pPr>
            <w:r>
              <w:t>实际支出是否不超过合同总价　</w:t>
            </w:r>
          </w:p>
        </w:tc>
        <w:tc>
          <w:tcPr>
            <w:tcW w:w="2551" w:type="dxa"/>
            <w:noWrap w:val="0"/>
            <w:vAlign w:val="center"/>
          </w:tcPr>
          <w:p>
            <w:pPr>
              <w:pStyle w:val="16"/>
            </w:pPr>
            <w:r>
              <w:t>不超　</w:t>
            </w:r>
          </w:p>
        </w:tc>
        <w:tc>
          <w:tcPr>
            <w:tcW w:w="2268" w:type="dxa"/>
            <w:noWrap w:val="0"/>
            <w:vAlign w:val="center"/>
          </w:tcPr>
          <w:p>
            <w:pPr>
              <w:pStyle w:val="16"/>
            </w:pPr>
            <w:r>
              <w:t>实际支付情况</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noWrap w:val="0"/>
            <w:vAlign w:val="center"/>
          </w:tcPr>
          <w:p>
            <w:pPr>
              <w:pStyle w:val="17"/>
            </w:pPr>
            <w:r>
              <w:t>效益指标</w:t>
            </w:r>
          </w:p>
        </w:tc>
        <w:tc>
          <w:tcPr>
            <w:tcW w:w="2268" w:type="dxa"/>
            <w:noWrap w:val="0"/>
            <w:vAlign w:val="center"/>
          </w:tcPr>
          <w:p>
            <w:pPr>
              <w:pStyle w:val="16"/>
            </w:pPr>
            <w:r>
              <w:t>社会效益指标</w:t>
            </w:r>
          </w:p>
        </w:tc>
        <w:tc>
          <w:tcPr>
            <w:tcW w:w="2835" w:type="dxa"/>
            <w:noWrap w:val="0"/>
            <w:vAlign w:val="center"/>
          </w:tcPr>
          <w:p>
            <w:pPr>
              <w:pStyle w:val="16"/>
            </w:pPr>
            <w:r>
              <w:t>是否提升试点信息化水平</w:t>
            </w:r>
          </w:p>
        </w:tc>
        <w:tc>
          <w:tcPr>
            <w:tcW w:w="2835" w:type="dxa"/>
            <w:noWrap w:val="0"/>
            <w:vAlign w:val="center"/>
          </w:tcPr>
          <w:p>
            <w:pPr>
              <w:pStyle w:val="16"/>
            </w:pPr>
            <w:r>
              <w:t>通过数字乡村发展建设规划能否提升试点乡村信息化发展水平</w:t>
            </w:r>
          </w:p>
        </w:tc>
        <w:tc>
          <w:tcPr>
            <w:tcW w:w="2551" w:type="dxa"/>
            <w:noWrap w:val="0"/>
            <w:vAlign w:val="center"/>
          </w:tcPr>
          <w:p>
            <w:pPr>
              <w:pStyle w:val="16"/>
            </w:pPr>
            <w:r>
              <w:t>是</w:t>
            </w:r>
          </w:p>
        </w:tc>
        <w:tc>
          <w:tcPr>
            <w:tcW w:w="2268" w:type="dxa"/>
            <w:noWrap w:val="0"/>
            <w:vAlign w:val="center"/>
          </w:tcPr>
          <w:p>
            <w:pPr>
              <w:pStyle w:val="16"/>
            </w:pPr>
            <w:r>
              <w:t>成果报告</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noWrap w:val="0"/>
            <w:vAlign w:val="center"/>
          </w:tcPr>
          <w:p>
            <w:pPr>
              <w:pStyle w:val="17"/>
            </w:pPr>
            <w:r>
              <w:t>满意度指标</w:t>
            </w:r>
          </w:p>
        </w:tc>
        <w:tc>
          <w:tcPr>
            <w:tcW w:w="2268" w:type="dxa"/>
            <w:noWrap w:val="0"/>
            <w:vAlign w:val="center"/>
          </w:tcPr>
          <w:p>
            <w:pPr>
              <w:pStyle w:val="16"/>
            </w:pPr>
            <w:r>
              <w:t>服务对象满意度指标</w:t>
            </w:r>
          </w:p>
        </w:tc>
        <w:tc>
          <w:tcPr>
            <w:tcW w:w="2835" w:type="dxa"/>
            <w:noWrap w:val="0"/>
            <w:vAlign w:val="center"/>
          </w:tcPr>
          <w:p>
            <w:pPr>
              <w:pStyle w:val="16"/>
            </w:pPr>
            <w:r>
              <w:t>受益人满意度</w:t>
            </w:r>
          </w:p>
        </w:tc>
        <w:tc>
          <w:tcPr>
            <w:tcW w:w="2835" w:type="dxa"/>
            <w:noWrap w:val="0"/>
            <w:vAlign w:val="center"/>
          </w:tcPr>
          <w:p>
            <w:pPr>
              <w:pStyle w:val="16"/>
            </w:pPr>
            <w:r>
              <w:t>试点乡村村民对试点规划满意度测评</w:t>
            </w:r>
          </w:p>
        </w:tc>
        <w:tc>
          <w:tcPr>
            <w:tcW w:w="2551" w:type="dxa"/>
            <w:noWrap w:val="0"/>
            <w:vAlign w:val="center"/>
          </w:tcPr>
          <w:p>
            <w:pPr>
              <w:pStyle w:val="16"/>
            </w:pPr>
            <w:r>
              <w:t>≥90%</w:t>
            </w:r>
          </w:p>
        </w:tc>
        <w:tc>
          <w:tcPr>
            <w:tcW w:w="2268" w:type="dxa"/>
            <w:noWrap w:val="0"/>
            <w:vAlign w:val="center"/>
          </w:tcPr>
          <w:p>
            <w:pPr>
              <w:pStyle w:val="16"/>
            </w:pPr>
            <w:r>
              <w:t>问卷调查</w:t>
            </w:r>
          </w:p>
        </w:tc>
      </w:tr>
    </w:tbl>
    <w:p>
      <w:pPr>
        <w:pStyle w:val="14"/>
      </w:pPr>
    </w:p>
    <w:p>
      <w:pPr>
        <w:pStyle w:val="14"/>
        <w:ind w:firstLine="560"/>
      </w:pPr>
      <w:r>
        <w:rPr>
          <w:rFonts w:ascii="方正仿宋_GBK" w:hAnsi="方正仿宋_GBK" w:eastAsia="方正仿宋_GBK" w:cs="方正仿宋_GBK"/>
          <w:b/>
          <w:color w:val="000000"/>
          <w:sz w:val="28"/>
        </w:rPr>
        <w:t>3、公务网络机房维护经费绩效目标表</w:t>
      </w:r>
    </w:p>
    <w:tbl>
      <w:tblPr>
        <w:tblStyle w:val="4"/>
        <w:tblW w:w="14173" w:type="dxa"/>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1417"/>
        <w:gridCol w:w="12756"/>
      </w:tblGrid>
      <w:tr>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1417" w:type="dxa"/>
            <w:tcBorders>
              <w:bottom w:val="single" w:color="FFFFFF" w:sz="6" w:space="0"/>
            </w:tcBorders>
            <w:noWrap w:val="0"/>
            <w:vAlign w:val="center"/>
          </w:tcPr>
          <w:p>
            <w:pPr>
              <w:pStyle w:val="15"/>
            </w:pPr>
            <w:r>
              <w:t>绩效目标</w:t>
            </w:r>
          </w:p>
        </w:tc>
        <w:tc>
          <w:tcPr>
            <w:tcW w:w="12756" w:type="dxa"/>
            <w:tcBorders>
              <w:bottom w:val="single" w:color="FFFFFF" w:sz="6" w:space="0"/>
            </w:tcBorders>
            <w:noWrap w:val="0"/>
            <w:vAlign w:val="center"/>
          </w:tcPr>
          <w:p>
            <w:pPr>
              <w:pStyle w:val="16"/>
            </w:pPr>
            <w:r>
              <w:t>1.通过项目的开展，确保信息资源中心公务网络机房各类设备稳定运行，保障公务网络畅通。</w:t>
            </w:r>
          </w:p>
        </w:tc>
      </w:tr>
    </w:tbl>
    <w:p>
      <w:pPr>
        <w:pStyle w:val="14"/>
        <w:spacing w:line="2" w:lineRule="exact"/>
        <w:jc w:val="center"/>
      </w:pPr>
      <w:r>
        <w:rPr>
          <w:rFonts w:ascii="方正书宋_GBK" w:hAnsi="方正书宋_GBK" w:eastAsia="方正书宋_GBK" w:cs="方正书宋_GBK"/>
          <w:color w:val="000000"/>
          <w:sz w:val="18"/>
        </w:rPr>
        <w:t xml:space="preserve"> </w:t>
      </w:r>
    </w:p>
    <w:tbl>
      <w:tblPr>
        <w:tblStyle w:val="4"/>
        <w:tblW w:w="1417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7"/>
        <w:gridCol w:w="2268"/>
        <w:gridCol w:w="2835"/>
        <w:gridCol w:w="2835"/>
        <w:gridCol w:w="2551"/>
        <w:gridCol w:w="226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417" w:type="dxa"/>
            <w:noWrap w:val="0"/>
            <w:vAlign w:val="center"/>
          </w:tcPr>
          <w:p>
            <w:pPr>
              <w:pStyle w:val="15"/>
            </w:pPr>
            <w:r>
              <w:t>一级指标</w:t>
            </w:r>
          </w:p>
        </w:tc>
        <w:tc>
          <w:tcPr>
            <w:tcW w:w="2268" w:type="dxa"/>
            <w:noWrap w:val="0"/>
            <w:vAlign w:val="center"/>
          </w:tcPr>
          <w:p>
            <w:pPr>
              <w:pStyle w:val="15"/>
            </w:pPr>
            <w:r>
              <w:t>二级指标</w:t>
            </w:r>
          </w:p>
        </w:tc>
        <w:tc>
          <w:tcPr>
            <w:tcW w:w="2835" w:type="dxa"/>
            <w:noWrap w:val="0"/>
            <w:vAlign w:val="center"/>
          </w:tcPr>
          <w:p>
            <w:pPr>
              <w:pStyle w:val="15"/>
            </w:pPr>
            <w:r>
              <w:t>三级指标</w:t>
            </w:r>
          </w:p>
        </w:tc>
        <w:tc>
          <w:tcPr>
            <w:tcW w:w="2835" w:type="dxa"/>
            <w:noWrap w:val="0"/>
            <w:vAlign w:val="center"/>
          </w:tcPr>
          <w:p>
            <w:pPr>
              <w:pStyle w:val="15"/>
            </w:pPr>
            <w:r>
              <w:t>绩效指标描述</w:t>
            </w:r>
          </w:p>
        </w:tc>
        <w:tc>
          <w:tcPr>
            <w:tcW w:w="2551" w:type="dxa"/>
            <w:noWrap w:val="0"/>
            <w:vAlign w:val="center"/>
          </w:tcPr>
          <w:p>
            <w:pPr>
              <w:pStyle w:val="15"/>
            </w:pPr>
            <w:r>
              <w:t>指标值</w:t>
            </w:r>
          </w:p>
        </w:tc>
        <w:tc>
          <w:tcPr>
            <w:tcW w:w="2268" w:type="dxa"/>
            <w:noWrap w:val="0"/>
            <w:vAlign w:val="center"/>
          </w:tcPr>
          <w:p>
            <w:pPr>
              <w:pStyle w:val="15"/>
            </w:pPr>
            <w: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noWrap w:val="0"/>
            <w:vAlign w:val="center"/>
          </w:tcPr>
          <w:p>
            <w:pPr>
              <w:pStyle w:val="17"/>
            </w:pPr>
            <w:r>
              <w:t>产出指标</w:t>
            </w:r>
          </w:p>
        </w:tc>
        <w:tc>
          <w:tcPr>
            <w:tcW w:w="2268" w:type="dxa"/>
            <w:noWrap w:val="0"/>
            <w:vAlign w:val="center"/>
          </w:tcPr>
          <w:p>
            <w:pPr>
              <w:pStyle w:val="16"/>
            </w:pPr>
            <w:r>
              <w:t>数量指标</w:t>
            </w:r>
          </w:p>
        </w:tc>
        <w:tc>
          <w:tcPr>
            <w:tcW w:w="2835" w:type="dxa"/>
            <w:noWrap w:val="0"/>
            <w:vAlign w:val="center"/>
          </w:tcPr>
          <w:p>
            <w:pPr>
              <w:pStyle w:val="16"/>
            </w:pPr>
            <w:r>
              <w:t>省、市级政务资源共享数据交换总量</w:t>
            </w:r>
          </w:p>
        </w:tc>
        <w:tc>
          <w:tcPr>
            <w:tcW w:w="2835" w:type="dxa"/>
            <w:noWrap w:val="0"/>
            <w:vAlign w:val="center"/>
          </w:tcPr>
          <w:p>
            <w:pPr>
              <w:pStyle w:val="16"/>
            </w:pPr>
            <w:r>
              <w:t>“互联网+政务服务”数据上传数量。</w:t>
            </w:r>
          </w:p>
        </w:tc>
        <w:tc>
          <w:tcPr>
            <w:tcW w:w="2551" w:type="dxa"/>
            <w:noWrap w:val="0"/>
            <w:vAlign w:val="center"/>
          </w:tcPr>
          <w:p>
            <w:pPr>
              <w:pStyle w:val="16"/>
            </w:pPr>
            <w:r>
              <w:t>≥1000万次</w:t>
            </w:r>
          </w:p>
        </w:tc>
        <w:tc>
          <w:tcPr>
            <w:tcW w:w="2268" w:type="dxa"/>
            <w:noWrap w:val="0"/>
            <w:vAlign w:val="center"/>
          </w:tcPr>
          <w:p>
            <w:pPr>
              <w:pStyle w:val="16"/>
            </w:pPr>
            <w:r>
              <w:t>工作实际、行业标准。</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noWrap w:val="0"/>
            <w:vAlign w:val="center"/>
          </w:tcPr>
          <w:p>
            <w:pPr>
              <w:pStyle w:val="14"/>
            </w:pPr>
          </w:p>
        </w:tc>
        <w:tc>
          <w:tcPr>
            <w:tcW w:w="2268" w:type="dxa"/>
            <w:noWrap w:val="0"/>
            <w:vAlign w:val="center"/>
          </w:tcPr>
          <w:p>
            <w:pPr>
              <w:pStyle w:val="16"/>
            </w:pPr>
            <w:r>
              <w:t>数量指标</w:t>
            </w:r>
          </w:p>
        </w:tc>
        <w:tc>
          <w:tcPr>
            <w:tcW w:w="2835" w:type="dxa"/>
            <w:noWrap w:val="0"/>
            <w:vAlign w:val="center"/>
          </w:tcPr>
          <w:p>
            <w:pPr>
              <w:pStyle w:val="16"/>
            </w:pPr>
            <w:r>
              <w:t>运维市级接入单位互连线路数量</w:t>
            </w:r>
          </w:p>
        </w:tc>
        <w:tc>
          <w:tcPr>
            <w:tcW w:w="2835" w:type="dxa"/>
            <w:noWrap w:val="0"/>
            <w:vAlign w:val="center"/>
          </w:tcPr>
          <w:p>
            <w:pPr>
              <w:pStyle w:val="16"/>
            </w:pPr>
            <w:r>
              <w:t>运维市级接入单位互连线路总体数量</w:t>
            </w:r>
          </w:p>
        </w:tc>
        <w:tc>
          <w:tcPr>
            <w:tcW w:w="2551" w:type="dxa"/>
            <w:noWrap w:val="0"/>
            <w:vAlign w:val="center"/>
          </w:tcPr>
          <w:p>
            <w:pPr>
              <w:pStyle w:val="16"/>
            </w:pPr>
            <w:r>
              <w:t>≥200条</w:t>
            </w:r>
          </w:p>
        </w:tc>
        <w:tc>
          <w:tcPr>
            <w:tcW w:w="2268" w:type="dxa"/>
            <w:noWrap w:val="0"/>
            <w:vAlign w:val="center"/>
          </w:tcPr>
          <w:p>
            <w:pPr>
              <w:pStyle w:val="16"/>
            </w:pPr>
            <w:r>
              <w:t>根据实际运行数据统计测算。</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noWrap w:val="0"/>
            <w:vAlign w:val="center"/>
          </w:tcPr>
          <w:p>
            <w:pPr>
              <w:pStyle w:val="14"/>
            </w:pPr>
          </w:p>
        </w:tc>
        <w:tc>
          <w:tcPr>
            <w:tcW w:w="2268" w:type="dxa"/>
            <w:noWrap w:val="0"/>
            <w:vAlign w:val="center"/>
          </w:tcPr>
          <w:p>
            <w:pPr>
              <w:pStyle w:val="16"/>
            </w:pPr>
            <w:r>
              <w:t>质量指标</w:t>
            </w:r>
          </w:p>
        </w:tc>
        <w:tc>
          <w:tcPr>
            <w:tcW w:w="2835" w:type="dxa"/>
            <w:noWrap w:val="0"/>
            <w:vAlign w:val="center"/>
          </w:tcPr>
          <w:p>
            <w:pPr>
              <w:pStyle w:val="16"/>
            </w:pPr>
            <w:r>
              <w:t>公务网络服务中断率</w:t>
            </w:r>
          </w:p>
        </w:tc>
        <w:tc>
          <w:tcPr>
            <w:tcW w:w="2835" w:type="dxa"/>
            <w:noWrap w:val="0"/>
            <w:vAlign w:val="center"/>
          </w:tcPr>
          <w:p>
            <w:pPr>
              <w:pStyle w:val="16"/>
            </w:pPr>
            <w:r>
              <w:t>累计中断时间与使用时间的比值。</w:t>
            </w:r>
          </w:p>
        </w:tc>
        <w:tc>
          <w:tcPr>
            <w:tcW w:w="2551" w:type="dxa"/>
            <w:noWrap w:val="0"/>
            <w:vAlign w:val="center"/>
          </w:tcPr>
          <w:p>
            <w:pPr>
              <w:pStyle w:val="16"/>
            </w:pPr>
            <w:r>
              <w:t>≦2%</w:t>
            </w:r>
          </w:p>
        </w:tc>
        <w:tc>
          <w:tcPr>
            <w:tcW w:w="2268" w:type="dxa"/>
            <w:noWrap w:val="0"/>
            <w:vAlign w:val="center"/>
          </w:tcPr>
          <w:p>
            <w:pPr>
              <w:pStyle w:val="16"/>
            </w:pPr>
            <w:r>
              <w:t>根据实际运行数据统计测算。</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noWrap w:val="0"/>
            <w:vAlign w:val="center"/>
          </w:tcPr>
          <w:p>
            <w:pPr>
              <w:pStyle w:val="14"/>
            </w:pPr>
          </w:p>
        </w:tc>
        <w:tc>
          <w:tcPr>
            <w:tcW w:w="2268" w:type="dxa"/>
            <w:noWrap w:val="0"/>
            <w:vAlign w:val="center"/>
          </w:tcPr>
          <w:p>
            <w:pPr>
              <w:pStyle w:val="16"/>
            </w:pPr>
            <w:r>
              <w:t>质量指标</w:t>
            </w:r>
          </w:p>
        </w:tc>
        <w:tc>
          <w:tcPr>
            <w:tcW w:w="2835" w:type="dxa"/>
            <w:noWrap w:val="0"/>
            <w:vAlign w:val="center"/>
          </w:tcPr>
          <w:p>
            <w:pPr>
              <w:pStyle w:val="16"/>
            </w:pPr>
            <w:r>
              <w:t>互联网服务中断时间</w:t>
            </w:r>
          </w:p>
        </w:tc>
        <w:tc>
          <w:tcPr>
            <w:tcW w:w="2835" w:type="dxa"/>
            <w:noWrap w:val="0"/>
            <w:vAlign w:val="center"/>
          </w:tcPr>
          <w:p>
            <w:pPr>
              <w:pStyle w:val="16"/>
            </w:pPr>
            <w:r>
              <w:t>全年互联网服务累计中断时间。</w:t>
            </w:r>
          </w:p>
        </w:tc>
        <w:tc>
          <w:tcPr>
            <w:tcW w:w="2551" w:type="dxa"/>
            <w:noWrap w:val="0"/>
            <w:vAlign w:val="center"/>
          </w:tcPr>
          <w:p>
            <w:pPr>
              <w:pStyle w:val="16"/>
            </w:pPr>
            <w:r>
              <w:t>≦48小时</w:t>
            </w:r>
          </w:p>
        </w:tc>
        <w:tc>
          <w:tcPr>
            <w:tcW w:w="2268" w:type="dxa"/>
            <w:noWrap w:val="0"/>
            <w:vAlign w:val="center"/>
          </w:tcPr>
          <w:p>
            <w:pPr>
              <w:pStyle w:val="16"/>
            </w:pPr>
            <w:r>
              <w:t>根据实际运行数据统计测算。</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noWrap w:val="0"/>
            <w:vAlign w:val="center"/>
          </w:tcPr>
          <w:p>
            <w:pPr>
              <w:pStyle w:val="14"/>
            </w:pPr>
          </w:p>
        </w:tc>
        <w:tc>
          <w:tcPr>
            <w:tcW w:w="2268" w:type="dxa"/>
            <w:noWrap w:val="0"/>
            <w:vAlign w:val="center"/>
          </w:tcPr>
          <w:p>
            <w:pPr>
              <w:pStyle w:val="16"/>
            </w:pPr>
            <w:r>
              <w:t>时效指标</w:t>
            </w:r>
          </w:p>
        </w:tc>
        <w:tc>
          <w:tcPr>
            <w:tcW w:w="2835" w:type="dxa"/>
            <w:noWrap w:val="0"/>
            <w:vAlign w:val="center"/>
          </w:tcPr>
          <w:p>
            <w:pPr>
              <w:pStyle w:val="16"/>
            </w:pPr>
            <w:r>
              <w:t>政务外网线路故障修复效率</w:t>
            </w:r>
          </w:p>
        </w:tc>
        <w:tc>
          <w:tcPr>
            <w:tcW w:w="2835" w:type="dxa"/>
            <w:noWrap w:val="0"/>
            <w:vAlign w:val="center"/>
          </w:tcPr>
          <w:p>
            <w:pPr>
              <w:pStyle w:val="16"/>
            </w:pPr>
            <w:r>
              <w:t>各类线路故障修复平均时间</w:t>
            </w:r>
          </w:p>
        </w:tc>
        <w:tc>
          <w:tcPr>
            <w:tcW w:w="2551" w:type="dxa"/>
            <w:noWrap w:val="0"/>
            <w:vAlign w:val="center"/>
          </w:tcPr>
          <w:p>
            <w:pPr>
              <w:pStyle w:val="16"/>
            </w:pPr>
            <w:r>
              <w:t>≦40分钟　</w:t>
            </w:r>
          </w:p>
        </w:tc>
        <w:tc>
          <w:tcPr>
            <w:tcW w:w="2268" w:type="dxa"/>
            <w:noWrap w:val="0"/>
            <w:vAlign w:val="center"/>
          </w:tcPr>
          <w:p>
            <w:pPr>
              <w:pStyle w:val="16"/>
            </w:pPr>
            <w:r>
              <w:t>根据实际运行数据统计测算。</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noWrap w:val="0"/>
            <w:vAlign w:val="center"/>
          </w:tcPr>
          <w:p>
            <w:pPr>
              <w:pStyle w:val="14"/>
            </w:pPr>
          </w:p>
        </w:tc>
        <w:tc>
          <w:tcPr>
            <w:tcW w:w="2268" w:type="dxa"/>
            <w:noWrap w:val="0"/>
            <w:vAlign w:val="center"/>
          </w:tcPr>
          <w:p>
            <w:pPr>
              <w:pStyle w:val="16"/>
            </w:pPr>
            <w:r>
              <w:t>时效指标</w:t>
            </w:r>
          </w:p>
        </w:tc>
        <w:tc>
          <w:tcPr>
            <w:tcW w:w="2835" w:type="dxa"/>
            <w:noWrap w:val="0"/>
            <w:vAlign w:val="center"/>
          </w:tcPr>
          <w:p>
            <w:pPr>
              <w:pStyle w:val="16"/>
            </w:pPr>
            <w:r>
              <w:t>市民服务中心核心网络故障修复效率</w:t>
            </w:r>
          </w:p>
        </w:tc>
        <w:tc>
          <w:tcPr>
            <w:tcW w:w="2835" w:type="dxa"/>
            <w:noWrap w:val="0"/>
            <w:vAlign w:val="center"/>
          </w:tcPr>
          <w:p>
            <w:pPr>
              <w:pStyle w:val="16"/>
            </w:pPr>
            <w:r>
              <w:t>各类线路故障修复平均时间</w:t>
            </w:r>
          </w:p>
        </w:tc>
        <w:tc>
          <w:tcPr>
            <w:tcW w:w="2551" w:type="dxa"/>
            <w:noWrap w:val="0"/>
            <w:vAlign w:val="center"/>
          </w:tcPr>
          <w:p>
            <w:pPr>
              <w:pStyle w:val="16"/>
            </w:pPr>
            <w:r>
              <w:t>≦60分钟　</w:t>
            </w:r>
          </w:p>
        </w:tc>
        <w:tc>
          <w:tcPr>
            <w:tcW w:w="2268" w:type="dxa"/>
            <w:noWrap w:val="0"/>
            <w:vAlign w:val="center"/>
          </w:tcPr>
          <w:p>
            <w:pPr>
              <w:pStyle w:val="16"/>
            </w:pPr>
            <w:r>
              <w:t>根据实际运行数据统计测算。</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noWrap w:val="0"/>
            <w:vAlign w:val="center"/>
          </w:tcPr>
          <w:p>
            <w:pPr>
              <w:pStyle w:val="14"/>
            </w:pPr>
          </w:p>
        </w:tc>
        <w:tc>
          <w:tcPr>
            <w:tcW w:w="2268" w:type="dxa"/>
            <w:noWrap w:val="0"/>
            <w:vAlign w:val="center"/>
          </w:tcPr>
          <w:p>
            <w:pPr>
              <w:pStyle w:val="16"/>
            </w:pPr>
            <w:r>
              <w:t>成本指标</w:t>
            </w:r>
          </w:p>
        </w:tc>
        <w:tc>
          <w:tcPr>
            <w:tcW w:w="2835" w:type="dxa"/>
            <w:noWrap w:val="0"/>
            <w:vAlign w:val="center"/>
          </w:tcPr>
          <w:p>
            <w:pPr>
              <w:pStyle w:val="16"/>
            </w:pPr>
            <w:r>
              <w:t>用电单价成本</w:t>
            </w:r>
          </w:p>
        </w:tc>
        <w:tc>
          <w:tcPr>
            <w:tcW w:w="2835" w:type="dxa"/>
            <w:noWrap w:val="0"/>
            <w:vAlign w:val="center"/>
          </w:tcPr>
          <w:p>
            <w:pPr>
              <w:pStyle w:val="16"/>
            </w:pPr>
            <w:r>
              <w:t>反映用电每小时成本价格</w:t>
            </w:r>
          </w:p>
        </w:tc>
        <w:tc>
          <w:tcPr>
            <w:tcW w:w="2551" w:type="dxa"/>
            <w:noWrap w:val="0"/>
            <w:vAlign w:val="center"/>
          </w:tcPr>
          <w:p>
            <w:pPr>
              <w:pStyle w:val="16"/>
            </w:pPr>
            <w:r>
              <w:t>≤183元</w:t>
            </w:r>
          </w:p>
        </w:tc>
        <w:tc>
          <w:tcPr>
            <w:tcW w:w="2268" w:type="dxa"/>
            <w:noWrap w:val="0"/>
            <w:vAlign w:val="center"/>
          </w:tcPr>
          <w:p>
            <w:pPr>
              <w:pStyle w:val="16"/>
            </w:pPr>
            <w:r>
              <w:t>实际运行情况</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noWrap w:val="0"/>
            <w:vAlign w:val="center"/>
          </w:tcPr>
          <w:p>
            <w:pPr>
              <w:pStyle w:val="14"/>
            </w:pPr>
          </w:p>
        </w:tc>
        <w:tc>
          <w:tcPr>
            <w:tcW w:w="2268" w:type="dxa"/>
            <w:noWrap w:val="0"/>
            <w:vAlign w:val="center"/>
          </w:tcPr>
          <w:p>
            <w:pPr>
              <w:pStyle w:val="16"/>
            </w:pPr>
            <w:r>
              <w:t>成本指标</w:t>
            </w:r>
          </w:p>
        </w:tc>
        <w:tc>
          <w:tcPr>
            <w:tcW w:w="2835" w:type="dxa"/>
            <w:noWrap w:val="0"/>
            <w:vAlign w:val="center"/>
          </w:tcPr>
          <w:p>
            <w:pPr>
              <w:pStyle w:val="16"/>
            </w:pPr>
            <w:r>
              <w:t>租用裸光纤成本</w:t>
            </w:r>
          </w:p>
        </w:tc>
        <w:tc>
          <w:tcPr>
            <w:tcW w:w="2835" w:type="dxa"/>
            <w:noWrap w:val="0"/>
            <w:vAlign w:val="center"/>
          </w:tcPr>
          <w:p>
            <w:pPr>
              <w:pStyle w:val="16"/>
            </w:pPr>
            <w:r>
              <w:t>租用230条裸光纤，平均每条成本</w:t>
            </w:r>
          </w:p>
        </w:tc>
        <w:tc>
          <w:tcPr>
            <w:tcW w:w="2551" w:type="dxa"/>
            <w:noWrap w:val="0"/>
            <w:vAlign w:val="center"/>
          </w:tcPr>
          <w:p>
            <w:pPr>
              <w:pStyle w:val="16"/>
            </w:pPr>
            <w:r>
              <w:t>≤3600元</w:t>
            </w:r>
          </w:p>
        </w:tc>
        <w:tc>
          <w:tcPr>
            <w:tcW w:w="2268" w:type="dxa"/>
            <w:noWrap w:val="0"/>
            <w:vAlign w:val="center"/>
          </w:tcPr>
          <w:p>
            <w:pPr>
              <w:pStyle w:val="16"/>
            </w:pPr>
            <w:r>
              <w:t>根据实际运行数据统计测算</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noWrap w:val="0"/>
            <w:vAlign w:val="center"/>
          </w:tcPr>
          <w:p>
            <w:pPr>
              <w:pStyle w:val="17"/>
            </w:pPr>
            <w:r>
              <w:t>效益指标</w:t>
            </w:r>
          </w:p>
        </w:tc>
        <w:tc>
          <w:tcPr>
            <w:tcW w:w="2268" w:type="dxa"/>
            <w:noWrap w:val="0"/>
            <w:vAlign w:val="center"/>
          </w:tcPr>
          <w:p>
            <w:pPr>
              <w:pStyle w:val="16"/>
            </w:pPr>
            <w:r>
              <w:t>社会效益指标</w:t>
            </w:r>
          </w:p>
        </w:tc>
        <w:tc>
          <w:tcPr>
            <w:tcW w:w="2835" w:type="dxa"/>
            <w:noWrap w:val="0"/>
            <w:vAlign w:val="center"/>
          </w:tcPr>
          <w:p>
            <w:pPr>
              <w:pStyle w:val="16"/>
            </w:pPr>
            <w:r>
              <w:t>公务网络平稳运行</w:t>
            </w:r>
          </w:p>
        </w:tc>
        <w:tc>
          <w:tcPr>
            <w:tcW w:w="2835" w:type="dxa"/>
            <w:noWrap w:val="0"/>
            <w:vAlign w:val="center"/>
          </w:tcPr>
          <w:p>
            <w:pPr>
              <w:pStyle w:val="16"/>
            </w:pPr>
            <w:r>
              <w:t>保障公务网络稳定运行，可支撑各专网畅通。</w:t>
            </w:r>
          </w:p>
        </w:tc>
        <w:tc>
          <w:tcPr>
            <w:tcW w:w="2551" w:type="dxa"/>
            <w:noWrap w:val="0"/>
            <w:vAlign w:val="center"/>
          </w:tcPr>
          <w:p>
            <w:pPr>
              <w:pStyle w:val="16"/>
            </w:pPr>
            <w:r>
              <w:t>稳定运行</w:t>
            </w:r>
          </w:p>
        </w:tc>
        <w:tc>
          <w:tcPr>
            <w:tcW w:w="2268" w:type="dxa"/>
            <w:noWrap w:val="0"/>
            <w:vAlign w:val="center"/>
          </w:tcPr>
          <w:p>
            <w:pPr>
              <w:pStyle w:val="16"/>
            </w:pPr>
            <w:r>
              <w:t>工作总结、运维日志</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noWrap w:val="0"/>
            <w:vAlign w:val="center"/>
          </w:tcPr>
          <w:p>
            <w:pPr>
              <w:pStyle w:val="14"/>
            </w:pPr>
          </w:p>
        </w:tc>
        <w:tc>
          <w:tcPr>
            <w:tcW w:w="2268" w:type="dxa"/>
            <w:noWrap w:val="0"/>
            <w:vAlign w:val="center"/>
          </w:tcPr>
          <w:p>
            <w:pPr>
              <w:pStyle w:val="16"/>
            </w:pPr>
            <w:r>
              <w:t>社会效益指标</w:t>
            </w:r>
          </w:p>
        </w:tc>
        <w:tc>
          <w:tcPr>
            <w:tcW w:w="2835" w:type="dxa"/>
            <w:noWrap w:val="0"/>
            <w:vAlign w:val="center"/>
          </w:tcPr>
          <w:p>
            <w:pPr>
              <w:pStyle w:val="16"/>
            </w:pPr>
            <w:r>
              <w:t>政务应用稳定运行</w:t>
            </w:r>
          </w:p>
        </w:tc>
        <w:tc>
          <w:tcPr>
            <w:tcW w:w="2835" w:type="dxa"/>
            <w:noWrap w:val="0"/>
            <w:vAlign w:val="center"/>
          </w:tcPr>
          <w:p>
            <w:pPr>
              <w:pStyle w:val="16"/>
            </w:pPr>
            <w:r>
              <w:t>　能否保障基于公务网络的政务应用稳定运行</w:t>
            </w:r>
          </w:p>
        </w:tc>
        <w:tc>
          <w:tcPr>
            <w:tcW w:w="2551" w:type="dxa"/>
            <w:noWrap w:val="0"/>
            <w:vAlign w:val="center"/>
          </w:tcPr>
          <w:p>
            <w:pPr>
              <w:pStyle w:val="16"/>
            </w:pPr>
            <w:r>
              <w:t>稳定运行</w:t>
            </w:r>
          </w:p>
        </w:tc>
        <w:tc>
          <w:tcPr>
            <w:tcW w:w="2268" w:type="dxa"/>
            <w:noWrap w:val="0"/>
            <w:vAlign w:val="center"/>
          </w:tcPr>
          <w:p>
            <w:pPr>
              <w:pStyle w:val="16"/>
            </w:pPr>
            <w:r>
              <w:t>工作总结，运维日志</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noWrap w:val="0"/>
            <w:vAlign w:val="center"/>
          </w:tcPr>
          <w:p>
            <w:pPr>
              <w:pStyle w:val="17"/>
            </w:pPr>
            <w:r>
              <w:t>满意度指标</w:t>
            </w:r>
          </w:p>
        </w:tc>
        <w:tc>
          <w:tcPr>
            <w:tcW w:w="2268" w:type="dxa"/>
            <w:noWrap w:val="0"/>
            <w:vAlign w:val="center"/>
          </w:tcPr>
          <w:p>
            <w:pPr>
              <w:pStyle w:val="16"/>
            </w:pPr>
            <w:r>
              <w:t>服务对象满意度指标</w:t>
            </w:r>
          </w:p>
        </w:tc>
        <w:tc>
          <w:tcPr>
            <w:tcW w:w="2835" w:type="dxa"/>
            <w:noWrap w:val="0"/>
            <w:vAlign w:val="center"/>
          </w:tcPr>
          <w:p>
            <w:pPr>
              <w:pStyle w:val="16"/>
            </w:pPr>
            <w:r>
              <w:t>公务网络服务满意度</w:t>
            </w:r>
          </w:p>
        </w:tc>
        <w:tc>
          <w:tcPr>
            <w:tcW w:w="2835" w:type="dxa"/>
            <w:noWrap w:val="0"/>
            <w:vAlign w:val="center"/>
          </w:tcPr>
          <w:p>
            <w:pPr>
              <w:pStyle w:val="16"/>
            </w:pPr>
            <w:r>
              <w:t>接入单位服务满意度</w:t>
            </w:r>
          </w:p>
        </w:tc>
        <w:tc>
          <w:tcPr>
            <w:tcW w:w="2551" w:type="dxa"/>
            <w:noWrap w:val="0"/>
            <w:vAlign w:val="center"/>
          </w:tcPr>
          <w:p>
            <w:pPr>
              <w:pStyle w:val="16"/>
            </w:pPr>
            <w:r>
              <w:t>≥90%</w:t>
            </w:r>
          </w:p>
        </w:tc>
        <w:tc>
          <w:tcPr>
            <w:tcW w:w="2268" w:type="dxa"/>
            <w:noWrap w:val="0"/>
            <w:vAlign w:val="center"/>
          </w:tcPr>
          <w:p>
            <w:pPr>
              <w:pStyle w:val="16"/>
            </w:pPr>
            <w:r>
              <w:t>调查问卷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noWrap w:val="0"/>
            <w:vAlign w:val="center"/>
          </w:tcPr>
          <w:p>
            <w:pPr>
              <w:pStyle w:val="14"/>
            </w:pPr>
          </w:p>
        </w:tc>
        <w:tc>
          <w:tcPr>
            <w:tcW w:w="2268" w:type="dxa"/>
            <w:noWrap w:val="0"/>
            <w:vAlign w:val="center"/>
          </w:tcPr>
          <w:p>
            <w:pPr>
              <w:pStyle w:val="16"/>
            </w:pPr>
            <w:r>
              <w:t>服务对象满意度指标</w:t>
            </w:r>
          </w:p>
        </w:tc>
        <w:tc>
          <w:tcPr>
            <w:tcW w:w="2835" w:type="dxa"/>
            <w:noWrap w:val="0"/>
            <w:vAlign w:val="center"/>
          </w:tcPr>
          <w:p>
            <w:pPr>
              <w:pStyle w:val="16"/>
            </w:pPr>
            <w:r>
              <w:t>办公OA用户使用效果</w:t>
            </w:r>
          </w:p>
        </w:tc>
        <w:tc>
          <w:tcPr>
            <w:tcW w:w="2835" w:type="dxa"/>
            <w:noWrap w:val="0"/>
            <w:vAlign w:val="center"/>
          </w:tcPr>
          <w:p>
            <w:pPr>
              <w:pStyle w:val="16"/>
            </w:pPr>
            <w:r>
              <w:t>用户使用系统效果</w:t>
            </w:r>
          </w:p>
        </w:tc>
        <w:tc>
          <w:tcPr>
            <w:tcW w:w="2551" w:type="dxa"/>
            <w:noWrap w:val="0"/>
            <w:vAlign w:val="center"/>
          </w:tcPr>
          <w:p>
            <w:pPr>
              <w:pStyle w:val="16"/>
            </w:pPr>
            <w:r>
              <w:t>≥90%</w:t>
            </w:r>
          </w:p>
        </w:tc>
        <w:tc>
          <w:tcPr>
            <w:tcW w:w="2268" w:type="dxa"/>
            <w:noWrap w:val="0"/>
            <w:vAlign w:val="center"/>
          </w:tcPr>
          <w:p>
            <w:pPr>
              <w:pStyle w:val="16"/>
            </w:pPr>
            <w:r>
              <w:t>调查问卷</w:t>
            </w:r>
          </w:p>
        </w:tc>
      </w:tr>
    </w:tbl>
    <w:p>
      <w:pPr>
        <w:pStyle w:val="14"/>
      </w:pPr>
    </w:p>
    <w:p>
      <w:pPr>
        <w:pStyle w:val="14"/>
        <w:ind w:firstLine="560"/>
      </w:pPr>
      <w:r>
        <w:rPr>
          <w:rFonts w:hint="eastAsia" w:ascii="方正仿宋_GBK" w:hAnsi="方正仿宋_GBK" w:eastAsia="方正仿宋_GBK" w:cs="方正仿宋_GBK"/>
          <w:b/>
          <w:color w:val="000000"/>
          <w:sz w:val="28"/>
          <w:lang w:val="en-US" w:eastAsia="zh-CN"/>
        </w:rPr>
        <w:t>4</w:t>
      </w:r>
      <w:r>
        <w:rPr>
          <w:rFonts w:ascii="方正仿宋_GBK" w:hAnsi="方正仿宋_GBK" w:eastAsia="方正仿宋_GBK" w:cs="方正仿宋_GBK"/>
          <w:b/>
          <w:color w:val="000000"/>
          <w:sz w:val="28"/>
        </w:rPr>
        <w:t>、廊坊新型智慧城市购买服务项目资金绩效目标表</w:t>
      </w:r>
    </w:p>
    <w:tbl>
      <w:tblPr>
        <w:tblStyle w:val="4"/>
        <w:tblW w:w="14173" w:type="dxa"/>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1417"/>
        <w:gridCol w:w="12756"/>
      </w:tblGrid>
      <w:tr>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1417" w:type="dxa"/>
            <w:tcBorders>
              <w:bottom w:val="single" w:color="FFFFFF" w:sz="6" w:space="0"/>
            </w:tcBorders>
            <w:noWrap w:val="0"/>
            <w:vAlign w:val="center"/>
          </w:tcPr>
          <w:p>
            <w:pPr>
              <w:pStyle w:val="15"/>
            </w:pPr>
            <w:r>
              <w:t>绩效目标</w:t>
            </w:r>
          </w:p>
        </w:tc>
        <w:tc>
          <w:tcPr>
            <w:tcW w:w="12756" w:type="dxa"/>
            <w:tcBorders>
              <w:bottom w:val="single" w:color="FFFFFF" w:sz="6" w:space="0"/>
            </w:tcBorders>
            <w:noWrap w:val="0"/>
            <w:vAlign w:val="center"/>
          </w:tcPr>
          <w:p>
            <w:pPr>
              <w:pStyle w:val="16"/>
            </w:pPr>
            <w:r>
              <w:t>1.通过实施此项目，提供市级政务云服务，为全市信息化提供统一的数据机房、计算资源、数据存储资源，实现计算、存储资源集约化与按需调度，建设安全体系、数据库、智慧城市运营中心，构建展示城市总体态势，提升对城市运营状态的全局感知水平。</w:t>
            </w:r>
          </w:p>
        </w:tc>
      </w:tr>
    </w:tbl>
    <w:p>
      <w:pPr>
        <w:pStyle w:val="14"/>
        <w:spacing w:line="2" w:lineRule="exact"/>
        <w:jc w:val="center"/>
      </w:pPr>
      <w:r>
        <w:rPr>
          <w:rFonts w:ascii="方正书宋_GBK" w:hAnsi="方正书宋_GBK" w:eastAsia="方正书宋_GBK" w:cs="方正书宋_GBK"/>
          <w:color w:val="000000"/>
          <w:sz w:val="18"/>
        </w:rPr>
        <w:t xml:space="preserve"> </w:t>
      </w:r>
    </w:p>
    <w:tbl>
      <w:tblPr>
        <w:tblStyle w:val="4"/>
        <w:tblW w:w="1417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7"/>
        <w:gridCol w:w="2268"/>
        <w:gridCol w:w="2835"/>
        <w:gridCol w:w="2835"/>
        <w:gridCol w:w="2551"/>
        <w:gridCol w:w="226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417" w:type="dxa"/>
            <w:noWrap w:val="0"/>
            <w:vAlign w:val="center"/>
          </w:tcPr>
          <w:p>
            <w:pPr>
              <w:pStyle w:val="15"/>
            </w:pPr>
            <w:r>
              <w:t>一级指标</w:t>
            </w:r>
          </w:p>
        </w:tc>
        <w:tc>
          <w:tcPr>
            <w:tcW w:w="2268" w:type="dxa"/>
            <w:noWrap w:val="0"/>
            <w:vAlign w:val="center"/>
          </w:tcPr>
          <w:p>
            <w:pPr>
              <w:pStyle w:val="15"/>
            </w:pPr>
            <w:r>
              <w:t>二级指标</w:t>
            </w:r>
          </w:p>
        </w:tc>
        <w:tc>
          <w:tcPr>
            <w:tcW w:w="2835" w:type="dxa"/>
            <w:noWrap w:val="0"/>
            <w:vAlign w:val="center"/>
          </w:tcPr>
          <w:p>
            <w:pPr>
              <w:pStyle w:val="15"/>
            </w:pPr>
            <w:r>
              <w:t>三级指标</w:t>
            </w:r>
          </w:p>
        </w:tc>
        <w:tc>
          <w:tcPr>
            <w:tcW w:w="2835" w:type="dxa"/>
            <w:noWrap w:val="0"/>
            <w:vAlign w:val="center"/>
          </w:tcPr>
          <w:p>
            <w:pPr>
              <w:pStyle w:val="15"/>
            </w:pPr>
            <w:r>
              <w:t>绩效指标描述</w:t>
            </w:r>
          </w:p>
        </w:tc>
        <w:tc>
          <w:tcPr>
            <w:tcW w:w="2551" w:type="dxa"/>
            <w:noWrap w:val="0"/>
            <w:vAlign w:val="center"/>
          </w:tcPr>
          <w:p>
            <w:pPr>
              <w:pStyle w:val="15"/>
            </w:pPr>
            <w:r>
              <w:t>指标值</w:t>
            </w:r>
          </w:p>
        </w:tc>
        <w:tc>
          <w:tcPr>
            <w:tcW w:w="2268" w:type="dxa"/>
            <w:noWrap w:val="0"/>
            <w:vAlign w:val="center"/>
          </w:tcPr>
          <w:p>
            <w:pPr>
              <w:pStyle w:val="15"/>
            </w:pPr>
            <w: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noWrap w:val="0"/>
            <w:vAlign w:val="center"/>
          </w:tcPr>
          <w:p>
            <w:pPr>
              <w:pStyle w:val="17"/>
            </w:pPr>
            <w:r>
              <w:t>产出指标</w:t>
            </w:r>
          </w:p>
        </w:tc>
        <w:tc>
          <w:tcPr>
            <w:tcW w:w="2268" w:type="dxa"/>
            <w:noWrap w:val="0"/>
            <w:vAlign w:val="center"/>
          </w:tcPr>
          <w:p>
            <w:pPr>
              <w:pStyle w:val="16"/>
            </w:pPr>
            <w:r>
              <w:t>数量指标</w:t>
            </w:r>
          </w:p>
        </w:tc>
        <w:tc>
          <w:tcPr>
            <w:tcW w:w="2835" w:type="dxa"/>
            <w:noWrap w:val="0"/>
            <w:vAlign w:val="center"/>
          </w:tcPr>
          <w:p>
            <w:pPr>
              <w:pStyle w:val="16"/>
            </w:pPr>
            <w:r>
              <w:t>业务系统迁移数量</w:t>
            </w:r>
          </w:p>
        </w:tc>
        <w:tc>
          <w:tcPr>
            <w:tcW w:w="2835" w:type="dxa"/>
            <w:noWrap w:val="0"/>
            <w:vAlign w:val="center"/>
          </w:tcPr>
          <w:p>
            <w:pPr>
              <w:pStyle w:val="16"/>
            </w:pPr>
            <w:r>
              <w:t>业务系统迁移上政务云数量</w:t>
            </w:r>
          </w:p>
        </w:tc>
        <w:tc>
          <w:tcPr>
            <w:tcW w:w="2551" w:type="dxa"/>
            <w:noWrap w:val="0"/>
            <w:vAlign w:val="center"/>
          </w:tcPr>
          <w:p>
            <w:pPr>
              <w:pStyle w:val="16"/>
            </w:pPr>
            <w:r>
              <w:t>≥5个</w:t>
            </w:r>
          </w:p>
        </w:tc>
        <w:tc>
          <w:tcPr>
            <w:tcW w:w="2268" w:type="dxa"/>
            <w:noWrap w:val="0"/>
            <w:vAlign w:val="center"/>
          </w:tcPr>
          <w:p>
            <w:pPr>
              <w:pStyle w:val="16"/>
            </w:pPr>
            <w:r>
              <w:t>根据工程实际结果计算</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noWrap w:val="0"/>
            <w:vAlign w:val="center"/>
          </w:tcPr>
          <w:p>
            <w:pPr>
              <w:pStyle w:val="14"/>
            </w:pPr>
          </w:p>
        </w:tc>
        <w:tc>
          <w:tcPr>
            <w:tcW w:w="2268" w:type="dxa"/>
            <w:noWrap w:val="0"/>
            <w:vAlign w:val="center"/>
          </w:tcPr>
          <w:p>
            <w:pPr>
              <w:pStyle w:val="16"/>
            </w:pPr>
            <w:r>
              <w:t>数量指标</w:t>
            </w:r>
          </w:p>
        </w:tc>
        <w:tc>
          <w:tcPr>
            <w:tcW w:w="2835" w:type="dxa"/>
            <w:noWrap w:val="0"/>
            <w:vAlign w:val="center"/>
          </w:tcPr>
          <w:p>
            <w:pPr>
              <w:pStyle w:val="16"/>
            </w:pPr>
            <w:r>
              <w:t>运营中心智能坐席服务</w:t>
            </w:r>
          </w:p>
        </w:tc>
        <w:tc>
          <w:tcPr>
            <w:tcW w:w="2835" w:type="dxa"/>
            <w:noWrap w:val="0"/>
            <w:vAlign w:val="center"/>
          </w:tcPr>
          <w:p>
            <w:pPr>
              <w:pStyle w:val="16"/>
            </w:pPr>
            <w:r>
              <w:t>新型智慧城市运营中心面积</w:t>
            </w:r>
          </w:p>
        </w:tc>
        <w:tc>
          <w:tcPr>
            <w:tcW w:w="2551" w:type="dxa"/>
            <w:noWrap w:val="0"/>
            <w:vAlign w:val="center"/>
          </w:tcPr>
          <w:p>
            <w:pPr>
              <w:pStyle w:val="16"/>
            </w:pPr>
            <w:r>
              <w:t>≥1200平米</w:t>
            </w:r>
          </w:p>
        </w:tc>
        <w:tc>
          <w:tcPr>
            <w:tcW w:w="2268" w:type="dxa"/>
            <w:noWrap w:val="0"/>
            <w:vAlign w:val="center"/>
          </w:tcPr>
          <w:p>
            <w:pPr>
              <w:pStyle w:val="16"/>
            </w:pPr>
            <w:r>
              <w:t>根据工程实际结果计算</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noWrap w:val="0"/>
            <w:vAlign w:val="center"/>
          </w:tcPr>
          <w:p>
            <w:pPr>
              <w:pStyle w:val="14"/>
            </w:pPr>
          </w:p>
        </w:tc>
        <w:tc>
          <w:tcPr>
            <w:tcW w:w="2268" w:type="dxa"/>
            <w:noWrap w:val="0"/>
            <w:vAlign w:val="center"/>
          </w:tcPr>
          <w:p>
            <w:pPr>
              <w:pStyle w:val="16"/>
            </w:pPr>
            <w:r>
              <w:t>数量指标</w:t>
            </w:r>
          </w:p>
        </w:tc>
        <w:tc>
          <w:tcPr>
            <w:tcW w:w="2835" w:type="dxa"/>
            <w:noWrap w:val="0"/>
            <w:vAlign w:val="center"/>
          </w:tcPr>
          <w:p>
            <w:pPr>
              <w:pStyle w:val="16"/>
            </w:pPr>
            <w:r>
              <w:t>运营中心可视化服务</w:t>
            </w:r>
          </w:p>
        </w:tc>
        <w:tc>
          <w:tcPr>
            <w:tcW w:w="2835" w:type="dxa"/>
            <w:noWrap w:val="0"/>
            <w:vAlign w:val="center"/>
          </w:tcPr>
          <w:p>
            <w:pPr>
              <w:pStyle w:val="16"/>
            </w:pPr>
            <w:r>
              <w:t>新型智慧城市运营中心可视化大屏面积</w:t>
            </w:r>
          </w:p>
        </w:tc>
        <w:tc>
          <w:tcPr>
            <w:tcW w:w="2551" w:type="dxa"/>
            <w:noWrap w:val="0"/>
            <w:vAlign w:val="center"/>
          </w:tcPr>
          <w:p>
            <w:pPr>
              <w:pStyle w:val="16"/>
            </w:pPr>
            <w:r>
              <w:t>≥100平米</w:t>
            </w:r>
          </w:p>
        </w:tc>
        <w:tc>
          <w:tcPr>
            <w:tcW w:w="2268" w:type="dxa"/>
            <w:noWrap w:val="0"/>
            <w:vAlign w:val="center"/>
          </w:tcPr>
          <w:p>
            <w:pPr>
              <w:pStyle w:val="16"/>
            </w:pPr>
            <w:r>
              <w:t>根据工程实际结果计算</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noWrap w:val="0"/>
            <w:vAlign w:val="center"/>
          </w:tcPr>
          <w:p>
            <w:pPr>
              <w:pStyle w:val="14"/>
            </w:pPr>
          </w:p>
        </w:tc>
        <w:tc>
          <w:tcPr>
            <w:tcW w:w="2268" w:type="dxa"/>
            <w:noWrap w:val="0"/>
            <w:vAlign w:val="center"/>
          </w:tcPr>
          <w:p>
            <w:pPr>
              <w:pStyle w:val="16"/>
            </w:pPr>
            <w:r>
              <w:t>数量指标</w:t>
            </w:r>
          </w:p>
        </w:tc>
        <w:tc>
          <w:tcPr>
            <w:tcW w:w="2835" w:type="dxa"/>
            <w:noWrap w:val="0"/>
            <w:vAlign w:val="center"/>
          </w:tcPr>
          <w:p>
            <w:pPr>
              <w:pStyle w:val="16"/>
            </w:pPr>
            <w:r>
              <w:t>数据库建设中，数据归集单位数量</w:t>
            </w:r>
          </w:p>
        </w:tc>
        <w:tc>
          <w:tcPr>
            <w:tcW w:w="2835" w:type="dxa"/>
            <w:noWrap w:val="0"/>
            <w:vAlign w:val="center"/>
          </w:tcPr>
          <w:p>
            <w:pPr>
              <w:pStyle w:val="16"/>
            </w:pPr>
            <w:r>
              <w:t>新型智慧城市数据库建设中，数据归集单位数量</w:t>
            </w:r>
          </w:p>
        </w:tc>
        <w:tc>
          <w:tcPr>
            <w:tcW w:w="2551" w:type="dxa"/>
            <w:noWrap w:val="0"/>
            <w:vAlign w:val="center"/>
          </w:tcPr>
          <w:p>
            <w:pPr>
              <w:pStyle w:val="16"/>
            </w:pPr>
            <w:r>
              <w:t>≥7个</w:t>
            </w:r>
          </w:p>
        </w:tc>
        <w:tc>
          <w:tcPr>
            <w:tcW w:w="2268" w:type="dxa"/>
            <w:noWrap w:val="0"/>
            <w:vAlign w:val="center"/>
          </w:tcPr>
          <w:p>
            <w:pPr>
              <w:pStyle w:val="16"/>
            </w:pPr>
            <w:r>
              <w:t>根据工程实际结果计算</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noWrap w:val="0"/>
            <w:vAlign w:val="center"/>
          </w:tcPr>
          <w:p>
            <w:pPr>
              <w:pStyle w:val="14"/>
            </w:pPr>
          </w:p>
        </w:tc>
        <w:tc>
          <w:tcPr>
            <w:tcW w:w="2268" w:type="dxa"/>
            <w:noWrap w:val="0"/>
            <w:vAlign w:val="center"/>
          </w:tcPr>
          <w:p>
            <w:pPr>
              <w:pStyle w:val="16"/>
            </w:pPr>
            <w:r>
              <w:t>质量指标</w:t>
            </w:r>
          </w:p>
        </w:tc>
        <w:tc>
          <w:tcPr>
            <w:tcW w:w="2835" w:type="dxa"/>
            <w:noWrap w:val="0"/>
            <w:vAlign w:val="center"/>
          </w:tcPr>
          <w:p>
            <w:pPr>
              <w:pStyle w:val="16"/>
            </w:pPr>
            <w:r>
              <w:t>安全体系建设后，服务中断时间</w:t>
            </w:r>
          </w:p>
        </w:tc>
        <w:tc>
          <w:tcPr>
            <w:tcW w:w="2835" w:type="dxa"/>
            <w:noWrap w:val="0"/>
            <w:vAlign w:val="center"/>
          </w:tcPr>
          <w:p>
            <w:pPr>
              <w:pStyle w:val="16"/>
            </w:pPr>
            <w:r>
              <w:t>新型智慧城市安全体系建设后，服务中断时间</w:t>
            </w:r>
          </w:p>
        </w:tc>
        <w:tc>
          <w:tcPr>
            <w:tcW w:w="2551" w:type="dxa"/>
            <w:noWrap w:val="0"/>
            <w:vAlign w:val="center"/>
          </w:tcPr>
          <w:p>
            <w:pPr>
              <w:pStyle w:val="16"/>
            </w:pPr>
            <w:r>
              <w:t>≤30分钟</w:t>
            </w:r>
          </w:p>
        </w:tc>
        <w:tc>
          <w:tcPr>
            <w:tcW w:w="2268" w:type="dxa"/>
            <w:noWrap w:val="0"/>
            <w:vAlign w:val="center"/>
          </w:tcPr>
          <w:p>
            <w:pPr>
              <w:pStyle w:val="16"/>
            </w:pPr>
            <w:r>
              <w:t>故障报告</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noWrap w:val="0"/>
            <w:vAlign w:val="center"/>
          </w:tcPr>
          <w:p>
            <w:pPr>
              <w:pStyle w:val="14"/>
            </w:pPr>
          </w:p>
        </w:tc>
        <w:tc>
          <w:tcPr>
            <w:tcW w:w="2268" w:type="dxa"/>
            <w:noWrap w:val="0"/>
            <w:vAlign w:val="center"/>
          </w:tcPr>
          <w:p>
            <w:pPr>
              <w:pStyle w:val="16"/>
            </w:pPr>
            <w:r>
              <w:t>时效指标</w:t>
            </w:r>
          </w:p>
        </w:tc>
        <w:tc>
          <w:tcPr>
            <w:tcW w:w="2835" w:type="dxa"/>
            <w:noWrap w:val="0"/>
            <w:vAlign w:val="center"/>
          </w:tcPr>
          <w:p>
            <w:pPr>
              <w:pStyle w:val="16"/>
            </w:pPr>
            <w:r>
              <w:t>完成及时率</w:t>
            </w:r>
          </w:p>
        </w:tc>
        <w:tc>
          <w:tcPr>
            <w:tcW w:w="2835" w:type="dxa"/>
            <w:noWrap w:val="0"/>
            <w:vAlign w:val="center"/>
          </w:tcPr>
          <w:p>
            <w:pPr>
              <w:pStyle w:val="16"/>
            </w:pPr>
            <w:r>
              <w:t>项目根据工作计划完成及时率</w:t>
            </w:r>
          </w:p>
        </w:tc>
        <w:tc>
          <w:tcPr>
            <w:tcW w:w="2551" w:type="dxa"/>
            <w:noWrap w:val="0"/>
            <w:vAlign w:val="center"/>
          </w:tcPr>
          <w:p>
            <w:pPr>
              <w:pStyle w:val="16"/>
            </w:pPr>
            <w:r>
              <w:t>≥95%</w:t>
            </w:r>
          </w:p>
        </w:tc>
        <w:tc>
          <w:tcPr>
            <w:tcW w:w="2268" w:type="dxa"/>
            <w:noWrap w:val="0"/>
            <w:vAlign w:val="center"/>
          </w:tcPr>
          <w:p>
            <w:pPr>
              <w:pStyle w:val="16"/>
            </w:pPr>
            <w:r>
              <w:t>按照工作开展计划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noWrap w:val="0"/>
            <w:vAlign w:val="center"/>
          </w:tcPr>
          <w:p>
            <w:pPr>
              <w:pStyle w:val="14"/>
            </w:pPr>
          </w:p>
        </w:tc>
        <w:tc>
          <w:tcPr>
            <w:tcW w:w="2268" w:type="dxa"/>
            <w:noWrap w:val="0"/>
            <w:vAlign w:val="center"/>
          </w:tcPr>
          <w:p>
            <w:pPr>
              <w:pStyle w:val="16"/>
            </w:pPr>
            <w:r>
              <w:t>成本指标</w:t>
            </w:r>
          </w:p>
        </w:tc>
        <w:tc>
          <w:tcPr>
            <w:tcW w:w="2835" w:type="dxa"/>
            <w:noWrap w:val="0"/>
            <w:vAlign w:val="center"/>
          </w:tcPr>
          <w:p>
            <w:pPr>
              <w:pStyle w:val="16"/>
            </w:pPr>
            <w:r>
              <w:t>采购资金节约率</w:t>
            </w:r>
          </w:p>
        </w:tc>
        <w:tc>
          <w:tcPr>
            <w:tcW w:w="2835" w:type="dxa"/>
            <w:noWrap w:val="0"/>
            <w:vAlign w:val="center"/>
          </w:tcPr>
          <w:p>
            <w:pPr>
              <w:pStyle w:val="16"/>
            </w:pPr>
            <w:r>
              <w:t>采购预算和中标金额比率</w:t>
            </w:r>
          </w:p>
        </w:tc>
        <w:tc>
          <w:tcPr>
            <w:tcW w:w="2551" w:type="dxa"/>
            <w:noWrap w:val="0"/>
            <w:vAlign w:val="center"/>
          </w:tcPr>
          <w:p>
            <w:pPr>
              <w:pStyle w:val="16"/>
            </w:pPr>
            <w:r>
              <w:t>≥100%</w:t>
            </w:r>
          </w:p>
        </w:tc>
        <w:tc>
          <w:tcPr>
            <w:tcW w:w="2268" w:type="dxa"/>
            <w:noWrap w:val="0"/>
            <w:vAlign w:val="center"/>
          </w:tcPr>
          <w:p>
            <w:pPr>
              <w:pStyle w:val="16"/>
            </w:pPr>
            <w:r>
              <w:t>中标通知书</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noWrap w:val="0"/>
            <w:vAlign w:val="center"/>
          </w:tcPr>
          <w:p>
            <w:pPr>
              <w:pStyle w:val="17"/>
            </w:pPr>
            <w:r>
              <w:t>效益指标</w:t>
            </w:r>
          </w:p>
        </w:tc>
        <w:tc>
          <w:tcPr>
            <w:tcW w:w="2268" w:type="dxa"/>
            <w:noWrap w:val="0"/>
            <w:vAlign w:val="center"/>
          </w:tcPr>
          <w:p>
            <w:pPr>
              <w:pStyle w:val="16"/>
            </w:pPr>
            <w:r>
              <w:t>社会效益指标</w:t>
            </w:r>
          </w:p>
        </w:tc>
        <w:tc>
          <w:tcPr>
            <w:tcW w:w="2835" w:type="dxa"/>
            <w:noWrap w:val="0"/>
            <w:vAlign w:val="center"/>
          </w:tcPr>
          <w:p>
            <w:pPr>
              <w:pStyle w:val="16"/>
            </w:pPr>
            <w:r>
              <w:t>廊坊新型智慧城市美誉度</w:t>
            </w:r>
          </w:p>
        </w:tc>
        <w:tc>
          <w:tcPr>
            <w:tcW w:w="2835" w:type="dxa"/>
            <w:noWrap w:val="0"/>
            <w:vAlign w:val="center"/>
          </w:tcPr>
          <w:p>
            <w:pPr>
              <w:pStyle w:val="16"/>
            </w:pPr>
            <w:r>
              <w:t>廊坊新型智慧城市项目在主流媒体上正向报道次量</w:t>
            </w:r>
          </w:p>
        </w:tc>
        <w:tc>
          <w:tcPr>
            <w:tcW w:w="2551" w:type="dxa"/>
            <w:noWrap w:val="0"/>
            <w:vAlign w:val="center"/>
          </w:tcPr>
          <w:p>
            <w:pPr>
              <w:pStyle w:val="16"/>
            </w:pPr>
            <w:r>
              <w:t>≥5　次</w:t>
            </w:r>
          </w:p>
        </w:tc>
        <w:tc>
          <w:tcPr>
            <w:tcW w:w="2268" w:type="dxa"/>
            <w:noWrap w:val="0"/>
            <w:vAlign w:val="center"/>
          </w:tcPr>
          <w:p>
            <w:pPr>
              <w:pStyle w:val="16"/>
            </w:pPr>
            <w:r>
              <w:t>实际开展情况</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noWrap w:val="0"/>
            <w:vAlign w:val="center"/>
          </w:tcPr>
          <w:p>
            <w:pPr>
              <w:pStyle w:val="14"/>
            </w:pPr>
          </w:p>
        </w:tc>
        <w:tc>
          <w:tcPr>
            <w:tcW w:w="2268" w:type="dxa"/>
            <w:noWrap w:val="0"/>
            <w:vAlign w:val="center"/>
          </w:tcPr>
          <w:p>
            <w:pPr>
              <w:pStyle w:val="16"/>
            </w:pPr>
            <w:r>
              <w:t>可持续影响指标</w:t>
            </w:r>
          </w:p>
        </w:tc>
        <w:tc>
          <w:tcPr>
            <w:tcW w:w="2835" w:type="dxa"/>
            <w:noWrap w:val="0"/>
            <w:vAlign w:val="center"/>
          </w:tcPr>
          <w:p>
            <w:pPr>
              <w:pStyle w:val="16"/>
            </w:pPr>
            <w:r>
              <w:t>提升我市新型智慧城市建设水平　</w:t>
            </w:r>
          </w:p>
        </w:tc>
        <w:tc>
          <w:tcPr>
            <w:tcW w:w="2835" w:type="dxa"/>
            <w:noWrap w:val="0"/>
            <w:vAlign w:val="center"/>
          </w:tcPr>
          <w:p>
            <w:pPr>
              <w:pStyle w:val="16"/>
            </w:pPr>
            <w:r>
              <w:t>提升我市新型智慧城市建设水平</w:t>
            </w:r>
          </w:p>
        </w:tc>
        <w:tc>
          <w:tcPr>
            <w:tcW w:w="2551" w:type="dxa"/>
            <w:noWrap w:val="0"/>
            <w:vAlign w:val="center"/>
          </w:tcPr>
          <w:p>
            <w:pPr>
              <w:pStyle w:val="16"/>
            </w:pPr>
            <w:r>
              <w:t>提升</w:t>
            </w:r>
          </w:p>
        </w:tc>
        <w:tc>
          <w:tcPr>
            <w:tcW w:w="2268" w:type="dxa"/>
            <w:noWrap w:val="0"/>
            <w:vAlign w:val="center"/>
          </w:tcPr>
          <w:p>
            <w:pPr>
              <w:pStyle w:val="16"/>
            </w:pPr>
            <w:r>
              <w:t>工作总结</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noWrap w:val="0"/>
            <w:vAlign w:val="center"/>
          </w:tcPr>
          <w:p>
            <w:pPr>
              <w:pStyle w:val="17"/>
            </w:pPr>
            <w:r>
              <w:t>满意度指标</w:t>
            </w:r>
          </w:p>
        </w:tc>
        <w:tc>
          <w:tcPr>
            <w:tcW w:w="2268" w:type="dxa"/>
            <w:noWrap w:val="0"/>
            <w:vAlign w:val="center"/>
          </w:tcPr>
          <w:p>
            <w:pPr>
              <w:pStyle w:val="16"/>
            </w:pPr>
            <w:r>
              <w:t>服务对象满意度指标</w:t>
            </w:r>
          </w:p>
        </w:tc>
        <w:tc>
          <w:tcPr>
            <w:tcW w:w="2835" w:type="dxa"/>
            <w:noWrap w:val="0"/>
            <w:vAlign w:val="center"/>
          </w:tcPr>
          <w:p>
            <w:pPr>
              <w:pStyle w:val="16"/>
            </w:pPr>
            <w:r>
              <w:t>市民/企业满意度</w:t>
            </w:r>
          </w:p>
        </w:tc>
        <w:tc>
          <w:tcPr>
            <w:tcW w:w="2835" w:type="dxa"/>
            <w:noWrap w:val="0"/>
            <w:vAlign w:val="center"/>
          </w:tcPr>
          <w:p>
            <w:pPr>
              <w:pStyle w:val="16"/>
            </w:pPr>
            <w:r>
              <w:t>市民/企业对智慧城市项目提供的便民、便企服务的满意度</w:t>
            </w:r>
          </w:p>
        </w:tc>
        <w:tc>
          <w:tcPr>
            <w:tcW w:w="2551" w:type="dxa"/>
            <w:noWrap w:val="0"/>
            <w:vAlign w:val="center"/>
          </w:tcPr>
          <w:p>
            <w:pPr>
              <w:pStyle w:val="16"/>
            </w:pPr>
            <w:r>
              <w:t>≥90%</w:t>
            </w:r>
          </w:p>
        </w:tc>
        <w:tc>
          <w:tcPr>
            <w:tcW w:w="2268" w:type="dxa"/>
            <w:noWrap w:val="0"/>
            <w:vAlign w:val="center"/>
          </w:tcPr>
          <w:p>
            <w:pPr>
              <w:pStyle w:val="16"/>
            </w:pPr>
            <w:r>
              <w:t>调研问卷</w:t>
            </w:r>
          </w:p>
        </w:tc>
      </w:tr>
    </w:tbl>
    <w:p>
      <w:pPr>
        <w:pStyle w:val="14"/>
      </w:pPr>
    </w:p>
    <w:p>
      <w:pPr>
        <w:pStyle w:val="14"/>
        <w:ind w:firstLine="560"/>
      </w:pPr>
      <w:r>
        <w:rPr>
          <w:rFonts w:hint="eastAsia" w:ascii="方正仿宋_GBK" w:hAnsi="方正仿宋_GBK" w:eastAsia="方正仿宋_GBK" w:cs="方正仿宋_GBK"/>
          <w:b/>
          <w:color w:val="000000"/>
          <w:sz w:val="28"/>
          <w:lang w:val="en-US" w:eastAsia="zh-CN"/>
        </w:rPr>
        <w:t>5</w:t>
      </w:r>
      <w:r>
        <w:rPr>
          <w:rFonts w:ascii="方正仿宋_GBK" w:hAnsi="方正仿宋_GBK" w:eastAsia="方正仿宋_GBK" w:cs="方正仿宋_GBK"/>
          <w:b/>
          <w:color w:val="000000"/>
          <w:sz w:val="28"/>
        </w:rPr>
        <w:t>、网络安全及舆情监控管理工作经费绩效目标表</w:t>
      </w:r>
    </w:p>
    <w:tbl>
      <w:tblPr>
        <w:tblStyle w:val="4"/>
        <w:tblW w:w="14173" w:type="dxa"/>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1417"/>
        <w:gridCol w:w="12756"/>
      </w:tblGrid>
      <w:tr>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1417" w:type="dxa"/>
            <w:tcBorders>
              <w:bottom w:val="single" w:color="FFFFFF" w:sz="6" w:space="0"/>
            </w:tcBorders>
            <w:noWrap w:val="0"/>
            <w:vAlign w:val="center"/>
          </w:tcPr>
          <w:p>
            <w:pPr>
              <w:pStyle w:val="15"/>
            </w:pPr>
            <w:r>
              <w:t>绩效目标</w:t>
            </w:r>
          </w:p>
        </w:tc>
        <w:tc>
          <w:tcPr>
            <w:tcW w:w="12756" w:type="dxa"/>
            <w:tcBorders>
              <w:bottom w:val="single" w:color="FFFFFF" w:sz="6" w:space="0"/>
            </w:tcBorders>
            <w:noWrap w:val="0"/>
            <w:vAlign w:val="center"/>
          </w:tcPr>
          <w:p>
            <w:pPr>
              <w:pStyle w:val="16"/>
            </w:pPr>
            <w:r>
              <w:t>1.通过项目实施，有效提升我市互联网舆情监测、分析、研判、处置水平，以及网上各类违法和不良信息线索举报能力，确保我市网上舆论平稳有序，网络空间风清气正。通过网络安全应急指挥系统（网络舆情大数据分析系统，属地网络内容管理巡查系统，单一事件舆情应急指挥）服务，逐步构建上下贯通、指挥顺畅、行动高效的全市网络应急指挥一体化工作格局，提高网络安全应急指挥能力，有效维护网上政治安全和意识形态安全。通过开展各类活动项目和系列检查工作，查找隐患，及时整改，提升全民网络安全防护意识，强化网络安全防护水平。在国家网络安全宣传周期间组织开展系列网络安全宣传活动，提高宣传受众范围，针对各类群体进行精准宣传，确保网络安全意知识和防护技能深入人心。</w:t>
            </w:r>
          </w:p>
        </w:tc>
      </w:tr>
    </w:tbl>
    <w:p>
      <w:pPr>
        <w:pStyle w:val="14"/>
        <w:spacing w:line="2" w:lineRule="exact"/>
        <w:jc w:val="center"/>
      </w:pPr>
      <w:r>
        <w:rPr>
          <w:rFonts w:ascii="方正书宋_GBK" w:hAnsi="方正书宋_GBK" w:eastAsia="方正书宋_GBK" w:cs="方正书宋_GBK"/>
          <w:color w:val="000000"/>
          <w:sz w:val="18"/>
        </w:rPr>
        <w:t xml:space="preserve"> </w:t>
      </w:r>
    </w:p>
    <w:tbl>
      <w:tblPr>
        <w:tblStyle w:val="4"/>
        <w:tblW w:w="1417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7"/>
        <w:gridCol w:w="2268"/>
        <w:gridCol w:w="2835"/>
        <w:gridCol w:w="2835"/>
        <w:gridCol w:w="2551"/>
        <w:gridCol w:w="226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417" w:type="dxa"/>
            <w:noWrap w:val="0"/>
            <w:vAlign w:val="center"/>
          </w:tcPr>
          <w:p>
            <w:pPr>
              <w:pStyle w:val="15"/>
            </w:pPr>
            <w:r>
              <w:t>一级指标</w:t>
            </w:r>
          </w:p>
        </w:tc>
        <w:tc>
          <w:tcPr>
            <w:tcW w:w="2268" w:type="dxa"/>
            <w:noWrap w:val="0"/>
            <w:vAlign w:val="center"/>
          </w:tcPr>
          <w:p>
            <w:pPr>
              <w:pStyle w:val="15"/>
            </w:pPr>
            <w:r>
              <w:t>二级指标</w:t>
            </w:r>
          </w:p>
        </w:tc>
        <w:tc>
          <w:tcPr>
            <w:tcW w:w="2835" w:type="dxa"/>
            <w:noWrap w:val="0"/>
            <w:vAlign w:val="center"/>
          </w:tcPr>
          <w:p>
            <w:pPr>
              <w:pStyle w:val="15"/>
            </w:pPr>
            <w:r>
              <w:t>三级指标</w:t>
            </w:r>
          </w:p>
        </w:tc>
        <w:tc>
          <w:tcPr>
            <w:tcW w:w="2835" w:type="dxa"/>
            <w:noWrap w:val="0"/>
            <w:vAlign w:val="center"/>
          </w:tcPr>
          <w:p>
            <w:pPr>
              <w:pStyle w:val="15"/>
            </w:pPr>
            <w:r>
              <w:t>绩效指标描述</w:t>
            </w:r>
          </w:p>
        </w:tc>
        <w:tc>
          <w:tcPr>
            <w:tcW w:w="2551" w:type="dxa"/>
            <w:noWrap w:val="0"/>
            <w:vAlign w:val="center"/>
          </w:tcPr>
          <w:p>
            <w:pPr>
              <w:pStyle w:val="15"/>
            </w:pPr>
            <w:r>
              <w:t>指标值</w:t>
            </w:r>
          </w:p>
        </w:tc>
        <w:tc>
          <w:tcPr>
            <w:tcW w:w="2268" w:type="dxa"/>
            <w:noWrap w:val="0"/>
            <w:vAlign w:val="center"/>
          </w:tcPr>
          <w:p>
            <w:pPr>
              <w:pStyle w:val="15"/>
            </w:pPr>
            <w: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noWrap w:val="0"/>
            <w:vAlign w:val="center"/>
          </w:tcPr>
          <w:p>
            <w:pPr>
              <w:pStyle w:val="17"/>
            </w:pPr>
            <w:r>
              <w:t>产出指标</w:t>
            </w:r>
          </w:p>
        </w:tc>
        <w:tc>
          <w:tcPr>
            <w:tcW w:w="2268" w:type="dxa"/>
            <w:noWrap w:val="0"/>
            <w:vAlign w:val="center"/>
          </w:tcPr>
          <w:p>
            <w:pPr>
              <w:pStyle w:val="16"/>
            </w:pPr>
            <w:r>
              <w:t>数量指标</w:t>
            </w:r>
          </w:p>
        </w:tc>
        <w:tc>
          <w:tcPr>
            <w:tcW w:w="2835" w:type="dxa"/>
            <w:noWrap w:val="0"/>
            <w:vAlign w:val="center"/>
          </w:tcPr>
          <w:p>
            <w:pPr>
              <w:pStyle w:val="16"/>
            </w:pPr>
            <w:r>
              <w:t>网络舆情监测数据采集量　</w:t>
            </w:r>
          </w:p>
        </w:tc>
        <w:tc>
          <w:tcPr>
            <w:tcW w:w="2835" w:type="dxa"/>
            <w:noWrap w:val="0"/>
            <w:vAlign w:val="center"/>
          </w:tcPr>
          <w:p>
            <w:pPr>
              <w:pStyle w:val="16"/>
            </w:pPr>
            <w:r>
              <w:t>全年网络舆情监测数据采集总量　</w:t>
            </w:r>
          </w:p>
        </w:tc>
        <w:tc>
          <w:tcPr>
            <w:tcW w:w="2551" w:type="dxa"/>
            <w:noWrap w:val="0"/>
            <w:vAlign w:val="center"/>
          </w:tcPr>
          <w:p>
            <w:pPr>
              <w:pStyle w:val="16"/>
            </w:pPr>
            <w:r>
              <w:t>≥5000000条</w:t>
            </w:r>
          </w:p>
        </w:tc>
        <w:tc>
          <w:tcPr>
            <w:tcW w:w="2268" w:type="dxa"/>
            <w:noWrap w:val="0"/>
            <w:vAlign w:val="center"/>
          </w:tcPr>
          <w:p>
            <w:pPr>
              <w:pStyle w:val="16"/>
            </w:pPr>
            <w:r>
              <w:t>系统后台数据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noWrap w:val="0"/>
            <w:vAlign w:val="center"/>
          </w:tcPr>
          <w:p>
            <w:pPr>
              <w:pStyle w:val="14"/>
            </w:pPr>
          </w:p>
        </w:tc>
        <w:tc>
          <w:tcPr>
            <w:tcW w:w="2268" w:type="dxa"/>
            <w:noWrap w:val="0"/>
            <w:vAlign w:val="center"/>
          </w:tcPr>
          <w:p>
            <w:pPr>
              <w:pStyle w:val="16"/>
            </w:pPr>
            <w:r>
              <w:t>数量指标</w:t>
            </w:r>
          </w:p>
        </w:tc>
        <w:tc>
          <w:tcPr>
            <w:tcW w:w="2835" w:type="dxa"/>
            <w:noWrap w:val="0"/>
            <w:vAlign w:val="center"/>
          </w:tcPr>
          <w:p>
            <w:pPr>
              <w:pStyle w:val="16"/>
            </w:pPr>
            <w:r>
              <w:t>落实省应急指令数量</w:t>
            </w:r>
          </w:p>
        </w:tc>
        <w:tc>
          <w:tcPr>
            <w:tcW w:w="2835" w:type="dxa"/>
            <w:noWrap w:val="0"/>
            <w:vAlign w:val="center"/>
          </w:tcPr>
          <w:p>
            <w:pPr>
              <w:pStyle w:val="16"/>
            </w:pPr>
            <w:r>
              <w:t>有效落实省应急指令，实现渉政类有害信息及时清除</w:t>
            </w:r>
          </w:p>
        </w:tc>
        <w:tc>
          <w:tcPr>
            <w:tcW w:w="2551" w:type="dxa"/>
            <w:noWrap w:val="0"/>
            <w:vAlign w:val="center"/>
          </w:tcPr>
          <w:p>
            <w:pPr>
              <w:pStyle w:val="16"/>
            </w:pPr>
            <w:r>
              <w:t>≥30条</w:t>
            </w:r>
          </w:p>
        </w:tc>
        <w:tc>
          <w:tcPr>
            <w:tcW w:w="2268" w:type="dxa"/>
            <w:noWrap w:val="0"/>
            <w:vAlign w:val="center"/>
          </w:tcPr>
          <w:p>
            <w:pPr>
              <w:pStyle w:val="16"/>
            </w:pPr>
            <w:r>
              <w:t>指令台账</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noWrap w:val="0"/>
            <w:vAlign w:val="center"/>
          </w:tcPr>
          <w:p>
            <w:pPr>
              <w:pStyle w:val="14"/>
            </w:pPr>
          </w:p>
        </w:tc>
        <w:tc>
          <w:tcPr>
            <w:tcW w:w="2268" w:type="dxa"/>
            <w:noWrap w:val="0"/>
            <w:vAlign w:val="center"/>
          </w:tcPr>
          <w:p>
            <w:pPr>
              <w:pStyle w:val="16"/>
            </w:pPr>
            <w:r>
              <w:t>质量指标</w:t>
            </w:r>
          </w:p>
        </w:tc>
        <w:tc>
          <w:tcPr>
            <w:tcW w:w="2835" w:type="dxa"/>
            <w:noWrap w:val="0"/>
            <w:vAlign w:val="center"/>
          </w:tcPr>
          <w:p>
            <w:pPr>
              <w:pStyle w:val="16"/>
            </w:pPr>
            <w:r>
              <w:t>专项检查发现问题通报率</w:t>
            </w:r>
          </w:p>
        </w:tc>
        <w:tc>
          <w:tcPr>
            <w:tcW w:w="2835" w:type="dxa"/>
            <w:noWrap w:val="0"/>
            <w:vAlign w:val="center"/>
          </w:tcPr>
          <w:p>
            <w:pPr>
              <w:pStyle w:val="16"/>
            </w:pPr>
            <w:r>
              <w:t>对检查中发现问题下发责令整改通知单与发现问题单位数量比率</w:t>
            </w:r>
          </w:p>
        </w:tc>
        <w:tc>
          <w:tcPr>
            <w:tcW w:w="2551" w:type="dxa"/>
            <w:noWrap w:val="0"/>
            <w:vAlign w:val="center"/>
          </w:tcPr>
          <w:p>
            <w:pPr>
              <w:pStyle w:val="16"/>
            </w:pPr>
            <w:r>
              <w:t>≥80%</w:t>
            </w:r>
          </w:p>
        </w:tc>
        <w:tc>
          <w:tcPr>
            <w:tcW w:w="2268" w:type="dxa"/>
            <w:noWrap w:val="0"/>
            <w:vAlign w:val="center"/>
          </w:tcPr>
          <w:p>
            <w:pPr>
              <w:pStyle w:val="16"/>
            </w:pPr>
            <w:r>
              <w:t>责令整改通知单期数</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noWrap w:val="0"/>
            <w:vAlign w:val="center"/>
          </w:tcPr>
          <w:p>
            <w:pPr>
              <w:pStyle w:val="14"/>
            </w:pPr>
          </w:p>
        </w:tc>
        <w:tc>
          <w:tcPr>
            <w:tcW w:w="2268" w:type="dxa"/>
            <w:noWrap w:val="0"/>
            <w:vAlign w:val="center"/>
          </w:tcPr>
          <w:p>
            <w:pPr>
              <w:pStyle w:val="16"/>
            </w:pPr>
            <w:r>
              <w:t>质量指标</w:t>
            </w:r>
          </w:p>
        </w:tc>
        <w:tc>
          <w:tcPr>
            <w:tcW w:w="2835" w:type="dxa"/>
            <w:noWrap w:val="0"/>
            <w:vAlign w:val="center"/>
          </w:tcPr>
          <w:p>
            <w:pPr>
              <w:pStyle w:val="16"/>
            </w:pPr>
            <w:r>
              <w:t>重要网络舆情事件预警率</w:t>
            </w:r>
          </w:p>
        </w:tc>
        <w:tc>
          <w:tcPr>
            <w:tcW w:w="2835" w:type="dxa"/>
            <w:noWrap w:val="0"/>
            <w:vAlign w:val="center"/>
          </w:tcPr>
          <w:p>
            <w:pPr>
              <w:pStyle w:val="16"/>
            </w:pPr>
            <w:r>
              <w:t>重要网络舆情事件及时预警　</w:t>
            </w:r>
          </w:p>
        </w:tc>
        <w:tc>
          <w:tcPr>
            <w:tcW w:w="2551" w:type="dxa"/>
            <w:noWrap w:val="0"/>
            <w:vAlign w:val="center"/>
          </w:tcPr>
          <w:p>
            <w:pPr>
              <w:pStyle w:val="16"/>
            </w:pPr>
            <w:r>
              <w:t>≥95%</w:t>
            </w:r>
          </w:p>
        </w:tc>
        <w:tc>
          <w:tcPr>
            <w:tcW w:w="2268" w:type="dxa"/>
            <w:noWrap w:val="0"/>
            <w:vAlign w:val="center"/>
          </w:tcPr>
          <w:p>
            <w:pPr>
              <w:pStyle w:val="16"/>
            </w:pPr>
            <w:r>
              <w:t>省舆情应对量化情况通报</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noWrap w:val="0"/>
            <w:vAlign w:val="center"/>
          </w:tcPr>
          <w:p>
            <w:pPr>
              <w:pStyle w:val="14"/>
            </w:pPr>
          </w:p>
        </w:tc>
        <w:tc>
          <w:tcPr>
            <w:tcW w:w="2268" w:type="dxa"/>
            <w:noWrap w:val="0"/>
            <w:vAlign w:val="center"/>
          </w:tcPr>
          <w:p>
            <w:pPr>
              <w:pStyle w:val="16"/>
            </w:pPr>
            <w:r>
              <w:t>时效指标</w:t>
            </w:r>
          </w:p>
        </w:tc>
        <w:tc>
          <w:tcPr>
            <w:tcW w:w="2835" w:type="dxa"/>
            <w:noWrap w:val="0"/>
            <w:vAlign w:val="center"/>
          </w:tcPr>
          <w:p>
            <w:pPr>
              <w:pStyle w:val="16"/>
            </w:pPr>
            <w:r>
              <w:t>重大突发舆情发现应对及时性　</w:t>
            </w:r>
          </w:p>
        </w:tc>
        <w:tc>
          <w:tcPr>
            <w:tcW w:w="2835" w:type="dxa"/>
            <w:noWrap w:val="0"/>
            <w:vAlign w:val="center"/>
          </w:tcPr>
          <w:p>
            <w:pPr>
              <w:pStyle w:val="16"/>
            </w:pPr>
            <w:r>
              <w:t>重大舆情发现上报时限　</w:t>
            </w:r>
          </w:p>
        </w:tc>
        <w:tc>
          <w:tcPr>
            <w:tcW w:w="2551" w:type="dxa"/>
            <w:noWrap w:val="0"/>
            <w:vAlign w:val="center"/>
          </w:tcPr>
          <w:p>
            <w:pPr>
              <w:pStyle w:val="16"/>
            </w:pPr>
            <w:r>
              <w:t>≤0.5小时　</w:t>
            </w:r>
          </w:p>
        </w:tc>
        <w:tc>
          <w:tcPr>
            <w:tcW w:w="2268" w:type="dxa"/>
            <w:noWrap w:val="0"/>
            <w:vAlign w:val="center"/>
          </w:tcPr>
          <w:p>
            <w:pPr>
              <w:pStyle w:val="16"/>
            </w:pPr>
            <w:r>
              <w:t>网络舆情应急处置预案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noWrap w:val="0"/>
            <w:vAlign w:val="center"/>
          </w:tcPr>
          <w:p>
            <w:pPr>
              <w:pStyle w:val="14"/>
            </w:pPr>
          </w:p>
        </w:tc>
        <w:tc>
          <w:tcPr>
            <w:tcW w:w="2268" w:type="dxa"/>
            <w:noWrap w:val="0"/>
            <w:vAlign w:val="center"/>
          </w:tcPr>
          <w:p>
            <w:pPr>
              <w:pStyle w:val="16"/>
            </w:pPr>
            <w:r>
              <w:t>时效指标</w:t>
            </w:r>
          </w:p>
        </w:tc>
        <w:tc>
          <w:tcPr>
            <w:tcW w:w="2835" w:type="dxa"/>
            <w:noWrap w:val="0"/>
            <w:vAlign w:val="center"/>
          </w:tcPr>
          <w:p>
            <w:pPr>
              <w:pStyle w:val="16"/>
            </w:pPr>
            <w:r>
              <w:t>网络舆情数据抓取及时性　</w:t>
            </w:r>
          </w:p>
        </w:tc>
        <w:tc>
          <w:tcPr>
            <w:tcW w:w="2835" w:type="dxa"/>
            <w:noWrap w:val="0"/>
            <w:vAlign w:val="center"/>
          </w:tcPr>
          <w:p>
            <w:pPr>
              <w:pStyle w:val="16"/>
            </w:pPr>
            <w:r>
              <w:t>单条网络舆情数据抓取时间　</w:t>
            </w:r>
          </w:p>
        </w:tc>
        <w:tc>
          <w:tcPr>
            <w:tcW w:w="2551" w:type="dxa"/>
            <w:noWrap w:val="0"/>
            <w:vAlign w:val="center"/>
          </w:tcPr>
          <w:p>
            <w:pPr>
              <w:pStyle w:val="16"/>
            </w:pPr>
            <w:r>
              <w:t>≤5分钟　</w:t>
            </w:r>
          </w:p>
        </w:tc>
        <w:tc>
          <w:tcPr>
            <w:tcW w:w="2268" w:type="dxa"/>
            <w:noWrap w:val="0"/>
            <w:vAlign w:val="center"/>
          </w:tcPr>
          <w:p>
            <w:pPr>
              <w:pStyle w:val="16"/>
            </w:pPr>
            <w:r>
              <w:t>　系统后台数据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noWrap w:val="0"/>
            <w:vAlign w:val="center"/>
          </w:tcPr>
          <w:p>
            <w:pPr>
              <w:pStyle w:val="14"/>
            </w:pPr>
          </w:p>
        </w:tc>
        <w:tc>
          <w:tcPr>
            <w:tcW w:w="2268" w:type="dxa"/>
            <w:noWrap w:val="0"/>
            <w:vAlign w:val="center"/>
          </w:tcPr>
          <w:p>
            <w:pPr>
              <w:pStyle w:val="16"/>
            </w:pPr>
            <w:r>
              <w:t>成本指标</w:t>
            </w:r>
          </w:p>
        </w:tc>
        <w:tc>
          <w:tcPr>
            <w:tcW w:w="2835" w:type="dxa"/>
            <w:noWrap w:val="0"/>
            <w:vAlign w:val="center"/>
          </w:tcPr>
          <w:p>
            <w:pPr>
              <w:pStyle w:val="16"/>
            </w:pPr>
            <w:r>
              <w:t>“冀信2021”网络安全技能竞赛</w:t>
            </w:r>
          </w:p>
        </w:tc>
        <w:tc>
          <w:tcPr>
            <w:tcW w:w="2835" w:type="dxa"/>
            <w:noWrap w:val="0"/>
            <w:vAlign w:val="center"/>
          </w:tcPr>
          <w:p>
            <w:pPr>
              <w:pStyle w:val="16"/>
            </w:pPr>
            <w:r>
              <w:t>租用竞赛平台</w:t>
            </w:r>
          </w:p>
        </w:tc>
        <w:tc>
          <w:tcPr>
            <w:tcW w:w="2551" w:type="dxa"/>
            <w:noWrap w:val="0"/>
            <w:vAlign w:val="center"/>
          </w:tcPr>
          <w:p>
            <w:pPr>
              <w:pStyle w:val="16"/>
            </w:pPr>
            <w:r>
              <w:t>≤1万元</w:t>
            </w:r>
          </w:p>
        </w:tc>
        <w:tc>
          <w:tcPr>
            <w:tcW w:w="2268" w:type="dxa"/>
            <w:noWrap w:val="0"/>
            <w:vAlign w:val="center"/>
          </w:tcPr>
          <w:p>
            <w:pPr>
              <w:pStyle w:val="16"/>
            </w:pPr>
            <w:r>
              <w:t>合同价格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noWrap w:val="0"/>
            <w:vAlign w:val="center"/>
          </w:tcPr>
          <w:p>
            <w:pPr>
              <w:pStyle w:val="14"/>
            </w:pPr>
          </w:p>
        </w:tc>
        <w:tc>
          <w:tcPr>
            <w:tcW w:w="2268" w:type="dxa"/>
            <w:noWrap w:val="0"/>
            <w:vAlign w:val="center"/>
          </w:tcPr>
          <w:p>
            <w:pPr>
              <w:pStyle w:val="16"/>
            </w:pPr>
            <w:r>
              <w:t>成本指标</w:t>
            </w:r>
          </w:p>
        </w:tc>
        <w:tc>
          <w:tcPr>
            <w:tcW w:w="2835" w:type="dxa"/>
            <w:noWrap w:val="0"/>
            <w:vAlign w:val="center"/>
          </w:tcPr>
          <w:p>
            <w:pPr>
              <w:pStyle w:val="16"/>
            </w:pPr>
            <w:r>
              <w:t>网络安全检查项目报告单价成本</w:t>
            </w:r>
          </w:p>
        </w:tc>
        <w:tc>
          <w:tcPr>
            <w:tcW w:w="2835" w:type="dxa"/>
            <w:noWrap w:val="0"/>
            <w:vAlign w:val="center"/>
          </w:tcPr>
          <w:p>
            <w:pPr>
              <w:pStyle w:val="16"/>
            </w:pPr>
            <w:r>
              <w:t>网络安全检查项目每单位出具报告单价成本</w:t>
            </w:r>
          </w:p>
        </w:tc>
        <w:tc>
          <w:tcPr>
            <w:tcW w:w="2551" w:type="dxa"/>
            <w:noWrap w:val="0"/>
            <w:vAlign w:val="center"/>
          </w:tcPr>
          <w:p>
            <w:pPr>
              <w:pStyle w:val="16"/>
            </w:pPr>
            <w:r>
              <w:t>≤0.4万元</w:t>
            </w:r>
          </w:p>
        </w:tc>
        <w:tc>
          <w:tcPr>
            <w:tcW w:w="2268" w:type="dxa"/>
            <w:noWrap w:val="0"/>
            <w:vAlign w:val="center"/>
          </w:tcPr>
          <w:p>
            <w:pPr>
              <w:pStyle w:val="16"/>
            </w:pPr>
            <w:r>
              <w:t>合同价格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noWrap w:val="0"/>
            <w:vAlign w:val="center"/>
          </w:tcPr>
          <w:p>
            <w:pPr>
              <w:pStyle w:val="17"/>
            </w:pPr>
            <w:r>
              <w:t>效益指标</w:t>
            </w:r>
          </w:p>
        </w:tc>
        <w:tc>
          <w:tcPr>
            <w:tcW w:w="2268" w:type="dxa"/>
            <w:noWrap w:val="0"/>
            <w:vAlign w:val="center"/>
          </w:tcPr>
          <w:p>
            <w:pPr>
              <w:pStyle w:val="16"/>
            </w:pPr>
            <w:r>
              <w:t>社会效益指标</w:t>
            </w:r>
          </w:p>
        </w:tc>
        <w:tc>
          <w:tcPr>
            <w:tcW w:w="2835" w:type="dxa"/>
            <w:noWrap w:val="0"/>
            <w:vAlign w:val="center"/>
          </w:tcPr>
          <w:p>
            <w:pPr>
              <w:pStyle w:val="16"/>
            </w:pPr>
            <w:r>
              <w:t>维护网络意识形态安全，促进网络空间清朗有序</w:t>
            </w:r>
          </w:p>
        </w:tc>
        <w:tc>
          <w:tcPr>
            <w:tcW w:w="2835" w:type="dxa"/>
            <w:noWrap w:val="0"/>
            <w:vAlign w:val="center"/>
          </w:tcPr>
          <w:p>
            <w:pPr>
              <w:pStyle w:val="16"/>
            </w:pPr>
            <w:r>
              <w:t>确保全市网上舆论平稳有序，不出现重大涉廊舆情事故，着力清理网上各类有害信息，净化全市网络环境　</w:t>
            </w:r>
          </w:p>
        </w:tc>
        <w:tc>
          <w:tcPr>
            <w:tcW w:w="2551" w:type="dxa"/>
            <w:noWrap w:val="0"/>
            <w:vAlign w:val="center"/>
          </w:tcPr>
          <w:p>
            <w:pPr>
              <w:pStyle w:val="16"/>
            </w:pPr>
            <w:r>
              <w:t>效果显著</w:t>
            </w:r>
          </w:p>
        </w:tc>
        <w:tc>
          <w:tcPr>
            <w:tcW w:w="2268" w:type="dxa"/>
            <w:noWrap w:val="0"/>
            <w:vAlign w:val="center"/>
          </w:tcPr>
          <w:p>
            <w:pPr>
              <w:pStyle w:val="16"/>
            </w:pPr>
            <w:r>
              <w:t>工作总结</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noWrap w:val="0"/>
            <w:vAlign w:val="center"/>
          </w:tcPr>
          <w:p>
            <w:pPr>
              <w:pStyle w:val="14"/>
            </w:pPr>
          </w:p>
        </w:tc>
        <w:tc>
          <w:tcPr>
            <w:tcW w:w="2268" w:type="dxa"/>
            <w:noWrap w:val="0"/>
            <w:vAlign w:val="center"/>
          </w:tcPr>
          <w:p>
            <w:pPr>
              <w:pStyle w:val="16"/>
            </w:pPr>
            <w:r>
              <w:t>社会效益指标</w:t>
            </w:r>
          </w:p>
        </w:tc>
        <w:tc>
          <w:tcPr>
            <w:tcW w:w="2835" w:type="dxa"/>
            <w:noWrap w:val="0"/>
            <w:vAlign w:val="center"/>
          </w:tcPr>
          <w:p>
            <w:pPr>
              <w:pStyle w:val="16"/>
            </w:pPr>
            <w:r>
              <w:t>提升我市互联网舆情监测、分析、研判、处置水平，以及网上各类违法和不良信息线索举报能力　</w:t>
            </w:r>
          </w:p>
        </w:tc>
        <w:tc>
          <w:tcPr>
            <w:tcW w:w="2835" w:type="dxa"/>
            <w:noWrap w:val="0"/>
            <w:vAlign w:val="center"/>
          </w:tcPr>
          <w:p>
            <w:pPr>
              <w:pStyle w:val="16"/>
            </w:pPr>
            <w:r>
              <w:t>不出现重大涉廊舆情事故，域内网络空间清朗有序　</w:t>
            </w:r>
          </w:p>
        </w:tc>
        <w:tc>
          <w:tcPr>
            <w:tcW w:w="2551" w:type="dxa"/>
            <w:noWrap w:val="0"/>
            <w:vAlign w:val="center"/>
          </w:tcPr>
          <w:p>
            <w:pPr>
              <w:pStyle w:val="16"/>
            </w:pPr>
            <w:r>
              <w:t>效果显著</w:t>
            </w:r>
          </w:p>
        </w:tc>
        <w:tc>
          <w:tcPr>
            <w:tcW w:w="2268" w:type="dxa"/>
            <w:noWrap w:val="0"/>
            <w:vAlign w:val="center"/>
          </w:tcPr>
          <w:p>
            <w:pPr>
              <w:pStyle w:val="16"/>
            </w:pPr>
            <w:r>
              <w:t>工作总结</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noWrap w:val="0"/>
            <w:vAlign w:val="center"/>
          </w:tcPr>
          <w:p>
            <w:pPr>
              <w:pStyle w:val="17"/>
            </w:pPr>
            <w:r>
              <w:t>满意度指标</w:t>
            </w:r>
          </w:p>
        </w:tc>
        <w:tc>
          <w:tcPr>
            <w:tcW w:w="2268" w:type="dxa"/>
            <w:noWrap w:val="0"/>
            <w:vAlign w:val="center"/>
          </w:tcPr>
          <w:p>
            <w:pPr>
              <w:pStyle w:val="16"/>
            </w:pPr>
            <w:r>
              <w:t>服务对象满意度指标</w:t>
            </w:r>
          </w:p>
        </w:tc>
        <w:tc>
          <w:tcPr>
            <w:tcW w:w="2835" w:type="dxa"/>
            <w:noWrap w:val="0"/>
            <w:vAlign w:val="center"/>
          </w:tcPr>
          <w:p>
            <w:pPr>
              <w:pStyle w:val="16"/>
            </w:pPr>
            <w:r>
              <w:t>舆情监测系统使用者满意度</w:t>
            </w:r>
          </w:p>
        </w:tc>
        <w:tc>
          <w:tcPr>
            <w:tcW w:w="2835" w:type="dxa"/>
            <w:noWrap w:val="0"/>
            <w:vAlign w:val="center"/>
          </w:tcPr>
          <w:p>
            <w:pPr>
              <w:pStyle w:val="16"/>
            </w:pPr>
            <w:r>
              <w:t>舆情监测系统使用者满意率</w:t>
            </w:r>
          </w:p>
        </w:tc>
        <w:tc>
          <w:tcPr>
            <w:tcW w:w="2551" w:type="dxa"/>
            <w:noWrap w:val="0"/>
            <w:vAlign w:val="center"/>
          </w:tcPr>
          <w:p>
            <w:pPr>
              <w:pStyle w:val="16"/>
            </w:pPr>
            <w:r>
              <w:t>　≥90%</w:t>
            </w:r>
          </w:p>
        </w:tc>
        <w:tc>
          <w:tcPr>
            <w:tcW w:w="2268" w:type="dxa"/>
            <w:noWrap w:val="0"/>
            <w:vAlign w:val="center"/>
          </w:tcPr>
          <w:p>
            <w:pPr>
              <w:pStyle w:val="16"/>
            </w:pPr>
            <w:r>
              <w:t>调查问卷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noWrap w:val="0"/>
            <w:vAlign w:val="center"/>
          </w:tcPr>
          <w:p>
            <w:pPr>
              <w:pStyle w:val="14"/>
            </w:pPr>
          </w:p>
        </w:tc>
        <w:tc>
          <w:tcPr>
            <w:tcW w:w="2268" w:type="dxa"/>
            <w:noWrap w:val="0"/>
            <w:vAlign w:val="center"/>
          </w:tcPr>
          <w:p>
            <w:pPr>
              <w:pStyle w:val="16"/>
            </w:pPr>
            <w:r>
              <w:t>服务对象满意度指标</w:t>
            </w:r>
          </w:p>
        </w:tc>
        <w:tc>
          <w:tcPr>
            <w:tcW w:w="2835" w:type="dxa"/>
            <w:noWrap w:val="0"/>
            <w:vAlign w:val="center"/>
          </w:tcPr>
          <w:p>
            <w:pPr>
              <w:pStyle w:val="16"/>
            </w:pPr>
            <w:r>
              <w:t>办公人员对指挥中心认可程度</w:t>
            </w:r>
          </w:p>
        </w:tc>
        <w:tc>
          <w:tcPr>
            <w:tcW w:w="2835" w:type="dxa"/>
            <w:noWrap w:val="0"/>
            <w:vAlign w:val="center"/>
          </w:tcPr>
          <w:p>
            <w:pPr>
              <w:pStyle w:val="16"/>
            </w:pPr>
            <w:r>
              <w:t>办公人员对指挥中心系统运行使用满意度</w:t>
            </w:r>
          </w:p>
        </w:tc>
        <w:tc>
          <w:tcPr>
            <w:tcW w:w="2551" w:type="dxa"/>
            <w:noWrap w:val="0"/>
            <w:vAlign w:val="center"/>
          </w:tcPr>
          <w:p>
            <w:pPr>
              <w:pStyle w:val="16"/>
            </w:pPr>
            <w:r>
              <w:t>≥90%</w:t>
            </w:r>
          </w:p>
        </w:tc>
        <w:tc>
          <w:tcPr>
            <w:tcW w:w="2268" w:type="dxa"/>
            <w:noWrap w:val="0"/>
            <w:vAlign w:val="center"/>
          </w:tcPr>
          <w:p>
            <w:pPr>
              <w:pStyle w:val="16"/>
            </w:pPr>
            <w:r>
              <w:t>问卷调查</w:t>
            </w:r>
          </w:p>
        </w:tc>
      </w:tr>
    </w:tbl>
    <w:p>
      <w:pPr>
        <w:pStyle w:val="14"/>
      </w:pPr>
    </w:p>
    <w:p>
      <w:pPr>
        <w:pStyle w:val="14"/>
        <w:ind w:firstLine="560"/>
      </w:pPr>
      <w:r>
        <w:rPr>
          <w:rFonts w:hint="eastAsia" w:ascii="方正仿宋_GBK" w:hAnsi="方正仿宋_GBK" w:eastAsia="方正仿宋_GBK" w:cs="方正仿宋_GBK"/>
          <w:b/>
          <w:color w:val="000000"/>
          <w:sz w:val="28"/>
          <w:lang w:val="en-US" w:eastAsia="zh-CN"/>
        </w:rPr>
        <w:t>6</w:t>
      </w:r>
      <w:r>
        <w:rPr>
          <w:rFonts w:ascii="方正仿宋_GBK" w:hAnsi="方正仿宋_GBK" w:eastAsia="方正仿宋_GBK" w:cs="方正仿宋_GBK"/>
          <w:b/>
          <w:color w:val="000000"/>
          <w:sz w:val="28"/>
        </w:rPr>
        <w:t>、网络媒体宣传引导工作经费绩效目标表</w:t>
      </w:r>
    </w:p>
    <w:tbl>
      <w:tblPr>
        <w:tblStyle w:val="4"/>
        <w:tblW w:w="14173" w:type="dxa"/>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1417"/>
        <w:gridCol w:w="12756"/>
      </w:tblGrid>
      <w:tr>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1417" w:type="dxa"/>
            <w:tcBorders>
              <w:bottom w:val="single" w:color="FFFFFF" w:sz="6" w:space="0"/>
            </w:tcBorders>
            <w:noWrap w:val="0"/>
            <w:vAlign w:val="center"/>
          </w:tcPr>
          <w:p>
            <w:pPr>
              <w:pStyle w:val="15"/>
            </w:pPr>
            <w:r>
              <w:t>绩效目标</w:t>
            </w:r>
          </w:p>
        </w:tc>
        <w:tc>
          <w:tcPr>
            <w:tcW w:w="12756" w:type="dxa"/>
            <w:tcBorders>
              <w:bottom w:val="single" w:color="FFFFFF" w:sz="6" w:space="0"/>
            </w:tcBorders>
            <w:noWrap w:val="0"/>
            <w:vAlign w:val="center"/>
          </w:tcPr>
          <w:p>
            <w:pPr>
              <w:pStyle w:val="16"/>
            </w:pPr>
            <w:r>
              <w:t>1.通过项目的开展完与各网站合作中宣传我市经济社会发展亮点，有效提升我市网评员队伍管理和网评引导工作实效，及时、高效、稳妥完成中央和省、市各级网评引导任务。维护“廊坊发布”微博、微信公众号。有效传播廊坊好声音，推进全市网络舆论氛围持续向好，为新时代加快建设经济强市、美丽廊坊凝聚人心、汇聚力量。</w:t>
            </w:r>
          </w:p>
        </w:tc>
      </w:tr>
    </w:tbl>
    <w:p>
      <w:pPr>
        <w:pStyle w:val="14"/>
        <w:spacing w:line="2" w:lineRule="exact"/>
        <w:jc w:val="center"/>
      </w:pPr>
      <w:r>
        <w:rPr>
          <w:rFonts w:ascii="方正书宋_GBK" w:hAnsi="方正书宋_GBK" w:eastAsia="方正书宋_GBK" w:cs="方正书宋_GBK"/>
          <w:color w:val="000000"/>
          <w:sz w:val="18"/>
        </w:rPr>
        <w:t xml:space="preserve"> </w:t>
      </w:r>
    </w:p>
    <w:tbl>
      <w:tblPr>
        <w:tblStyle w:val="4"/>
        <w:tblW w:w="1417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7"/>
        <w:gridCol w:w="2268"/>
        <w:gridCol w:w="2835"/>
        <w:gridCol w:w="2835"/>
        <w:gridCol w:w="2551"/>
        <w:gridCol w:w="226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417" w:type="dxa"/>
            <w:noWrap w:val="0"/>
            <w:vAlign w:val="center"/>
          </w:tcPr>
          <w:p>
            <w:pPr>
              <w:pStyle w:val="15"/>
            </w:pPr>
            <w:r>
              <w:t>一级指标</w:t>
            </w:r>
          </w:p>
        </w:tc>
        <w:tc>
          <w:tcPr>
            <w:tcW w:w="2268" w:type="dxa"/>
            <w:noWrap w:val="0"/>
            <w:vAlign w:val="center"/>
          </w:tcPr>
          <w:p>
            <w:pPr>
              <w:pStyle w:val="15"/>
            </w:pPr>
            <w:r>
              <w:t>二级指标</w:t>
            </w:r>
          </w:p>
        </w:tc>
        <w:tc>
          <w:tcPr>
            <w:tcW w:w="2835" w:type="dxa"/>
            <w:noWrap w:val="0"/>
            <w:vAlign w:val="center"/>
          </w:tcPr>
          <w:p>
            <w:pPr>
              <w:pStyle w:val="15"/>
            </w:pPr>
            <w:r>
              <w:t>三级指标</w:t>
            </w:r>
          </w:p>
        </w:tc>
        <w:tc>
          <w:tcPr>
            <w:tcW w:w="2835" w:type="dxa"/>
            <w:noWrap w:val="0"/>
            <w:vAlign w:val="center"/>
          </w:tcPr>
          <w:p>
            <w:pPr>
              <w:pStyle w:val="15"/>
            </w:pPr>
            <w:r>
              <w:t>绩效指标描述</w:t>
            </w:r>
          </w:p>
        </w:tc>
        <w:tc>
          <w:tcPr>
            <w:tcW w:w="2551" w:type="dxa"/>
            <w:noWrap w:val="0"/>
            <w:vAlign w:val="center"/>
          </w:tcPr>
          <w:p>
            <w:pPr>
              <w:pStyle w:val="15"/>
            </w:pPr>
            <w:r>
              <w:t>指标值</w:t>
            </w:r>
          </w:p>
        </w:tc>
        <w:tc>
          <w:tcPr>
            <w:tcW w:w="2268" w:type="dxa"/>
            <w:noWrap w:val="0"/>
            <w:vAlign w:val="center"/>
          </w:tcPr>
          <w:p>
            <w:pPr>
              <w:pStyle w:val="15"/>
            </w:pPr>
            <w: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noWrap w:val="0"/>
            <w:vAlign w:val="center"/>
          </w:tcPr>
          <w:p>
            <w:pPr>
              <w:pStyle w:val="17"/>
            </w:pPr>
            <w:r>
              <w:t>产出指标</w:t>
            </w:r>
          </w:p>
        </w:tc>
        <w:tc>
          <w:tcPr>
            <w:tcW w:w="2268" w:type="dxa"/>
            <w:noWrap w:val="0"/>
            <w:vAlign w:val="center"/>
          </w:tcPr>
          <w:p>
            <w:pPr>
              <w:pStyle w:val="16"/>
            </w:pPr>
            <w:r>
              <w:t>数量指标</w:t>
            </w:r>
          </w:p>
        </w:tc>
        <w:tc>
          <w:tcPr>
            <w:tcW w:w="2835" w:type="dxa"/>
            <w:noWrap w:val="0"/>
            <w:vAlign w:val="center"/>
          </w:tcPr>
          <w:p>
            <w:pPr>
              <w:pStyle w:val="16"/>
            </w:pPr>
            <w:r>
              <w:t>发稿量</w:t>
            </w:r>
          </w:p>
        </w:tc>
        <w:tc>
          <w:tcPr>
            <w:tcW w:w="2835" w:type="dxa"/>
            <w:noWrap w:val="0"/>
            <w:vAlign w:val="center"/>
          </w:tcPr>
          <w:p>
            <w:pPr>
              <w:pStyle w:val="16"/>
            </w:pPr>
            <w:r>
              <w:t>在各网站推送发稿篇数</w:t>
            </w:r>
          </w:p>
        </w:tc>
        <w:tc>
          <w:tcPr>
            <w:tcW w:w="2551" w:type="dxa"/>
            <w:noWrap w:val="0"/>
            <w:vAlign w:val="center"/>
          </w:tcPr>
          <w:p>
            <w:pPr>
              <w:pStyle w:val="16"/>
            </w:pPr>
            <w:r>
              <w:t>≥1500篇</w:t>
            </w:r>
          </w:p>
        </w:tc>
        <w:tc>
          <w:tcPr>
            <w:tcW w:w="2268" w:type="dxa"/>
            <w:noWrap w:val="0"/>
            <w:vAlign w:val="center"/>
          </w:tcPr>
          <w:p>
            <w:pPr>
              <w:pStyle w:val="16"/>
            </w:pPr>
            <w:r>
              <w:t>后台数据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noWrap w:val="0"/>
            <w:vAlign w:val="center"/>
          </w:tcPr>
          <w:p>
            <w:pPr>
              <w:pStyle w:val="14"/>
            </w:pPr>
          </w:p>
        </w:tc>
        <w:tc>
          <w:tcPr>
            <w:tcW w:w="2268" w:type="dxa"/>
            <w:noWrap w:val="0"/>
            <w:vAlign w:val="center"/>
          </w:tcPr>
          <w:p>
            <w:pPr>
              <w:pStyle w:val="16"/>
            </w:pPr>
            <w:r>
              <w:t>数量指标</w:t>
            </w:r>
          </w:p>
        </w:tc>
        <w:tc>
          <w:tcPr>
            <w:tcW w:w="2835" w:type="dxa"/>
            <w:noWrap w:val="0"/>
            <w:vAlign w:val="center"/>
          </w:tcPr>
          <w:p>
            <w:pPr>
              <w:pStyle w:val="16"/>
            </w:pPr>
            <w:r>
              <w:t>制作网络传播产品数量</w:t>
            </w:r>
          </w:p>
        </w:tc>
        <w:tc>
          <w:tcPr>
            <w:tcW w:w="2835" w:type="dxa"/>
            <w:noWrap w:val="0"/>
            <w:vAlign w:val="center"/>
          </w:tcPr>
          <w:p>
            <w:pPr>
              <w:pStyle w:val="16"/>
            </w:pPr>
            <w:r>
              <w:t>再各个平台制作推出网络传播产品数量</w:t>
            </w:r>
          </w:p>
        </w:tc>
        <w:tc>
          <w:tcPr>
            <w:tcW w:w="2551" w:type="dxa"/>
            <w:noWrap w:val="0"/>
            <w:vAlign w:val="center"/>
          </w:tcPr>
          <w:p>
            <w:pPr>
              <w:pStyle w:val="16"/>
            </w:pPr>
            <w:r>
              <w:t>≥90个</w:t>
            </w:r>
          </w:p>
        </w:tc>
        <w:tc>
          <w:tcPr>
            <w:tcW w:w="2268" w:type="dxa"/>
            <w:noWrap w:val="0"/>
            <w:vAlign w:val="center"/>
          </w:tcPr>
          <w:p>
            <w:pPr>
              <w:pStyle w:val="16"/>
            </w:pPr>
            <w:r>
              <w:t>后台数据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noWrap w:val="0"/>
            <w:vAlign w:val="center"/>
          </w:tcPr>
          <w:p>
            <w:pPr>
              <w:pStyle w:val="14"/>
            </w:pPr>
          </w:p>
        </w:tc>
        <w:tc>
          <w:tcPr>
            <w:tcW w:w="2268" w:type="dxa"/>
            <w:noWrap w:val="0"/>
            <w:vAlign w:val="center"/>
          </w:tcPr>
          <w:p>
            <w:pPr>
              <w:pStyle w:val="16"/>
            </w:pPr>
            <w:r>
              <w:t>质量指标</w:t>
            </w:r>
          </w:p>
        </w:tc>
        <w:tc>
          <w:tcPr>
            <w:tcW w:w="2835" w:type="dxa"/>
            <w:noWrap w:val="0"/>
            <w:vAlign w:val="center"/>
          </w:tcPr>
          <w:p>
            <w:pPr>
              <w:pStyle w:val="16"/>
            </w:pPr>
            <w:r>
              <w:t>点击量</w:t>
            </w:r>
          </w:p>
        </w:tc>
        <w:tc>
          <w:tcPr>
            <w:tcW w:w="2835" w:type="dxa"/>
            <w:noWrap w:val="0"/>
            <w:vAlign w:val="center"/>
          </w:tcPr>
          <w:p>
            <w:pPr>
              <w:pStyle w:val="16"/>
            </w:pPr>
            <w:r>
              <w:t>受众点击量</w:t>
            </w:r>
          </w:p>
        </w:tc>
        <w:tc>
          <w:tcPr>
            <w:tcW w:w="2551" w:type="dxa"/>
            <w:noWrap w:val="0"/>
            <w:vAlign w:val="center"/>
          </w:tcPr>
          <w:p>
            <w:pPr>
              <w:pStyle w:val="16"/>
            </w:pPr>
            <w:r>
              <w:t>≥1500万人次</w:t>
            </w:r>
          </w:p>
        </w:tc>
        <w:tc>
          <w:tcPr>
            <w:tcW w:w="2268" w:type="dxa"/>
            <w:noWrap w:val="0"/>
            <w:vAlign w:val="center"/>
          </w:tcPr>
          <w:p>
            <w:pPr>
              <w:pStyle w:val="16"/>
            </w:pPr>
            <w:r>
              <w:t>后台数据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noWrap w:val="0"/>
            <w:vAlign w:val="center"/>
          </w:tcPr>
          <w:p>
            <w:pPr>
              <w:pStyle w:val="14"/>
            </w:pPr>
          </w:p>
        </w:tc>
        <w:tc>
          <w:tcPr>
            <w:tcW w:w="2268" w:type="dxa"/>
            <w:noWrap w:val="0"/>
            <w:vAlign w:val="center"/>
          </w:tcPr>
          <w:p>
            <w:pPr>
              <w:pStyle w:val="16"/>
            </w:pPr>
            <w:r>
              <w:t>质量指标</w:t>
            </w:r>
          </w:p>
        </w:tc>
        <w:tc>
          <w:tcPr>
            <w:tcW w:w="2835" w:type="dxa"/>
            <w:noWrap w:val="0"/>
            <w:vAlign w:val="center"/>
          </w:tcPr>
          <w:p>
            <w:pPr>
              <w:pStyle w:val="16"/>
            </w:pPr>
            <w:r>
              <w:t>任务反馈</w:t>
            </w:r>
          </w:p>
        </w:tc>
        <w:tc>
          <w:tcPr>
            <w:tcW w:w="2835" w:type="dxa"/>
            <w:noWrap w:val="0"/>
            <w:vAlign w:val="center"/>
          </w:tcPr>
          <w:p>
            <w:pPr>
              <w:pStyle w:val="16"/>
            </w:pPr>
            <w:r>
              <w:t>网评员反馈的任务完成数量</w:t>
            </w:r>
          </w:p>
        </w:tc>
        <w:tc>
          <w:tcPr>
            <w:tcW w:w="2551" w:type="dxa"/>
            <w:noWrap w:val="0"/>
            <w:vAlign w:val="center"/>
          </w:tcPr>
          <w:p>
            <w:pPr>
              <w:pStyle w:val="16"/>
            </w:pPr>
            <w:r>
              <w:t>≥100000个　</w:t>
            </w:r>
          </w:p>
        </w:tc>
        <w:tc>
          <w:tcPr>
            <w:tcW w:w="2268" w:type="dxa"/>
            <w:noWrap w:val="0"/>
            <w:vAlign w:val="center"/>
          </w:tcPr>
          <w:p>
            <w:pPr>
              <w:pStyle w:val="16"/>
            </w:pPr>
            <w:r>
              <w:t>后台提供数据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noWrap w:val="0"/>
            <w:vAlign w:val="center"/>
          </w:tcPr>
          <w:p>
            <w:pPr>
              <w:pStyle w:val="14"/>
            </w:pPr>
          </w:p>
        </w:tc>
        <w:tc>
          <w:tcPr>
            <w:tcW w:w="2268" w:type="dxa"/>
            <w:noWrap w:val="0"/>
            <w:vAlign w:val="center"/>
          </w:tcPr>
          <w:p>
            <w:pPr>
              <w:pStyle w:val="16"/>
            </w:pPr>
            <w:r>
              <w:t>时效指标</w:t>
            </w:r>
          </w:p>
        </w:tc>
        <w:tc>
          <w:tcPr>
            <w:tcW w:w="2835" w:type="dxa"/>
            <w:noWrap w:val="0"/>
            <w:vAlign w:val="center"/>
          </w:tcPr>
          <w:p>
            <w:pPr>
              <w:pStyle w:val="16"/>
            </w:pPr>
            <w:r>
              <w:t>政务信息发布及时性</w:t>
            </w:r>
          </w:p>
        </w:tc>
        <w:tc>
          <w:tcPr>
            <w:tcW w:w="2835" w:type="dxa"/>
            <w:noWrap w:val="0"/>
            <w:vAlign w:val="center"/>
          </w:tcPr>
          <w:p>
            <w:pPr>
              <w:pStyle w:val="16"/>
            </w:pPr>
            <w:r>
              <w:t>政务信息发布是否及时</w:t>
            </w:r>
          </w:p>
        </w:tc>
        <w:tc>
          <w:tcPr>
            <w:tcW w:w="2551" w:type="dxa"/>
            <w:noWrap w:val="0"/>
            <w:vAlign w:val="center"/>
          </w:tcPr>
          <w:p>
            <w:pPr>
              <w:pStyle w:val="16"/>
            </w:pPr>
            <w:r>
              <w:t>及时</w:t>
            </w:r>
          </w:p>
        </w:tc>
        <w:tc>
          <w:tcPr>
            <w:tcW w:w="2268" w:type="dxa"/>
            <w:noWrap w:val="0"/>
            <w:vAlign w:val="center"/>
          </w:tcPr>
          <w:p>
            <w:pPr>
              <w:pStyle w:val="16"/>
            </w:pPr>
            <w:r>
              <w:t>实际开展情况</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noWrap w:val="0"/>
            <w:vAlign w:val="center"/>
          </w:tcPr>
          <w:p>
            <w:pPr>
              <w:pStyle w:val="14"/>
            </w:pPr>
          </w:p>
        </w:tc>
        <w:tc>
          <w:tcPr>
            <w:tcW w:w="2268" w:type="dxa"/>
            <w:noWrap w:val="0"/>
            <w:vAlign w:val="center"/>
          </w:tcPr>
          <w:p>
            <w:pPr>
              <w:pStyle w:val="16"/>
            </w:pPr>
            <w:r>
              <w:t>时效指标</w:t>
            </w:r>
          </w:p>
        </w:tc>
        <w:tc>
          <w:tcPr>
            <w:tcW w:w="2835" w:type="dxa"/>
            <w:noWrap w:val="0"/>
            <w:vAlign w:val="center"/>
          </w:tcPr>
          <w:p>
            <w:pPr>
              <w:pStyle w:val="16"/>
            </w:pPr>
            <w:r>
              <w:t>统计及时性</w:t>
            </w:r>
          </w:p>
        </w:tc>
        <w:tc>
          <w:tcPr>
            <w:tcW w:w="2835" w:type="dxa"/>
            <w:noWrap w:val="0"/>
            <w:vAlign w:val="center"/>
          </w:tcPr>
          <w:p>
            <w:pPr>
              <w:pStyle w:val="16"/>
            </w:pPr>
            <w:r>
              <w:t>每两月统计周期内网评员各项工作量化考核情况，出具书面材料　</w:t>
            </w:r>
          </w:p>
        </w:tc>
        <w:tc>
          <w:tcPr>
            <w:tcW w:w="2551" w:type="dxa"/>
            <w:noWrap w:val="0"/>
            <w:vAlign w:val="center"/>
          </w:tcPr>
          <w:p>
            <w:pPr>
              <w:pStyle w:val="16"/>
            </w:pPr>
            <w:r>
              <w:t>及时</w:t>
            </w:r>
          </w:p>
        </w:tc>
        <w:tc>
          <w:tcPr>
            <w:tcW w:w="2268" w:type="dxa"/>
            <w:noWrap w:val="0"/>
            <w:vAlign w:val="center"/>
          </w:tcPr>
          <w:p>
            <w:pPr>
              <w:pStyle w:val="16"/>
            </w:pPr>
            <w:r>
              <w:t>后台提供数据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noWrap w:val="0"/>
            <w:vAlign w:val="center"/>
          </w:tcPr>
          <w:p>
            <w:pPr>
              <w:pStyle w:val="14"/>
            </w:pPr>
          </w:p>
        </w:tc>
        <w:tc>
          <w:tcPr>
            <w:tcW w:w="2268" w:type="dxa"/>
            <w:noWrap w:val="0"/>
            <w:vAlign w:val="center"/>
          </w:tcPr>
          <w:p>
            <w:pPr>
              <w:pStyle w:val="16"/>
            </w:pPr>
            <w:r>
              <w:t>成本指标</w:t>
            </w:r>
          </w:p>
        </w:tc>
        <w:tc>
          <w:tcPr>
            <w:tcW w:w="2835" w:type="dxa"/>
            <w:noWrap w:val="0"/>
            <w:vAlign w:val="center"/>
          </w:tcPr>
          <w:p>
            <w:pPr>
              <w:pStyle w:val="16"/>
            </w:pPr>
            <w:r>
              <w:t>图说图解成本</w:t>
            </w:r>
          </w:p>
        </w:tc>
        <w:tc>
          <w:tcPr>
            <w:tcW w:w="2835" w:type="dxa"/>
            <w:noWrap w:val="0"/>
            <w:vAlign w:val="center"/>
          </w:tcPr>
          <w:p>
            <w:pPr>
              <w:pStyle w:val="16"/>
            </w:pPr>
            <w:r>
              <w:t>每个图说图解成本</w:t>
            </w:r>
          </w:p>
        </w:tc>
        <w:tc>
          <w:tcPr>
            <w:tcW w:w="2551" w:type="dxa"/>
            <w:noWrap w:val="0"/>
            <w:vAlign w:val="center"/>
          </w:tcPr>
          <w:p>
            <w:pPr>
              <w:pStyle w:val="16"/>
            </w:pPr>
            <w:r>
              <w:t>≤2000元</w:t>
            </w:r>
          </w:p>
        </w:tc>
        <w:tc>
          <w:tcPr>
            <w:tcW w:w="2268" w:type="dxa"/>
            <w:noWrap w:val="0"/>
            <w:vAlign w:val="center"/>
          </w:tcPr>
          <w:p>
            <w:pPr>
              <w:pStyle w:val="16"/>
            </w:pPr>
            <w:r>
              <w:t>实际执行情况</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noWrap w:val="0"/>
            <w:vAlign w:val="center"/>
          </w:tcPr>
          <w:p>
            <w:pPr>
              <w:pStyle w:val="14"/>
            </w:pPr>
          </w:p>
        </w:tc>
        <w:tc>
          <w:tcPr>
            <w:tcW w:w="2268" w:type="dxa"/>
            <w:noWrap w:val="0"/>
            <w:vAlign w:val="center"/>
          </w:tcPr>
          <w:p>
            <w:pPr>
              <w:pStyle w:val="16"/>
            </w:pPr>
            <w:r>
              <w:t>成本指标</w:t>
            </w:r>
          </w:p>
        </w:tc>
        <w:tc>
          <w:tcPr>
            <w:tcW w:w="2835" w:type="dxa"/>
            <w:noWrap w:val="0"/>
            <w:vAlign w:val="center"/>
          </w:tcPr>
          <w:p>
            <w:pPr>
              <w:pStyle w:val="16"/>
            </w:pPr>
            <w:r>
              <w:t>微视频、微动漫</w:t>
            </w:r>
          </w:p>
        </w:tc>
        <w:tc>
          <w:tcPr>
            <w:tcW w:w="2835" w:type="dxa"/>
            <w:noWrap w:val="0"/>
            <w:vAlign w:val="center"/>
          </w:tcPr>
          <w:p>
            <w:pPr>
              <w:pStyle w:val="16"/>
            </w:pPr>
            <w:r>
              <w:t>每个微视频、微动漫成本</w:t>
            </w:r>
          </w:p>
        </w:tc>
        <w:tc>
          <w:tcPr>
            <w:tcW w:w="2551" w:type="dxa"/>
            <w:noWrap w:val="0"/>
            <w:vAlign w:val="center"/>
          </w:tcPr>
          <w:p>
            <w:pPr>
              <w:pStyle w:val="16"/>
            </w:pPr>
            <w:r>
              <w:t>≤20000元</w:t>
            </w:r>
          </w:p>
        </w:tc>
        <w:tc>
          <w:tcPr>
            <w:tcW w:w="2268" w:type="dxa"/>
            <w:noWrap w:val="0"/>
            <w:vAlign w:val="center"/>
          </w:tcPr>
          <w:p>
            <w:pPr>
              <w:pStyle w:val="16"/>
            </w:pPr>
            <w:r>
              <w:t>实际支出情况</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noWrap w:val="0"/>
            <w:vAlign w:val="center"/>
          </w:tcPr>
          <w:p>
            <w:pPr>
              <w:pStyle w:val="17"/>
            </w:pPr>
            <w:r>
              <w:t>效益指标</w:t>
            </w:r>
          </w:p>
        </w:tc>
        <w:tc>
          <w:tcPr>
            <w:tcW w:w="2268" w:type="dxa"/>
            <w:noWrap w:val="0"/>
            <w:vAlign w:val="center"/>
          </w:tcPr>
          <w:p>
            <w:pPr>
              <w:pStyle w:val="16"/>
            </w:pPr>
            <w:r>
              <w:t>社会效益指标</w:t>
            </w:r>
          </w:p>
        </w:tc>
        <w:tc>
          <w:tcPr>
            <w:tcW w:w="2835" w:type="dxa"/>
            <w:noWrap w:val="0"/>
            <w:vAlign w:val="center"/>
          </w:tcPr>
          <w:p>
            <w:pPr>
              <w:pStyle w:val="16"/>
            </w:pPr>
            <w:r>
              <w:t>提升廊坊市良好形象程度</w:t>
            </w:r>
          </w:p>
        </w:tc>
        <w:tc>
          <w:tcPr>
            <w:tcW w:w="2835" w:type="dxa"/>
            <w:noWrap w:val="0"/>
            <w:vAlign w:val="center"/>
          </w:tcPr>
          <w:p>
            <w:pPr>
              <w:pStyle w:val="16"/>
            </w:pPr>
            <w:r>
              <w:t>反映项目实施对廊坊知名度、美誉度的提升影响情况</w:t>
            </w:r>
          </w:p>
        </w:tc>
        <w:tc>
          <w:tcPr>
            <w:tcW w:w="2551" w:type="dxa"/>
            <w:noWrap w:val="0"/>
            <w:vAlign w:val="center"/>
          </w:tcPr>
          <w:p>
            <w:pPr>
              <w:pStyle w:val="16"/>
            </w:pPr>
            <w:r>
              <w:t>效果显著</w:t>
            </w:r>
          </w:p>
        </w:tc>
        <w:tc>
          <w:tcPr>
            <w:tcW w:w="2268" w:type="dxa"/>
            <w:noWrap w:val="0"/>
            <w:vAlign w:val="center"/>
          </w:tcPr>
          <w:p>
            <w:pPr>
              <w:pStyle w:val="16"/>
            </w:pPr>
            <w:r>
              <w:t>工作总结</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noWrap w:val="0"/>
            <w:vAlign w:val="center"/>
          </w:tcPr>
          <w:p>
            <w:pPr>
              <w:pStyle w:val="14"/>
            </w:pPr>
          </w:p>
        </w:tc>
        <w:tc>
          <w:tcPr>
            <w:tcW w:w="2268" w:type="dxa"/>
            <w:noWrap w:val="0"/>
            <w:vAlign w:val="center"/>
          </w:tcPr>
          <w:p>
            <w:pPr>
              <w:pStyle w:val="16"/>
            </w:pPr>
            <w:r>
              <w:t>社会效益指标</w:t>
            </w:r>
          </w:p>
        </w:tc>
        <w:tc>
          <w:tcPr>
            <w:tcW w:w="2835" w:type="dxa"/>
            <w:noWrap w:val="0"/>
            <w:vAlign w:val="center"/>
          </w:tcPr>
          <w:p>
            <w:pPr>
              <w:pStyle w:val="16"/>
            </w:pPr>
            <w:r>
              <w:t>专项引导体现良好效果　</w:t>
            </w:r>
          </w:p>
        </w:tc>
        <w:tc>
          <w:tcPr>
            <w:tcW w:w="2835" w:type="dxa"/>
            <w:noWrap w:val="0"/>
            <w:vAlign w:val="center"/>
          </w:tcPr>
          <w:p>
            <w:pPr>
              <w:pStyle w:val="16"/>
            </w:pPr>
            <w:r>
              <w:t>组织网评员开展针对中央或省、市重大主题、重点任务的专项网评引导并取得良好效果</w:t>
            </w:r>
          </w:p>
        </w:tc>
        <w:tc>
          <w:tcPr>
            <w:tcW w:w="2551" w:type="dxa"/>
            <w:noWrap w:val="0"/>
            <w:vAlign w:val="center"/>
          </w:tcPr>
          <w:p>
            <w:pPr>
              <w:pStyle w:val="16"/>
            </w:pPr>
            <w:r>
              <w:t>效果显著</w:t>
            </w:r>
          </w:p>
        </w:tc>
        <w:tc>
          <w:tcPr>
            <w:tcW w:w="2268" w:type="dxa"/>
            <w:noWrap w:val="0"/>
            <w:vAlign w:val="center"/>
          </w:tcPr>
          <w:p>
            <w:pPr>
              <w:pStyle w:val="16"/>
            </w:pPr>
            <w:r>
              <w:t>工作总结</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noWrap w:val="0"/>
            <w:vAlign w:val="center"/>
          </w:tcPr>
          <w:p>
            <w:pPr>
              <w:pStyle w:val="17"/>
            </w:pPr>
            <w:r>
              <w:t>满意度指标</w:t>
            </w:r>
          </w:p>
        </w:tc>
        <w:tc>
          <w:tcPr>
            <w:tcW w:w="2268" w:type="dxa"/>
            <w:noWrap w:val="0"/>
            <w:vAlign w:val="center"/>
          </w:tcPr>
          <w:p>
            <w:pPr>
              <w:pStyle w:val="16"/>
            </w:pPr>
            <w:r>
              <w:t>服务对象满意度指标</w:t>
            </w:r>
          </w:p>
        </w:tc>
        <w:tc>
          <w:tcPr>
            <w:tcW w:w="2835" w:type="dxa"/>
            <w:noWrap w:val="0"/>
            <w:vAlign w:val="center"/>
          </w:tcPr>
          <w:p>
            <w:pPr>
              <w:pStyle w:val="16"/>
            </w:pPr>
            <w:r>
              <w:t>群众满意度情况　</w:t>
            </w:r>
          </w:p>
        </w:tc>
        <w:tc>
          <w:tcPr>
            <w:tcW w:w="2835" w:type="dxa"/>
            <w:noWrap w:val="0"/>
            <w:vAlign w:val="center"/>
          </w:tcPr>
          <w:p>
            <w:pPr>
              <w:pStyle w:val="16"/>
            </w:pPr>
            <w:r>
              <w:t>反映群众对公众号运维满意度　</w:t>
            </w:r>
          </w:p>
        </w:tc>
        <w:tc>
          <w:tcPr>
            <w:tcW w:w="2551" w:type="dxa"/>
            <w:noWrap w:val="0"/>
            <w:vAlign w:val="center"/>
          </w:tcPr>
          <w:p>
            <w:pPr>
              <w:pStyle w:val="16"/>
            </w:pPr>
            <w:r>
              <w:t>≥80%</w:t>
            </w:r>
          </w:p>
        </w:tc>
        <w:tc>
          <w:tcPr>
            <w:tcW w:w="2268" w:type="dxa"/>
            <w:noWrap w:val="0"/>
            <w:vAlign w:val="center"/>
          </w:tcPr>
          <w:p>
            <w:pPr>
              <w:pStyle w:val="16"/>
            </w:pPr>
            <w:r>
              <w:t>问卷调查</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noWrap w:val="0"/>
            <w:vAlign w:val="center"/>
          </w:tcPr>
          <w:p>
            <w:pPr>
              <w:pStyle w:val="14"/>
            </w:pPr>
          </w:p>
        </w:tc>
        <w:tc>
          <w:tcPr>
            <w:tcW w:w="2268" w:type="dxa"/>
            <w:noWrap w:val="0"/>
            <w:vAlign w:val="center"/>
          </w:tcPr>
          <w:p>
            <w:pPr>
              <w:pStyle w:val="16"/>
            </w:pPr>
            <w:r>
              <w:t>服务对象满意度指标</w:t>
            </w:r>
          </w:p>
        </w:tc>
        <w:tc>
          <w:tcPr>
            <w:tcW w:w="2835" w:type="dxa"/>
            <w:noWrap w:val="0"/>
            <w:vAlign w:val="center"/>
          </w:tcPr>
          <w:p>
            <w:pPr>
              <w:pStyle w:val="16"/>
            </w:pPr>
            <w:r>
              <w:t>网评员满意度测评</w:t>
            </w:r>
          </w:p>
        </w:tc>
        <w:tc>
          <w:tcPr>
            <w:tcW w:w="2835" w:type="dxa"/>
            <w:noWrap w:val="0"/>
            <w:vAlign w:val="center"/>
          </w:tcPr>
          <w:p>
            <w:pPr>
              <w:pStyle w:val="16"/>
            </w:pPr>
            <w:r>
              <w:t>参与平台运行的网评员对平台运维情况的满意度</w:t>
            </w:r>
          </w:p>
        </w:tc>
        <w:tc>
          <w:tcPr>
            <w:tcW w:w="2551" w:type="dxa"/>
            <w:noWrap w:val="0"/>
            <w:vAlign w:val="center"/>
          </w:tcPr>
          <w:p>
            <w:pPr>
              <w:pStyle w:val="16"/>
            </w:pPr>
            <w:r>
              <w:t>≥90%</w:t>
            </w:r>
          </w:p>
        </w:tc>
        <w:tc>
          <w:tcPr>
            <w:tcW w:w="2268" w:type="dxa"/>
            <w:noWrap w:val="0"/>
            <w:vAlign w:val="center"/>
          </w:tcPr>
          <w:p>
            <w:pPr>
              <w:pStyle w:val="16"/>
            </w:pPr>
            <w:r>
              <w:t>问卷调查</w:t>
            </w:r>
          </w:p>
        </w:tc>
      </w:tr>
    </w:tbl>
    <w:p>
      <w:pPr>
        <w:pStyle w:val="14"/>
        <w:sectPr>
          <w:pgSz w:w="16840" w:h="11900" w:orient="landscape"/>
          <w:pgMar w:top="1361" w:right="1020" w:bottom="1361" w:left="1020" w:header="720" w:footer="720" w:gutter="0"/>
          <w:cols w:space="720" w:num="1"/>
        </w:sectPr>
      </w:pPr>
    </w:p>
    <w:p>
      <w:pPr>
        <w:spacing w:before="10" w:after="10"/>
        <w:ind w:firstLine="640"/>
        <w:outlineLvl w:val="2"/>
      </w:pPr>
      <w:bookmarkStart w:id="5" w:name="_Toc_3_3_0000000015"/>
      <w:r>
        <w:rPr>
          <w:rFonts w:ascii="黑体" w:hAnsi="黑体" w:eastAsia="黑体" w:cs="黑体"/>
          <w:color w:val="000000"/>
          <w:sz w:val="32"/>
        </w:rPr>
        <w:t>六、政府采购预算情况</w:t>
      </w:r>
      <w:bookmarkEnd w:id="5"/>
    </w:p>
    <w:p>
      <w:pPr>
        <w:spacing w:line="500" w:lineRule="exact"/>
        <w:ind w:firstLine="560"/>
      </w:pPr>
      <w:r>
        <w:rPr>
          <w:rFonts w:eastAsia="方正仿宋_GBK"/>
          <w:color w:val="000000"/>
          <w:sz w:val="28"/>
        </w:rPr>
        <w:t>2022年，中共廊坊市委网络安全和信息化委员会办公室</w:t>
      </w:r>
      <w:r>
        <w:rPr>
          <w:rFonts w:hint="eastAsia" w:eastAsia="方正仿宋_GBK"/>
          <w:color w:val="000000"/>
          <w:sz w:val="28"/>
          <w:lang w:eastAsia="zh-CN"/>
        </w:rPr>
        <w:t>本级</w:t>
      </w:r>
      <w:r>
        <w:rPr>
          <w:rFonts w:eastAsia="方正仿宋_GBK"/>
          <w:color w:val="000000"/>
          <w:sz w:val="28"/>
        </w:rPr>
        <w:t>安排政府采购预算</w:t>
      </w:r>
      <w:r>
        <w:rPr>
          <w:rFonts w:hint="eastAsia" w:eastAsia="方正仿宋_GBK"/>
          <w:color w:val="000000"/>
          <w:sz w:val="28"/>
          <w:lang w:val="en-US" w:eastAsia="zh-CN"/>
        </w:rPr>
        <w:t>3504.50</w:t>
      </w:r>
      <w:r>
        <w:rPr>
          <w:rFonts w:eastAsia="方正仿宋_GBK"/>
          <w:color w:val="000000"/>
          <w:sz w:val="28"/>
        </w:rPr>
        <w:t>万元。具体内容见下表。</w:t>
      </w:r>
    </w:p>
    <w:p>
      <w:pPr>
        <w:jc w:val="center"/>
      </w:pPr>
      <w:r>
        <w:rPr>
          <w:rFonts w:hint="eastAsia" w:ascii="方正小标宋_GBK" w:hAnsi="方正小标宋_GBK" w:eastAsia="方正小标宋_GBK" w:cs="方正小标宋_GBK"/>
          <w:color w:val="000000"/>
          <w:sz w:val="36"/>
          <w:lang w:eastAsia="zh-CN"/>
        </w:rPr>
        <w:t>单位</w:t>
      </w:r>
      <w:r>
        <w:rPr>
          <w:rFonts w:ascii="方正小标宋_GBK" w:hAnsi="方正小标宋_GBK" w:eastAsia="方正小标宋_GBK" w:cs="方正小标宋_GBK"/>
          <w:color w:val="000000"/>
          <w:sz w:val="36"/>
        </w:rPr>
        <w:t>政府采购预算</w:t>
      </w:r>
    </w:p>
    <w:tbl>
      <w:tblPr>
        <w:tblStyle w:val="4"/>
        <w:tblW w:w="16018"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701"/>
        <w:gridCol w:w="964"/>
        <w:gridCol w:w="1134"/>
        <w:gridCol w:w="1134"/>
        <w:gridCol w:w="709"/>
        <w:gridCol w:w="850"/>
        <w:gridCol w:w="850"/>
        <w:gridCol w:w="964"/>
        <w:gridCol w:w="964"/>
        <w:gridCol w:w="964"/>
        <w:gridCol w:w="964"/>
        <w:gridCol w:w="964"/>
        <w:gridCol w:w="964"/>
        <w:gridCol w:w="964"/>
        <w:gridCol w:w="964"/>
        <w:gridCol w:w="96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7342" w:type="dxa"/>
            <w:gridSpan w:val="7"/>
            <w:tcBorders>
              <w:top w:val="single" w:color="FFFFFF" w:sz="6" w:space="0"/>
              <w:left w:val="single" w:color="FFFFFF" w:sz="6" w:space="0"/>
              <w:right w:val="single" w:color="FFFFFF" w:sz="6" w:space="0"/>
            </w:tcBorders>
            <w:noWrap w:val="0"/>
            <w:vAlign w:val="center"/>
          </w:tcPr>
          <w:p>
            <w:pPr>
              <w:pStyle w:val="18"/>
              <w:rPr>
                <w:rFonts w:hint="eastAsia" w:eastAsia="方正小标宋_GBK"/>
                <w:lang w:eastAsia="zh-CN"/>
              </w:rPr>
            </w:pPr>
            <w:r>
              <w:t>41</w:t>
            </w:r>
            <w:r>
              <w:rPr>
                <w:rFonts w:hint="eastAsia"/>
                <w:lang w:val="en-US" w:eastAsia="zh-CN"/>
              </w:rPr>
              <w:t>0001</w:t>
            </w:r>
            <w:r>
              <w:t>中共廊坊市委网络安全和信息化委员会办公室</w:t>
            </w:r>
            <w:r>
              <w:rPr>
                <w:rFonts w:hint="eastAsia"/>
                <w:lang w:eastAsia="zh-CN"/>
              </w:rPr>
              <w:t>本级</w:t>
            </w:r>
          </w:p>
        </w:tc>
        <w:tc>
          <w:tcPr>
            <w:tcW w:w="8676" w:type="dxa"/>
            <w:gridSpan w:val="9"/>
            <w:tcBorders>
              <w:top w:val="single" w:color="FFFFFF" w:sz="6" w:space="0"/>
              <w:left w:val="single" w:color="FFFFFF" w:sz="6" w:space="0"/>
              <w:right w:val="single" w:color="FFFFFF" w:sz="6" w:space="0"/>
            </w:tcBorders>
            <w:noWrap w:val="0"/>
            <w:vAlign w:val="center"/>
          </w:tcPr>
          <w:p>
            <w:pPr>
              <w:pStyle w:val="19"/>
            </w:pPr>
            <w:r>
              <w:t>单位：万元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2665" w:type="dxa"/>
            <w:gridSpan w:val="2"/>
            <w:noWrap w:val="0"/>
            <w:vAlign w:val="center"/>
          </w:tcPr>
          <w:p>
            <w:pPr>
              <w:pStyle w:val="7"/>
            </w:pPr>
            <w:r>
              <w:t>政府采购项目来源</w:t>
            </w:r>
          </w:p>
        </w:tc>
        <w:tc>
          <w:tcPr>
            <w:tcW w:w="1134" w:type="dxa"/>
            <w:vMerge w:val="restart"/>
            <w:noWrap w:val="0"/>
            <w:vAlign w:val="center"/>
          </w:tcPr>
          <w:p>
            <w:pPr>
              <w:pStyle w:val="7"/>
            </w:pPr>
            <w:r>
              <w:t>采购物品名称</w:t>
            </w:r>
          </w:p>
        </w:tc>
        <w:tc>
          <w:tcPr>
            <w:tcW w:w="1134" w:type="dxa"/>
            <w:vMerge w:val="restart"/>
            <w:noWrap w:val="0"/>
            <w:vAlign w:val="center"/>
          </w:tcPr>
          <w:p>
            <w:pPr>
              <w:pStyle w:val="7"/>
            </w:pPr>
            <w:r>
              <w:t>政府采购目录序号</w:t>
            </w:r>
          </w:p>
        </w:tc>
        <w:tc>
          <w:tcPr>
            <w:tcW w:w="709" w:type="dxa"/>
            <w:vMerge w:val="restart"/>
            <w:noWrap w:val="0"/>
            <w:vAlign w:val="center"/>
          </w:tcPr>
          <w:p>
            <w:pPr>
              <w:pStyle w:val="7"/>
            </w:pPr>
            <w:r>
              <w:t>计量  单位</w:t>
            </w:r>
          </w:p>
        </w:tc>
        <w:tc>
          <w:tcPr>
            <w:tcW w:w="850" w:type="dxa"/>
            <w:vMerge w:val="restart"/>
            <w:noWrap w:val="0"/>
            <w:vAlign w:val="center"/>
          </w:tcPr>
          <w:p>
            <w:pPr>
              <w:pStyle w:val="7"/>
            </w:pPr>
            <w:r>
              <w:t>数量</w:t>
            </w:r>
          </w:p>
        </w:tc>
        <w:tc>
          <w:tcPr>
            <w:tcW w:w="850" w:type="dxa"/>
            <w:vMerge w:val="restart"/>
            <w:noWrap w:val="0"/>
            <w:vAlign w:val="center"/>
          </w:tcPr>
          <w:p>
            <w:pPr>
              <w:pStyle w:val="7"/>
            </w:pPr>
            <w:r>
              <w:t>单价</w:t>
            </w:r>
          </w:p>
        </w:tc>
        <w:tc>
          <w:tcPr>
            <w:tcW w:w="7712" w:type="dxa"/>
            <w:gridSpan w:val="8"/>
            <w:noWrap w:val="0"/>
            <w:vAlign w:val="center"/>
          </w:tcPr>
          <w:p>
            <w:pPr>
              <w:pStyle w:val="7"/>
            </w:pPr>
            <w:r>
              <w:t>政府采购金额（当年</w:t>
            </w:r>
            <w:r>
              <w:rPr>
                <w:rFonts w:hint="eastAsia"/>
                <w:lang w:eastAsia="zh-CN"/>
              </w:rPr>
              <w:t>单位</w:t>
            </w:r>
            <w:r>
              <w:t>预算安排资金）</w:t>
            </w:r>
          </w:p>
        </w:tc>
        <w:tc>
          <w:tcPr>
            <w:tcW w:w="964" w:type="dxa"/>
            <w:vMerge w:val="restart"/>
            <w:noWrap w:val="0"/>
            <w:vAlign w:val="center"/>
          </w:tcPr>
          <w:p>
            <w:pPr>
              <w:pStyle w:val="7"/>
            </w:pPr>
            <w:r>
              <w:t>2022年  预留中  小微企  业份额</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1701" w:type="dxa"/>
            <w:noWrap w:val="0"/>
            <w:vAlign w:val="center"/>
          </w:tcPr>
          <w:p>
            <w:pPr>
              <w:pStyle w:val="7"/>
            </w:pPr>
            <w:r>
              <w:t>项目名称</w:t>
            </w:r>
          </w:p>
        </w:tc>
        <w:tc>
          <w:tcPr>
            <w:tcW w:w="964" w:type="dxa"/>
            <w:noWrap w:val="0"/>
            <w:vAlign w:val="center"/>
          </w:tcPr>
          <w:p>
            <w:pPr>
              <w:pStyle w:val="7"/>
            </w:pPr>
            <w:r>
              <w:t>预算    资金</w:t>
            </w:r>
          </w:p>
        </w:tc>
        <w:tc>
          <w:tcPr>
            <w:tcW w:w="1134" w:type="dxa"/>
            <w:vMerge w:val="continue"/>
            <w:noWrap w:val="0"/>
            <w:vAlign w:val="top"/>
          </w:tcPr>
          <w:p/>
        </w:tc>
        <w:tc>
          <w:tcPr>
            <w:tcW w:w="1134" w:type="dxa"/>
            <w:vMerge w:val="continue"/>
            <w:noWrap w:val="0"/>
            <w:vAlign w:val="top"/>
          </w:tcPr>
          <w:p/>
        </w:tc>
        <w:tc>
          <w:tcPr>
            <w:tcW w:w="709" w:type="dxa"/>
            <w:vMerge w:val="continue"/>
            <w:noWrap w:val="0"/>
            <w:vAlign w:val="top"/>
          </w:tcPr>
          <w:p/>
        </w:tc>
        <w:tc>
          <w:tcPr>
            <w:tcW w:w="850" w:type="dxa"/>
            <w:vMerge w:val="continue"/>
            <w:noWrap w:val="0"/>
            <w:vAlign w:val="top"/>
          </w:tcPr>
          <w:p/>
        </w:tc>
        <w:tc>
          <w:tcPr>
            <w:tcW w:w="850" w:type="dxa"/>
            <w:vMerge w:val="continue"/>
            <w:noWrap w:val="0"/>
            <w:vAlign w:val="top"/>
          </w:tcPr>
          <w:p/>
        </w:tc>
        <w:tc>
          <w:tcPr>
            <w:tcW w:w="964" w:type="dxa"/>
            <w:noWrap w:val="0"/>
            <w:vAlign w:val="center"/>
          </w:tcPr>
          <w:p>
            <w:pPr>
              <w:pStyle w:val="7"/>
            </w:pPr>
            <w:r>
              <w:t>合计</w:t>
            </w:r>
          </w:p>
        </w:tc>
        <w:tc>
          <w:tcPr>
            <w:tcW w:w="964" w:type="dxa"/>
            <w:noWrap w:val="0"/>
            <w:vAlign w:val="center"/>
          </w:tcPr>
          <w:p>
            <w:pPr>
              <w:pStyle w:val="7"/>
            </w:pPr>
            <w:r>
              <w:t>一般公共预算拨款</w:t>
            </w:r>
          </w:p>
        </w:tc>
        <w:tc>
          <w:tcPr>
            <w:tcW w:w="964" w:type="dxa"/>
            <w:noWrap w:val="0"/>
            <w:vAlign w:val="center"/>
          </w:tcPr>
          <w:p>
            <w:pPr>
              <w:pStyle w:val="7"/>
            </w:pPr>
            <w:r>
              <w:t>基金预算拨款</w:t>
            </w:r>
          </w:p>
        </w:tc>
        <w:tc>
          <w:tcPr>
            <w:tcW w:w="964" w:type="dxa"/>
            <w:noWrap w:val="0"/>
            <w:vAlign w:val="center"/>
          </w:tcPr>
          <w:p>
            <w:pPr>
              <w:pStyle w:val="7"/>
            </w:pPr>
            <w:r>
              <w:t>国有资本经营预算拨款</w:t>
            </w:r>
          </w:p>
        </w:tc>
        <w:tc>
          <w:tcPr>
            <w:tcW w:w="964" w:type="dxa"/>
            <w:noWrap w:val="0"/>
            <w:vAlign w:val="center"/>
          </w:tcPr>
          <w:p>
            <w:pPr>
              <w:pStyle w:val="7"/>
            </w:pPr>
            <w:r>
              <w:t>财政专户核拨</w:t>
            </w:r>
          </w:p>
        </w:tc>
        <w:tc>
          <w:tcPr>
            <w:tcW w:w="964" w:type="dxa"/>
            <w:noWrap w:val="0"/>
            <w:vAlign w:val="center"/>
          </w:tcPr>
          <w:p>
            <w:pPr>
              <w:pStyle w:val="7"/>
            </w:pPr>
            <w:r>
              <w:t>单位    资金</w:t>
            </w:r>
          </w:p>
        </w:tc>
        <w:tc>
          <w:tcPr>
            <w:tcW w:w="964" w:type="dxa"/>
            <w:noWrap w:val="0"/>
            <w:vAlign w:val="center"/>
          </w:tcPr>
          <w:p>
            <w:pPr>
              <w:pStyle w:val="7"/>
            </w:pPr>
            <w:r>
              <w:t>财政拨    款结转</w:t>
            </w:r>
          </w:p>
        </w:tc>
        <w:tc>
          <w:tcPr>
            <w:tcW w:w="964" w:type="dxa"/>
            <w:noWrap w:val="0"/>
            <w:vAlign w:val="center"/>
          </w:tcPr>
          <w:p>
            <w:pPr>
              <w:pStyle w:val="7"/>
            </w:pPr>
            <w:r>
              <w:t>非财政    拨款结    转结余</w:t>
            </w:r>
          </w:p>
        </w:tc>
        <w:tc>
          <w:tcPr>
            <w:tcW w:w="964" w:type="dxa"/>
            <w:vMerge w:val="continue"/>
            <w:noWrap w:val="0"/>
            <w:vAlign w:val="top"/>
          </w:tc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1701" w:type="dxa"/>
            <w:noWrap w:val="0"/>
            <w:vAlign w:val="center"/>
          </w:tcPr>
          <w:p>
            <w:pPr>
              <w:pStyle w:val="20"/>
            </w:pPr>
            <w:r>
              <w:t>合  计</w:t>
            </w:r>
          </w:p>
        </w:tc>
        <w:tc>
          <w:tcPr>
            <w:tcW w:w="964" w:type="dxa"/>
            <w:noWrap w:val="0"/>
            <w:vAlign w:val="center"/>
          </w:tcPr>
          <w:p>
            <w:pPr>
              <w:pStyle w:val="21"/>
            </w:pPr>
          </w:p>
        </w:tc>
        <w:tc>
          <w:tcPr>
            <w:tcW w:w="1134" w:type="dxa"/>
            <w:noWrap w:val="0"/>
            <w:vAlign w:val="center"/>
          </w:tcPr>
          <w:p>
            <w:pPr>
              <w:pStyle w:val="22"/>
            </w:pPr>
          </w:p>
        </w:tc>
        <w:tc>
          <w:tcPr>
            <w:tcW w:w="1134" w:type="dxa"/>
            <w:noWrap w:val="0"/>
            <w:vAlign w:val="center"/>
          </w:tcPr>
          <w:p>
            <w:pPr>
              <w:pStyle w:val="22"/>
            </w:pPr>
          </w:p>
        </w:tc>
        <w:tc>
          <w:tcPr>
            <w:tcW w:w="709" w:type="dxa"/>
            <w:noWrap w:val="0"/>
            <w:vAlign w:val="center"/>
          </w:tcPr>
          <w:p>
            <w:pPr>
              <w:pStyle w:val="20"/>
            </w:pPr>
          </w:p>
        </w:tc>
        <w:tc>
          <w:tcPr>
            <w:tcW w:w="850" w:type="dxa"/>
            <w:noWrap w:val="0"/>
            <w:vAlign w:val="center"/>
          </w:tcPr>
          <w:p>
            <w:pPr>
              <w:pStyle w:val="21"/>
            </w:pPr>
          </w:p>
        </w:tc>
        <w:tc>
          <w:tcPr>
            <w:tcW w:w="850" w:type="dxa"/>
            <w:noWrap w:val="0"/>
            <w:vAlign w:val="center"/>
          </w:tcPr>
          <w:p>
            <w:pPr>
              <w:pStyle w:val="21"/>
            </w:pPr>
          </w:p>
        </w:tc>
        <w:tc>
          <w:tcPr>
            <w:tcW w:w="964" w:type="dxa"/>
            <w:noWrap w:val="0"/>
            <w:vAlign w:val="center"/>
          </w:tcPr>
          <w:p>
            <w:pPr>
              <w:pStyle w:val="21"/>
            </w:pPr>
            <w:r>
              <w:rPr>
                <w:rFonts w:hint="eastAsia"/>
                <w:lang w:val="en-US" w:eastAsia="zh-CN"/>
              </w:rPr>
              <w:t>3504.50</w:t>
            </w:r>
          </w:p>
        </w:tc>
        <w:tc>
          <w:tcPr>
            <w:tcW w:w="964" w:type="dxa"/>
            <w:noWrap w:val="0"/>
            <w:vAlign w:val="center"/>
          </w:tcPr>
          <w:p>
            <w:pPr>
              <w:pStyle w:val="21"/>
            </w:pPr>
            <w:r>
              <w:rPr>
                <w:rFonts w:hint="eastAsia"/>
                <w:lang w:val="en-US" w:eastAsia="zh-CN"/>
              </w:rPr>
              <w:t>3504.50</w:t>
            </w:r>
          </w:p>
        </w:tc>
        <w:tc>
          <w:tcPr>
            <w:tcW w:w="964" w:type="dxa"/>
            <w:noWrap w:val="0"/>
            <w:vAlign w:val="center"/>
          </w:tcPr>
          <w:p>
            <w:pPr>
              <w:pStyle w:val="21"/>
            </w:pPr>
          </w:p>
        </w:tc>
        <w:tc>
          <w:tcPr>
            <w:tcW w:w="964" w:type="dxa"/>
            <w:noWrap w:val="0"/>
            <w:vAlign w:val="center"/>
          </w:tcPr>
          <w:p>
            <w:pPr>
              <w:pStyle w:val="21"/>
            </w:pPr>
          </w:p>
        </w:tc>
        <w:tc>
          <w:tcPr>
            <w:tcW w:w="964" w:type="dxa"/>
            <w:noWrap w:val="0"/>
            <w:vAlign w:val="center"/>
          </w:tcPr>
          <w:p>
            <w:pPr>
              <w:pStyle w:val="21"/>
            </w:pPr>
          </w:p>
        </w:tc>
        <w:tc>
          <w:tcPr>
            <w:tcW w:w="964" w:type="dxa"/>
            <w:noWrap w:val="0"/>
            <w:vAlign w:val="center"/>
          </w:tcPr>
          <w:p>
            <w:pPr>
              <w:pStyle w:val="21"/>
            </w:pPr>
          </w:p>
        </w:tc>
        <w:tc>
          <w:tcPr>
            <w:tcW w:w="964" w:type="dxa"/>
            <w:noWrap w:val="0"/>
            <w:vAlign w:val="center"/>
          </w:tcPr>
          <w:p>
            <w:pPr>
              <w:pStyle w:val="21"/>
            </w:pPr>
          </w:p>
        </w:tc>
        <w:tc>
          <w:tcPr>
            <w:tcW w:w="964" w:type="dxa"/>
            <w:noWrap w:val="0"/>
            <w:vAlign w:val="center"/>
          </w:tcPr>
          <w:p>
            <w:pPr>
              <w:pStyle w:val="21"/>
            </w:pPr>
          </w:p>
        </w:tc>
        <w:tc>
          <w:tcPr>
            <w:tcW w:w="964" w:type="dxa"/>
            <w:noWrap w:val="0"/>
            <w:vAlign w:val="center"/>
          </w:tcPr>
          <w:p>
            <w:pPr>
              <w:pStyle w:val="21"/>
            </w:pPr>
            <w:r>
              <w:t>54.50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01" w:type="dxa"/>
            <w:noWrap w:val="0"/>
            <w:vAlign w:val="center"/>
          </w:tcPr>
          <w:p>
            <w:pPr>
              <w:pStyle w:val="20"/>
            </w:pPr>
            <w:r>
              <w:t>中共廊坊市委网络安全和信息化委员会办公室本级小计</w:t>
            </w:r>
          </w:p>
        </w:tc>
        <w:tc>
          <w:tcPr>
            <w:tcW w:w="964" w:type="dxa"/>
            <w:noWrap w:val="0"/>
            <w:vAlign w:val="center"/>
          </w:tcPr>
          <w:p>
            <w:pPr>
              <w:pStyle w:val="21"/>
            </w:pPr>
          </w:p>
        </w:tc>
        <w:tc>
          <w:tcPr>
            <w:tcW w:w="1134" w:type="dxa"/>
            <w:noWrap w:val="0"/>
            <w:vAlign w:val="center"/>
          </w:tcPr>
          <w:p>
            <w:pPr>
              <w:pStyle w:val="22"/>
            </w:pPr>
          </w:p>
        </w:tc>
        <w:tc>
          <w:tcPr>
            <w:tcW w:w="1134" w:type="dxa"/>
            <w:noWrap w:val="0"/>
            <w:vAlign w:val="center"/>
          </w:tcPr>
          <w:p>
            <w:pPr>
              <w:pStyle w:val="22"/>
            </w:pPr>
          </w:p>
        </w:tc>
        <w:tc>
          <w:tcPr>
            <w:tcW w:w="709" w:type="dxa"/>
            <w:noWrap w:val="0"/>
            <w:vAlign w:val="center"/>
          </w:tcPr>
          <w:p>
            <w:pPr>
              <w:pStyle w:val="20"/>
            </w:pPr>
          </w:p>
        </w:tc>
        <w:tc>
          <w:tcPr>
            <w:tcW w:w="850" w:type="dxa"/>
            <w:noWrap w:val="0"/>
            <w:vAlign w:val="center"/>
          </w:tcPr>
          <w:p>
            <w:pPr>
              <w:pStyle w:val="21"/>
            </w:pPr>
          </w:p>
        </w:tc>
        <w:tc>
          <w:tcPr>
            <w:tcW w:w="850" w:type="dxa"/>
            <w:noWrap w:val="0"/>
            <w:vAlign w:val="center"/>
          </w:tcPr>
          <w:p>
            <w:pPr>
              <w:pStyle w:val="21"/>
            </w:pPr>
          </w:p>
        </w:tc>
        <w:tc>
          <w:tcPr>
            <w:tcW w:w="964" w:type="dxa"/>
            <w:noWrap w:val="0"/>
            <w:vAlign w:val="center"/>
          </w:tcPr>
          <w:p>
            <w:pPr>
              <w:pStyle w:val="21"/>
              <w:rPr>
                <w:rFonts w:hint="default" w:eastAsia="方正书宋_GBK"/>
                <w:lang w:val="en-US" w:eastAsia="zh-CN"/>
              </w:rPr>
            </w:pPr>
            <w:r>
              <w:rPr>
                <w:rFonts w:hint="eastAsia"/>
                <w:lang w:val="en-US" w:eastAsia="zh-CN"/>
              </w:rPr>
              <w:t>3504.50</w:t>
            </w:r>
          </w:p>
        </w:tc>
        <w:tc>
          <w:tcPr>
            <w:tcW w:w="964" w:type="dxa"/>
            <w:noWrap w:val="0"/>
            <w:vAlign w:val="center"/>
          </w:tcPr>
          <w:p>
            <w:pPr>
              <w:pStyle w:val="21"/>
              <w:rPr>
                <w:rFonts w:hint="default"/>
                <w:lang w:val="en-US"/>
              </w:rPr>
            </w:pPr>
            <w:r>
              <w:rPr>
                <w:rFonts w:hint="eastAsia"/>
                <w:lang w:val="en-US" w:eastAsia="zh-CN"/>
              </w:rPr>
              <w:t>3504.50</w:t>
            </w:r>
          </w:p>
        </w:tc>
        <w:tc>
          <w:tcPr>
            <w:tcW w:w="964" w:type="dxa"/>
            <w:noWrap w:val="0"/>
            <w:vAlign w:val="center"/>
          </w:tcPr>
          <w:p>
            <w:pPr>
              <w:pStyle w:val="21"/>
            </w:pPr>
          </w:p>
        </w:tc>
        <w:tc>
          <w:tcPr>
            <w:tcW w:w="964" w:type="dxa"/>
            <w:noWrap w:val="0"/>
            <w:vAlign w:val="center"/>
          </w:tcPr>
          <w:p>
            <w:pPr>
              <w:pStyle w:val="21"/>
            </w:pPr>
          </w:p>
        </w:tc>
        <w:tc>
          <w:tcPr>
            <w:tcW w:w="964" w:type="dxa"/>
            <w:noWrap w:val="0"/>
            <w:vAlign w:val="center"/>
          </w:tcPr>
          <w:p>
            <w:pPr>
              <w:pStyle w:val="21"/>
            </w:pPr>
          </w:p>
        </w:tc>
        <w:tc>
          <w:tcPr>
            <w:tcW w:w="964" w:type="dxa"/>
            <w:noWrap w:val="0"/>
            <w:vAlign w:val="center"/>
          </w:tcPr>
          <w:p>
            <w:pPr>
              <w:pStyle w:val="21"/>
            </w:pPr>
          </w:p>
        </w:tc>
        <w:tc>
          <w:tcPr>
            <w:tcW w:w="964" w:type="dxa"/>
            <w:noWrap w:val="0"/>
            <w:vAlign w:val="center"/>
          </w:tcPr>
          <w:p>
            <w:pPr>
              <w:pStyle w:val="21"/>
            </w:pPr>
          </w:p>
        </w:tc>
        <w:tc>
          <w:tcPr>
            <w:tcW w:w="964" w:type="dxa"/>
            <w:noWrap w:val="0"/>
            <w:vAlign w:val="center"/>
          </w:tcPr>
          <w:p>
            <w:pPr>
              <w:pStyle w:val="21"/>
            </w:pPr>
          </w:p>
        </w:tc>
        <w:tc>
          <w:tcPr>
            <w:tcW w:w="964" w:type="dxa"/>
            <w:noWrap w:val="0"/>
            <w:vAlign w:val="center"/>
          </w:tcPr>
          <w:p>
            <w:pPr>
              <w:pStyle w:val="21"/>
            </w:pPr>
            <w:r>
              <w:t>54.50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01" w:type="dxa"/>
            <w:noWrap w:val="0"/>
            <w:vAlign w:val="center"/>
          </w:tcPr>
          <w:p>
            <w:pPr>
              <w:pStyle w:val="8"/>
            </w:pPr>
            <w:r>
              <w:t>公务网络机房维护经费</w:t>
            </w:r>
          </w:p>
        </w:tc>
        <w:tc>
          <w:tcPr>
            <w:tcW w:w="964" w:type="dxa"/>
            <w:noWrap w:val="0"/>
            <w:vAlign w:val="center"/>
          </w:tcPr>
          <w:p>
            <w:pPr>
              <w:pStyle w:val="23"/>
            </w:pPr>
            <w:r>
              <w:t>780.30</w:t>
            </w:r>
          </w:p>
        </w:tc>
        <w:tc>
          <w:tcPr>
            <w:tcW w:w="1134" w:type="dxa"/>
            <w:noWrap w:val="0"/>
            <w:vAlign w:val="center"/>
          </w:tcPr>
          <w:p>
            <w:pPr>
              <w:pStyle w:val="8"/>
            </w:pPr>
            <w:r>
              <w:t>软件运维服务</w:t>
            </w:r>
          </w:p>
        </w:tc>
        <w:tc>
          <w:tcPr>
            <w:tcW w:w="1134" w:type="dxa"/>
            <w:noWrap w:val="0"/>
            <w:vAlign w:val="center"/>
          </w:tcPr>
          <w:p>
            <w:pPr>
              <w:pStyle w:val="8"/>
            </w:pPr>
            <w:r>
              <w:t>C020603</w:t>
            </w:r>
          </w:p>
        </w:tc>
        <w:tc>
          <w:tcPr>
            <w:tcW w:w="709" w:type="dxa"/>
            <w:noWrap w:val="0"/>
            <w:vAlign w:val="center"/>
          </w:tcPr>
          <w:p>
            <w:pPr>
              <w:pStyle w:val="9"/>
            </w:pPr>
            <w:r>
              <w:t>套</w:t>
            </w:r>
          </w:p>
        </w:tc>
        <w:tc>
          <w:tcPr>
            <w:tcW w:w="850" w:type="dxa"/>
            <w:noWrap w:val="0"/>
            <w:vAlign w:val="center"/>
          </w:tcPr>
          <w:p>
            <w:pPr>
              <w:pStyle w:val="23"/>
            </w:pPr>
            <w:r>
              <w:t>1</w:t>
            </w:r>
          </w:p>
        </w:tc>
        <w:tc>
          <w:tcPr>
            <w:tcW w:w="850" w:type="dxa"/>
            <w:noWrap w:val="0"/>
            <w:vAlign w:val="center"/>
          </w:tcPr>
          <w:p>
            <w:pPr>
              <w:pStyle w:val="23"/>
            </w:pPr>
            <w:r>
              <w:t>54.50</w:t>
            </w:r>
          </w:p>
        </w:tc>
        <w:tc>
          <w:tcPr>
            <w:tcW w:w="964" w:type="dxa"/>
            <w:noWrap w:val="0"/>
            <w:vAlign w:val="center"/>
          </w:tcPr>
          <w:p>
            <w:pPr>
              <w:pStyle w:val="23"/>
            </w:pPr>
            <w:r>
              <w:t>54.50</w:t>
            </w:r>
          </w:p>
        </w:tc>
        <w:tc>
          <w:tcPr>
            <w:tcW w:w="964" w:type="dxa"/>
            <w:noWrap w:val="0"/>
            <w:vAlign w:val="center"/>
          </w:tcPr>
          <w:p>
            <w:pPr>
              <w:pStyle w:val="23"/>
            </w:pPr>
            <w:r>
              <w:t>54.50</w:t>
            </w:r>
          </w:p>
        </w:tc>
        <w:tc>
          <w:tcPr>
            <w:tcW w:w="964" w:type="dxa"/>
            <w:noWrap w:val="0"/>
            <w:vAlign w:val="center"/>
          </w:tcPr>
          <w:p>
            <w:pPr>
              <w:pStyle w:val="23"/>
            </w:pPr>
          </w:p>
        </w:tc>
        <w:tc>
          <w:tcPr>
            <w:tcW w:w="964" w:type="dxa"/>
            <w:noWrap w:val="0"/>
            <w:vAlign w:val="center"/>
          </w:tcPr>
          <w:p>
            <w:pPr>
              <w:pStyle w:val="23"/>
            </w:pPr>
          </w:p>
        </w:tc>
        <w:tc>
          <w:tcPr>
            <w:tcW w:w="964" w:type="dxa"/>
            <w:noWrap w:val="0"/>
            <w:vAlign w:val="center"/>
          </w:tcPr>
          <w:p>
            <w:pPr>
              <w:pStyle w:val="23"/>
            </w:pPr>
          </w:p>
        </w:tc>
        <w:tc>
          <w:tcPr>
            <w:tcW w:w="964" w:type="dxa"/>
            <w:noWrap w:val="0"/>
            <w:vAlign w:val="center"/>
          </w:tcPr>
          <w:p>
            <w:pPr>
              <w:pStyle w:val="23"/>
            </w:pPr>
          </w:p>
        </w:tc>
        <w:tc>
          <w:tcPr>
            <w:tcW w:w="964" w:type="dxa"/>
            <w:noWrap w:val="0"/>
            <w:vAlign w:val="center"/>
          </w:tcPr>
          <w:p>
            <w:pPr>
              <w:pStyle w:val="23"/>
            </w:pPr>
          </w:p>
        </w:tc>
        <w:tc>
          <w:tcPr>
            <w:tcW w:w="964" w:type="dxa"/>
            <w:noWrap w:val="0"/>
            <w:vAlign w:val="center"/>
          </w:tcPr>
          <w:p>
            <w:pPr>
              <w:pStyle w:val="23"/>
            </w:pPr>
          </w:p>
        </w:tc>
        <w:tc>
          <w:tcPr>
            <w:tcW w:w="964" w:type="dxa"/>
            <w:noWrap w:val="0"/>
            <w:vAlign w:val="center"/>
          </w:tcPr>
          <w:p>
            <w:pPr>
              <w:pStyle w:val="23"/>
            </w:pPr>
            <w:r>
              <w:t>54.50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01" w:type="dxa"/>
            <w:noWrap w:val="0"/>
            <w:vAlign w:val="center"/>
          </w:tcPr>
          <w:p>
            <w:pPr>
              <w:pStyle w:val="8"/>
            </w:pPr>
            <w:r>
              <w:t>公务网络机房维护经费</w:t>
            </w:r>
          </w:p>
        </w:tc>
        <w:tc>
          <w:tcPr>
            <w:tcW w:w="964" w:type="dxa"/>
            <w:noWrap w:val="0"/>
            <w:vAlign w:val="center"/>
          </w:tcPr>
          <w:p>
            <w:pPr>
              <w:pStyle w:val="23"/>
            </w:pPr>
            <w:r>
              <w:t>780.30</w:t>
            </w:r>
          </w:p>
        </w:tc>
        <w:tc>
          <w:tcPr>
            <w:tcW w:w="1134" w:type="dxa"/>
            <w:noWrap w:val="0"/>
            <w:vAlign w:val="center"/>
          </w:tcPr>
          <w:p>
            <w:pPr>
              <w:pStyle w:val="8"/>
            </w:pPr>
            <w:r>
              <w:t>基础电信服务</w:t>
            </w:r>
          </w:p>
        </w:tc>
        <w:tc>
          <w:tcPr>
            <w:tcW w:w="1134" w:type="dxa"/>
            <w:noWrap w:val="0"/>
            <w:vAlign w:val="center"/>
          </w:tcPr>
          <w:p>
            <w:pPr>
              <w:pStyle w:val="8"/>
            </w:pPr>
            <w:r>
              <w:t>C030101</w:t>
            </w:r>
          </w:p>
        </w:tc>
        <w:tc>
          <w:tcPr>
            <w:tcW w:w="709" w:type="dxa"/>
            <w:noWrap w:val="0"/>
            <w:vAlign w:val="center"/>
          </w:tcPr>
          <w:p>
            <w:pPr>
              <w:pStyle w:val="9"/>
            </w:pPr>
            <w:r>
              <w:t>套</w:t>
            </w:r>
          </w:p>
        </w:tc>
        <w:tc>
          <w:tcPr>
            <w:tcW w:w="850" w:type="dxa"/>
            <w:noWrap w:val="0"/>
            <w:vAlign w:val="center"/>
          </w:tcPr>
          <w:p>
            <w:pPr>
              <w:pStyle w:val="23"/>
            </w:pPr>
            <w:r>
              <w:t>1</w:t>
            </w:r>
          </w:p>
        </w:tc>
        <w:tc>
          <w:tcPr>
            <w:tcW w:w="850" w:type="dxa"/>
            <w:noWrap w:val="0"/>
            <w:vAlign w:val="center"/>
          </w:tcPr>
          <w:p>
            <w:pPr>
              <w:pStyle w:val="23"/>
            </w:pPr>
            <w:r>
              <w:t>300.00</w:t>
            </w:r>
          </w:p>
        </w:tc>
        <w:tc>
          <w:tcPr>
            <w:tcW w:w="964" w:type="dxa"/>
            <w:noWrap w:val="0"/>
            <w:vAlign w:val="center"/>
          </w:tcPr>
          <w:p>
            <w:pPr>
              <w:pStyle w:val="23"/>
            </w:pPr>
            <w:r>
              <w:t>300.00</w:t>
            </w:r>
          </w:p>
        </w:tc>
        <w:tc>
          <w:tcPr>
            <w:tcW w:w="964" w:type="dxa"/>
            <w:noWrap w:val="0"/>
            <w:vAlign w:val="center"/>
          </w:tcPr>
          <w:p>
            <w:pPr>
              <w:pStyle w:val="23"/>
            </w:pPr>
            <w:r>
              <w:t>300.00</w:t>
            </w:r>
          </w:p>
        </w:tc>
        <w:tc>
          <w:tcPr>
            <w:tcW w:w="964" w:type="dxa"/>
            <w:noWrap w:val="0"/>
            <w:vAlign w:val="center"/>
          </w:tcPr>
          <w:p>
            <w:pPr>
              <w:pStyle w:val="23"/>
            </w:pPr>
          </w:p>
        </w:tc>
        <w:tc>
          <w:tcPr>
            <w:tcW w:w="964" w:type="dxa"/>
            <w:noWrap w:val="0"/>
            <w:vAlign w:val="center"/>
          </w:tcPr>
          <w:p>
            <w:pPr>
              <w:pStyle w:val="23"/>
            </w:pPr>
          </w:p>
        </w:tc>
        <w:tc>
          <w:tcPr>
            <w:tcW w:w="964" w:type="dxa"/>
            <w:noWrap w:val="0"/>
            <w:vAlign w:val="center"/>
          </w:tcPr>
          <w:p>
            <w:pPr>
              <w:pStyle w:val="23"/>
            </w:pPr>
          </w:p>
        </w:tc>
        <w:tc>
          <w:tcPr>
            <w:tcW w:w="964" w:type="dxa"/>
            <w:noWrap w:val="0"/>
            <w:vAlign w:val="center"/>
          </w:tcPr>
          <w:p>
            <w:pPr>
              <w:pStyle w:val="23"/>
            </w:pPr>
          </w:p>
        </w:tc>
        <w:tc>
          <w:tcPr>
            <w:tcW w:w="964" w:type="dxa"/>
            <w:noWrap w:val="0"/>
            <w:vAlign w:val="center"/>
          </w:tcPr>
          <w:p>
            <w:pPr>
              <w:pStyle w:val="23"/>
            </w:pPr>
          </w:p>
        </w:tc>
        <w:tc>
          <w:tcPr>
            <w:tcW w:w="964" w:type="dxa"/>
            <w:noWrap w:val="0"/>
            <w:vAlign w:val="center"/>
          </w:tcPr>
          <w:p>
            <w:pPr>
              <w:pStyle w:val="23"/>
            </w:pPr>
          </w:p>
        </w:tc>
        <w:tc>
          <w:tcPr>
            <w:tcW w:w="964" w:type="dxa"/>
            <w:noWrap w:val="0"/>
            <w:vAlign w:val="center"/>
          </w:tcPr>
          <w:p>
            <w:pPr>
              <w:pStyle w:val="23"/>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1701" w:type="dxa"/>
            <w:noWrap w:val="0"/>
            <w:vAlign w:val="center"/>
          </w:tcPr>
          <w:p>
            <w:pPr>
              <w:pStyle w:val="8"/>
            </w:pPr>
            <w:r>
              <w:t>廊坊新型智慧城市购买服务项目资金</w:t>
            </w:r>
          </w:p>
        </w:tc>
        <w:tc>
          <w:tcPr>
            <w:tcW w:w="964" w:type="dxa"/>
            <w:noWrap w:val="0"/>
            <w:vAlign w:val="center"/>
          </w:tcPr>
          <w:p>
            <w:pPr>
              <w:pStyle w:val="23"/>
            </w:pPr>
            <w:r>
              <w:t>3000.00</w:t>
            </w:r>
          </w:p>
        </w:tc>
        <w:tc>
          <w:tcPr>
            <w:tcW w:w="1134" w:type="dxa"/>
            <w:noWrap w:val="0"/>
            <w:vAlign w:val="center"/>
          </w:tcPr>
          <w:p>
            <w:pPr>
              <w:pStyle w:val="8"/>
            </w:pPr>
            <w:r>
              <w:t>存储服务</w:t>
            </w:r>
          </w:p>
        </w:tc>
        <w:tc>
          <w:tcPr>
            <w:tcW w:w="1134" w:type="dxa"/>
            <w:noWrap w:val="0"/>
            <w:vAlign w:val="center"/>
          </w:tcPr>
          <w:p>
            <w:pPr>
              <w:pStyle w:val="8"/>
            </w:pPr>
            <w:r>
              <w:t>C020301</w:t>
            </w:r>
          </w:p>
        </w:tc>
        <w:tc>
          <w:tcPr>
            <w:tcW w:w="709" w:type="dxa"/>
            <w:noWrap w:val="0"/>
            <w:vAlign w:val="center"/>
          </w:tcPr>
          <w:p>
            <w:pPr>
              <w:pStyle w:val="9"/>
            </w:pPr>
            <w:r>
              <w:t>套</w:t>
            </w:r>
          </w:p>
        </w:tc>
        <w:tc>
          <w:tcPr>
            <w:tcW w:w="850" w:type="dxa"/>
            <w:noWrap w:val="0"/>
            <w:vAlign w:val="center"/>
          </w:tcPr>
          <w:p>
            <w:pPr>
              <w:pStyle w:val="23"/>
            </w:pPr>
            <w:r>
              <w:t>1</w:t>
            </w:r>
          </w:p>
        </w:tc>
        <w:tc>
          <w:tcPr>
            <w:tcW w:w="850" w:type="dxa"/>
            <w:noWrap w:val="0"/>
            <w:vAlign w:val="center"/>
          </w:tcPr>
          <w:p>
            <w:pPr>
              <w:pStyle w:val="23"/>
            </w:pPr>
            <w:r>
              <w:t>3000.00</w:t>
            </w:r>
          </w:p>
        </w:tc>
        <w:tc>
          <w:tcPr>
            <w:tcW w:w="964" w:type="dxa"/>
            <w:noWrap w:val="0"/>
            <w:vAlign w:val="center"/>
          </w:tcPr>
          <w:p>
            <w:pPr>
              <w:pStyle w:val="23"/>
            </w:pPr>
            <w:r>
              <w:t>3000.00</w:t>
            </w:r>
          </w:p>
        </w:tc>
        <w:tc>
          <w:tcPr>
            <w:tcW w:w="964" w:type="dxa"/>
            <w:noWrap w:val="0"/>
            <w:vAlign w:val="center"/>
          </w:tcPr>
          <w:p>
            <w:pPr>
              <w:pStyle w:val="23"/>
            </w:pPr>
            <w:r>
              <w:t>3000.00</w:t>
            </w:r>
          </w:p>
        </w:tc>
        <w:tc>
          <w:tcPr>
            <w:tcW w:w="964" w:type="dxa"/>
            <w:noWrap w:val="0"/>
            <w:vAlign w:val="center"/>
          </w:tcPr>
          <w:p>
            <w:pPr>
              <w:pStyle w:val="23"/>
            </w:pPr>
          </w:p>
        </w:tc>
        <w:tc>
          <w:tcPr>
            <w:tcW w:w="964" w:type="dxa"/>
            <w:noWrap w:val="0"/>
            <w:vAlign w:val="center"/>
          </w:tcPr>
          <w:p>
            <w:pPr>
              <w:pStyle w:val="23"/>
            </w:pPr>
          </w:p>
        </w:tc>
        <w:tc>
          <w:tcPr>
            <w:tcW w:w="964" w:type="dxa"/>
            <w:noWrap w:val="0"/>
            <w:vAlign w:val="center"/>
          </w:tcPr>
          <w:p>
            <w:pPr>
              <w:pStyle w:val="23"/>
            </w:pPr>
          </w:p>
        </w:tc>
        <w:tc>
          <w:tcPr>
            <w:tcW w:w="964" w:type="dxa"/>
            <w:noWrap w:val="0"/>
            <w:vAlign w:val="center"/>
          </w:tcPr>
          <w:p>
            <w:pPr>
              <w:pStyle w:val="23"/>
            </w:pPr>
          </w:p>
        </w:tc>
        <w:tc>
          <w:tcPr>
            <w:tcW w:w="964" w:type="dxa"/>
            <w:noWrap w:val="0"/>
            <w:vAlign w:val="center"/>
          </w:tcPr>
          <w:p>
            <w:pPr>
              <w:pStyle w:val="23"/>
            </w:pPr>
          </w:p>
        </w:tc>
        <w:tc>
          <w:tcPr>
            <w:tcW w:w="964" w:type="dxa"/>
            <w:noWrap w:val="0"/>
            <w:vAlign w:val="center"/>
          </w:tcPr>
          <w:p>
            <w:pPr>
              <w:pStyle w:val="23"/>
            </w:pPr>
          </w:p>
        </w:tc>
        <w:tc>
          <w:tcPr>
            <w:tcW w:w="964" w:type="dxa"/>
            <w:noWrap w:val="0"/>
            <w:vAlign w:val="center"/>
          </w:tcPr>
          <w:p>
            <w:pPr>
              <w:pStyle w:val="23"/>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01" w:type="dxa"/>
            <w:noWrap w:val="0"/>
            <w:vAlign w:val="center"/>
          </w:tcPr>
          <w:p>
            <w:pPr>
              <w:pStyle w:val="8"/>
            </w:pPr>
            <w:r>
              <w:t>网络媒体宣传引导工作经费</w:t>
            </w:r>
          </w:p>
        </w:tc>
        <w:tc>
          <w:tcPr>
            <w:tcW w:w="964" w:type="dxa"/>
            <w:noWrap w:val="0"/>
            <w:vAlign w:val="center"/>
          </w:tcPr>
          <w:p>
            <w:pPr>
              <w:pStyle w:val="23"/>
            </w:pPr>
            <w:r>
              <w:t>276.40</w:t>
            </w:r>
          </w:p>
        </w:tc>
        <w:tc>
          <w:tcPr>
            <w:tcW w:w="1134" w:type="dxa"/>
            <w:noWrap w:val="0"/>
            <w:vAlign w:val="center"/>
          </w:tcPr>
          <w:p>
            <w:pPr>
              <w:pStyle w:val="8"/>
            </w:pPr>
            <w:r>
              <w:t>新闻服务</w:t>
            </w:r>
          </w:p>
        </w:tc>
        <w:tc>
          <w:tcPr>
            <w:tcW w:w="1134" w:type="dxa"/>
            <w:noWrap w:val="0"/>
            <w:vAlign w:val="center"/>
          </w:tcPr>
          <w:p>
            <w:pPr>
              <w:pStyle w:val="8"/>
            </w:pPr>
            <w:r>
              <w:t>C2001</w:t>
            </w:r>
          </w:p>
        </w:tc>
        <w:tc>
          <w:tcPr>
            <w:tcW w:w="709" w:type="dxa"/>
            <w:noWrap w:val="0"/>
            <w:vAlign w:val="center"/>
          </w:tcPr>
          <w:p>
            <w:pPr>
              <w:pStyle w:val="9"/>
            </w:pPr>
            <w:r>
              <w:t>项</w:t>
            </w:r>
          </w:p>
        </w:tc>
        <w:tc>
          <w:tcPr>
            <w:tcW w:w="850" w:type="dxa"/>
            <w:noWrap w:val="0"/>
            <w:vAlign w:val="center"/>
          </w:tcPr>
          <w:p>
            <w:pPr>
              <w:pStyle w:val="23"/>
            </w:pPr>
            <w:r>
              <w:t>1</w:t>
            </w:r>
          </w:p>
        </w:tc>
        <w:tc>
          <w:tcPr>
            <w:tcW w:w="850" w:type="dxa"/>
            <w:noWrap w:val="0"/>
            <w:vAlign w:val="center"/>
          </w:tcPr>
          <w:p>
            <w:pPr>
              <w:pStyle w:val="23"/>
            </w:pPr>
            <w:r>
              <w:t>150.00</w:t>
            </w:r>
          </w:p>
        </w:tc>
        <w:tc>
          <w:tcPr>
            <w:tcW w:w="964" w:type="dxa"/>
            <w:noWrap w:val="0"/>
            <w:vAlign w:val="center"/>
          </w:tcPr>
          <w:p>
            <w:pPr>
              <w:pStyle w:val="23"/>
            </w:pPr>
            <w:r>
              <w:t>150.00</w:t>
            </w:r>
          </w:p>
        </w:tc>
        <w:tc>
          <w:tcPr>
            <w:tcW w:w="964" w:type="dxa"/>
            <w:noWrap w:val="0"/>
            <w:vAlign w:val="center"/>
          </w:tcPr>
          <w:p>
            <w:pPr>
              <w:pStyle w:val="23"/>
            </w:pPr>
            <w:r>
              <w:t>150.00</w:t>
            </w:r>
          </w:p>
        </w:tc>
        <w:tc>
          <w:tcPr>
            <w:tcW w:w="964" w:type="dxa"/>
            <w:noWrap w:val="0"/>
            <w:vAlign w:val="center"/>
          </w:tcPr>
          <w:p>
            <w:pPr>
              <w:pStyle w:val="23"/>
            </w:pPr>
          </w:p>
        </w:tc>
        <w:tc>
          <w:tcPr>
            <w:tcW w:w="964" w:type="dxa"/>
            <w:noWrap w:val="0"/>
            <w:vAlign w:val="center"/>
          </w:tcPr>
          <w:p>
            <w:pPr>
              <w:pStyle w:val="23"/>
            </w:pPr>
          </w:p>
        </w:tc>
        <w:tc>
          <w:tcPr>
            <w:tcW w:w="964" w:type="dxa"/>
            <w:noWrap w:val="0"/>
            <w:vAlign w:val="center"/>
          </w:tcPr>
          <w:p>
            <w:pPr>
              <w:pStyle w:val="23"/>
            </w:pPr>
          </w:p>
        </w:tc>
        <w:tc>
          <w:tcPr>
            <w:tcW w:w="964" w:type="dxa"/>
            <w:noWrap w:val="0"/>
            <w:vAlign w:val="center"/>
          </w:tcPr>
          <w:p>
            <w:pPr>
              <w:pStyle w:val="23"/>
            </w:pPr>
          </w:p>
        </w:tc>
        <w:tc>
          <w:tcPr>
            <w:tcW w:w="964" w:type="dxa"/>
            <w:noWrap w:val="0"/>
            <w:vAlign w:val="center"/>
          </w:tcPr>
          <w:p>
            <w:pPr>
              <w:pStyle w:val="23"/>
            </w:pPr>
          </w:p>
        </w:tc>
        <w:tc>
          <w:tcPr>
            <w:tcW w:w="964" w:type="dxa"/>
            <w:noWrap w:val="0"/>
            <w:vAlign w:val="center"/>
          </w:tcPr>
          <w:p>
            <w:pPr>
              <w:pStyle w:val="23"/>
            </w:pPr>
          </w:p>
        </w:tc>
        <w:tc>
          <w:tcPr>
            <w:tcW w:w="964" w:type="dxa"/>
            <w:noWrap w:val="0"/>
            <w:vAlign w:val="center"/>
          </w:tcPr>
          <w:p>
            <w:pPr>
              <w:pStyle w:val="23"/>
            </w:pPr>
          </w:p>
        </w:tc>
      </w:tr>
    </w:tbl>
    <w:p>
      <w:pPr>
        <w:spacing w:line="500" w:lineRule="exact"/>
        <w:ind w:firstLine="420"/>
      </w:pPr>
      <w:r>
        <w:rPr>
          <w:rFonts w:ascii="方正书宋_GBK" w:hAnsi="方正书宋_GBK" w:eastAsia="方正书宋_GBK" w:cs="方正书宋_GBK"/>
          <w:color w:val="000000"/>
          <w:sz w:val="21"/>
        </w:rPr>
        <w:t>注：同一采购目录序号的物品，其单价会因配置规格不同而变动，均符合资产配置标准。涉密采购事项按照相关规定执行。</w:t>
      </w:r>
    </w:p>
    <w:p>
      <w:pPr>
        <w:ind w:firstLine="640"/>
      </w:pPr>
      <w:r>
        <w:rPr>
          <w:rFonts w:eastAsia="方正仿宋_GBK"/>
          <w:color w:val="000000"/>
          <w:sz w:val="32"/>
        </w:rPr>
        <w:t xml:space="preserve"> </w:t>
      </w:r>
    </w:p>
    <w:p>
      <w:pPr>
        <w:spacing w:before="10" w:after="10"/>
        <w:ind w:firstLine="640"/>
        <w:outlineLvl w:val="2"/>
      </w:pPr>
      <w:bookmarkStart w:id="6" w:name="_Toc_3_3_0000000016"/>
      <w:r>
        <w:rPr>
          <w:rFonts w:ascii="黑体" w:hAnsi="黑体" w:eastAsia="黑体" w:cs="黑体"/>
          <w:color w:val="000000"/>
          <w:sz w:val="32"/>
        </w:rPr>
        <w:t>七、国有资产信息</w:t>
      </w:r>
      <w:bookmarkEnd w:id="6"/>
    </w:p>
    <w:p>
      <w:pPr>
        <w:spacing w:line="500" w:lineRule="exact"/>
        <w:ind w:firstLine="560"/>
      </w:pPr>
      <w:r>
        <w:rPr>
          <w:rFonts w:eastAsia="方正仿宋_GBK"/>
          <w:color w:val="000000"/>
          <w:sz w:val="28"/>
        </w:rPr>
        <w:t>中共廊坊市委网络安全和信息化委员会办公室</w:t>
      </w:r>
      <w:r>
        <w:rPr>
          <w:rFonts w:hint="eastAsia" w:eastAsia="方正仿宋_GBK"/>
          <w:color w:val="000000"/>
          <w:sz w:val="28"/>
          <w:lang w:eastAsia="zh-CN"/>
        </w:rPr>
        <w:t>本级</w:t>
      </w:r>
      <w:r>
        <w:rPr>
          <w:rFonts w:eastAsia="方正仿宋_GBK"/>
          <w:color w:val="000000"/>
          <w:sz w:val="28"/>
        </w:rPr>
        <w:t>上年末固定资产金额为</w:t>
      </w:r>
      <w:r>
        <w:rPr>
          <w:rFonts w:hint="eastAsia" w:eastAsia="方正仿宋_GBK"/>
          <w:color w:val="000000"/>
          <w:sz w:val="28"/>
          <w:lang w:val="en-US" w:eastAsia="zh-CN"/>
        </w:rPr>
        <w:t>5904.21</w:t>
      </w:r>
      <w:r>
        <w:rPr>
          <w:rFonts w:eastAsia="方正仿宋_GBK"/>
          <w:color w:val="000000"/>
          <w:sz w:val="28"/>
        </w:rPr>
        <w:t>万元（详见下表）。本年度拟购置固定资产总额为</w:t>
      </w:r>
      <w:r>
        <w:rPr>
          <w:rFonts w:hint="eastAsia" w:eastAsia="方正仿宋_GBK"/>
          <w:color w:val="000000"/>
          <w:sz w:val="28"/>
          <w:lang w:val="en-US" w:eastAsia="zh-CN"/>
        </w:rPr>
        <w:t>0.00</w:t>
      </w:r>
      <w:r>
        <w:rPr>
          <w:rFonts w:eastAsia="方正仿宋_GBK"/>
          <w:color w:val="000000"/>
          <w:sz w:val="28"/>
        </w:rPr>
        <w:t>万元，已按要求列入政府采购预算，详见政府采购预算表。</w:t>
      </w:r>
    </w:p>
    <w:tbl>
      <w:tblPr>
        <w:tblStyle w:val="4"/>
        <w:tblW w:w="13482" w:type="dxa"/>
        <w:jc w:val="center"/>
        <w:tblLayout w:type="fixed"/>
        <w:tblCellMar>
          <w:top w:w="0" w:type="dxa"/>
          <w:left w:w="108" w:type="dxa"/>
          <w:bottom w:w="0" w:type="dxa"/>
          <w:right w:w="108" w:type="dxa"/>
        </w:tblCellMar>
      </w:tblPr>
      <w:tblGrid>
        <w:gridCol w:w="5224"/>
        <w:gridCol w:w="3155"/>
        <w:gridCol w:w="5103"/>
      </w:tblGrid>
      <w:tr>
        <w:tblPrEx>
          <w:tblCellMar>
            <w:top w:w="0" w:type="dxa"/>
            <w:left w:w="108" w:type="dxa"/>
            <w:bottom w:w="0" w:type="dxa"/>
            <w:right w:w="108" w:type="dxa"/>
          </w:tblCellMar>
        </w:tblPrEx>
        <w:trPr>
          <w:trHeight w:val="705" w:hRule="atLeast"/>
          <w:jc w:val="center"/>
        </w:trPr>
        <w:tc>
          <w:tcPr>
            <w:tcW w:w="13482" w:type="dxa"/>
            <w:gridSpan w:val="3"/>
            <w:tcBorders>
              <w:top w:val="nil"/>
              <w:left w:val="nil"/>
              <w:bottom w:val="nil"/>
              <w:right w:val="nil"/>
            </w:tcBorders>
            <w:shd w:val="clear" w:color="auto" w:fill="auto"/>
            <w:noWrap/>
            <w:vAlign w:val="center"/>
          </w:tcPr>
          <w:p>
            <w:pPr>
              <w:widowControl/>
              <w:spacing w:line="584" w:lineRule="exact"/>
              <w:jc w:val="center"/>
              <w:rPr>
                <w:rFonts w:ascii="Times New Roman" w:hAnsi="Times New Roman" w:eastAsia="仿宋_GB2312" w:cs="Times New Roman"/>
                <w:b/>
                <w:bCs/>
                <w:kern w:val="0"/>
                <w:sz w:val="32"/>
                <w:szCs w:val="32"/>
              </w:rPr>
            </w:pPr>
            <w:r>
              <w:rPr>
                <w:rFonts w:hint="eastAsia" w:eastAsia="仿宋_GB2312" w:cs="Times New Roman"/>
                <w:b/>
                <w:bCs/>
                <w:kern w:val="0"/>
                <w:sz w:val="32"/>
                <w:szCs w:val="32"/>
                <w:lang w:eastAsia="zh-CN"/>
              </w:rPr>
              <w:t>单位</w:t>
            </w:r>
            <w:r>
              <w:rPr>
                <w:rFonts w:ascii="Times New Roman" w:hAnsi="Times New Roman" w:eastAsia="仿宋_GB2312" w:cs="Times New Roman"/>
                <w:b/>
                <w:bCs/>
                <w:kern w:val="0"/>
                <w:sz w:val="32"/>
                <w:szCs w:val="32"/>
              </w:rPr>
              <w:t>固定资产占用情况表</w:t>
            </w:r>
          </w:p>
        </w:tc>
      </w:tr>
      <w:tr>
        <w:tblPrEx>
          <w:tblCellMar>
            <w:top w:w="0" w:type="dxa"/>
            <w:left w:w="108" w:type="dxa"/>
            <w:bottom w:w="0" w:type="dxa"/>
            <w:right w:w="108" w:type="dxa"/>
          </w:tblCellMar>
        </w:tblPrEx>
        <w:trPr>
          <w:trHeight w:val="510" w:hRule="atLeast"/>
          <w:jc w:val="center"/>
        </w:trPr>
        <w:tc>
          <w:tcPr>
            <w:tcW w:w="8379" w:type="dxa"/>
            <w:gridSpan w:val="2"/>
            <w:tcBorders>
              <w:top w:val="nil"/>
              <w:left w:val="nil"/>
              <w:bottom w:val="nil"/>
              <w:right w:val="nil"/>
            </w:tcBorders>
            <w:shd w:val="clear" w:color="auto" w:fill="auto"/>
            <w:noWrap/>
            <w:vAlign w:val="center"/>
          </w:tcPr>
          <w:p>
            <w:pPr>
              <w:widowControl/>
              <w:spacing w:line="584" w:lineRule="exact"/>
              <w:jc w:val="left"/>
              <w:rPr>
                <w:rFonts w:hint="eastAsia" w:ascii="Times New Roman" w:hAnsi="Times New Roman" w:eastAsia="仿宋_GB2312" w:cs="Times New Roman"/>
                <w:kern w:val="0"/>
                <w:sz w:val="22"/>
                <w:lang w:eastAsia="zh-CN"/>
              </w:rPr>
            </w:pPr>
            <w:r>
              <w:rPr>
                <w:rFonts w:ascii="Times New Roman" w:hAnsi="Times New Roman" w:eastAsia="仿宋_GB2312" w:cs="Times New Roman"/>
                <w:kern w:val="0"/>
                <w:sz w:val="22"/>
              </w:rPr>
              <w:t>编制</w:t>
            </w:r>
            <w:r>
              <w:rPr>
                <w:rFonts w:hint="eastAsia" w:eastAsia="仿宋_GB2312" w:cs="Times New Roman"/>
                <w:kern w:val="0"/>
                <w:sz w:val="22"/>
                <w:lang w:eastAsia="zh-CN"/>
              </w:rPr>
              <w:t>单位</w:t>
            </w:r>
            <w:r>
              <w:rPr>
                <w:rFonts w:ascii="Times New Roman" w:hAnsi="Times New Roman" w:eastAsia="仿宋_GB2312" w:cs="Times New Roman"/>
                <w:kern w:val="0"/>
                <w:sz w:val="22"/>
              </w:rPr>
              <w:t>：</w:t>
            </w:r>
            <w:r>
              <w:rPr>
                <w:rFonts w:hint="eastAsia" w:ascii="Times New Roman" w:hAnsi="Times New Roman" w:eastAsia="仿宋_GB2312" w:cs="Times New Roman"/>
                <w:kern w:val="0"/>
                <w:sz w:val="22"/>
                <w:lang w:eastAsia="zh-CN"/>
              </w:rPr>
              <w:t>中共廊坊市委网络安全和信息化委员会办公室</w:t>
            </w:r>
            <w:r>
              <w:rPr>
                <w:rFonts w:hint="eastAsia" w:eastAsia="仿宋_GB2312" w:cs="Times New Roman"/>
                <w:kern w:val="0"/>
                <w:sz w:val="22"/>
                <w:lang w:eastAsia="zh-CN"/>
              </w:rPr>
              <w:t>本级</w:t>
            </w:r>
          </w:p>
        </w:tc>
        <w:tc>
          <w:tcPr>
            <w:tcW w:w="5103" w:type="dxa"/>
            <w:tcBorders>
              <w:top w:val="nil"/>
              <w:left w:val="nil"/>
              <w:bottom w:val="nil"/>
              <w:right w:val="nil"/>
            </w:tcBorders>
            <w:shd w:val="clear" w:color="auto" w:fill="auto"/>
            <w:noWrap/>
            <w:vAlign w:val="center"/>
          </w:tcPr>
          <w:p>
            <w:pPr>
              <w:widowControl/>
              <w:spacing w:line="584" w:lineRule="exact"/>
              <w:jc w:val="left"/>
              <w:rPr>
                <w:rFonts w:ascii="Times New Roman" w:hAnsi="Times New Roman" w:eastAsia="仿宋_GB2312" w:cs="Times New Roman"/>
                <w:kern w:val="0"/>
                <w:sz w:val="22"/>
              </w:rPr>
            </w:pPr>
            <w:r>
              <w:rPr>
                <w:rFonts w:hint="eastAsia" w:ascii="Times New Roman" w:hAnsi="Times New Roman" w:eastAsia="仿宋_GB2312" w:cs="Times New Roman"/>
                <w:kern w:val="0"/>
                <w:sz w:val="22"/>
              </w:rPr>
              <w:t xml:space="preserve">              </w:t>
            </w:r>
            <w:r>
              <w:rPr>
                <w:rFonts w:ascii="Times New Roman" w:hAnsi="Times New Roman" w:eastAsia="仿宋_GB2312" w:cs="Times New Roman"/>
                <w:kern w:val="0"/>
                <w:sz w:val="22"/>
              </w:rPr>
              <w:t>截止时间：</w:t>
            </w:r>
            <w:r>
              <w:rPr>
                <w:rFonts w:hint="eastAsia" w:eastAsia="仿宋_GB2312" w:cs="Times New Roman"/>
                <w:kern w:val="0"/>
                <w:sz w:val="22"/>
                <w:lang w:val="en-US" w:eastAsia="zh-CN"/>
              </w:rPr>
              <w:t>2021</w:t>
            </w:r>
            <w:r>
              <w:rPr>
                <w:rFonts w:ascii="Times New Roman" w:hAnsi="Times New Roman" w:eastAsia="仿宋_GB2312" w:cs="Times New Roman"/>
                <w:kern w:val="0"/>
                <w:sz w:val="22"/>
              </w:rPr>
              <w:t xml:space="preserve">年12月31日  </w:t>
            </w:r>
          </w:p>
        </w:tc>
      </w:tr>
      <w:tr>
        <w:tblPrEx>
          <w:tblCellMar>
            <w:top w:w="0" w:type="dxa"/>
            <w:left w:w="108" w:type="dxa"/>
            <w:bottom w:w="0" w:type="dxa"/>
            <w:right w:w="108" w:type="dxa"/>
          </w:tblCellMar>
        </w:tblPrEx>
        <w:trPr>
          <w:trHeight w:val="567" w:hRule="exact"/>
          <w:jc w:val="center"/>
        </w:trPr>
        <w:tc>
          <w:tcPr>
            <w:tcW w:w="522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584" w:lineRule="exact"/>
              <w:jc w:val="center"/>
              <w:rPr>
                <w:rFonts w:ascii="Times New Roman" w:hAnsi="Times New Roman" w:eastAsia="仿宋_GB2312" w:cs="Times New Roman"/>
                <w:b/>
                <w:bCs/>
                <w:kern w:val="0"/>
                <w:sz w:val="22"/>
              </w:rPr>
            </w:pPr>
            <w:r>
              <w:rPr>
                <w:rFonts w:ascii="Times New Roman" w:hAnsi="Times New Roman" w:eastAsia="仿宋_GB2312" w:cs="Times New Roman"/>
                <w:b/>
                <w:bCs/>
                <w:kern w:val="0"/>
                <w:sz w:val="22"/>
              </w:rPr>
              <w:t>项   目</w:t>
            </w:r>
          </w:p>
        </w:tc>
        <w:tc>
          <w:tcPr>
            <w:tcW w:w="3155" w:type="dxa"/>
            <w:tcBorders>
              <w:top w:val="single" w:color="auto" w:sz="4" w:space="0"/>
              <w:left w:val="nil"/>
              <w:bottom w:val="single" w:color="auto" w:sz="4" w:space="0"/>
              <w:right w:val="single" w:color="auto" w:sz="4" w:space="0"/>
            </w:tcBorders>
            <w:shd w:val="clear" w:color="auto" w:fill="auto"/>
            <w:noWrap/>
            <w:vAlign w:val="center"/>
          </w:tcPr>
          <w:p>
            <w:pPr>
              <w:widowControl/>
              <w:spacing w:line="584" w:lineRule="exact"/>
              <w:jc w:val="center"/>
              <w:rPr>
                <w:rFonts w:ascii="Times New Roman" w:hAnsi="Times New Roman" w:eastAsia="仿宋_GB2312" w:cs="Times New Roman"/>
                <w:b/>
                <w:bCs/>
                <w:kern w:val="0"/>
                <w:sz w:val="22"/>
              </w:rPr>
            </w:pPr>
            <w:r>
              <w:rPr>
                <w:rFonts w:ascii="Times New Roman" w:hAnsi="Times New Roman" w:eastAsia="仿宋_GB2312" w:cs="Times New Roman"/>
                <w:b/>
                <w:bCs/>
                <w:kern w:val="0"/>
                <w:sz w:val="22"/>
              </w:rPr>
              <w:t>数量</w:t>
            </w:r>
          </w:p>
        </w:tc>
        <w:tc>
          <w:tcPr>
            <w:tcW w:w="5103" w:type="dxa"/>
            <w:tcBorders>
              <w:top w:val="single" w:color="auto" w:sz="4" w:space="0"/>
              <w:left w:val="nil"/>
              <w:bottom w:val="single" w:color="auto" w:sz="4" w:space="0"/>
              <w:right w:val="single" w:color="auto" w:sz="4" w:space="0"/>
            </w:tcBorders>
            <w:shd w:val="clear" w:color="auto" w:fill="auto"/>
            <w:noWrap/>
            <w:vAlign w:val="center"/>
          </w:tcPr>
          <w:p>
            <w:pPr>
              <w:widowControl/>
              <w:spacing w:line="584" w:lineRule="exact"/>
              <w:jc w:val="center"/>
              <w:rPr>
                <w:rFonts w:ascii="Times New Roman" w:hAnsi="Times New Roman" w:eastAsia="仿宋_GB2312" w:cs="Times New Roman"/>
                <w:b/>
                <w:bCs/>
                <w:kern w:val="0"/>
                <w:sz w:val="22"/>
              </w:rPr>
            </w:pPr>
            <w:r>
              <w:rPr>
                <w:rFonts w:ascii="Times New Roman" w:hAnsi="Times New Roman" w:eastAsia="仿宋_GB2312" w:cs="Times New Roman"/>
                <w:b/>
                <w:bCs/>
                <w:kern w:val="0"/>
                <w:sz w:val="22"/>
              </w:rPr>
              <w:t>价值（金额单位：万元）</w:t>
            </w:r>
          </w:p>
        </w:tc>
      </w:tr>
      <w:tr>
        <w:tblPrEx>
          <w:tblCellMar>
            <w:top w:w="0" w:type="dxa"/>
            <w:left w:w="108" w:type="dxa"/>
            <w:bottom w:w="0" w:type="dxa"/>
            <w:right w:w="108" w:type="dxa"/>
          </w:tblCellMar>
        </w:tblPrEx>
        <w:trPr>
          <w:trHeight w:val="567" w:hRule="exact"/>
          <w:jc w:val="center"/>
        </w:trPr>
        <w:tc>
          <w:tcPr>
            <w:tcW w:w="5224" w:type="dxa"/>
            <w:tcBorders>
              <w:top w:val="nil"/>
              <w:left w:val="single" w:color="auto" w:sz="4" w:space="0"/>
              <w:bottom w:val="single" w:color="auto" w:sz="4" w:space="0"/>
              <w:right w:val="single" w:color="auto" w:sz="4" w:space="0"/>
            </w:tcBorders>
            <w:shd w:val="clear" w:color="auto" w:fill="auto"/>
            <w:noWrap/>
            <w:vAlign w:val="center"/>
          </w:tcPr>
          <w:p>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资产总额</w:t>
            </w:r>
          </w:p>
        </w:tc>
        <w:tc>
          <w:tcPr>
            <w:tcW w:w="3155" w:type="dxa"/>
            <w:tcBorders>
              <w:top w:val="nil"/>
              <w:left w:val="nil"/>
              <w:bottom w:val="single" w:color="auto" w:sz="4" w:space="0"/>
              <w:right w:val="single" w:color="auto" w:sz="4" w:space="0"/>
            </w:tcBorders>
            <w:shd w:val="clear" w:color="auto" w:fill="auto"/>
            <w:noWrap/>
            <w:vAlign w:val="center"/>
          </w:tcPr>
          <w:p>
            <w:pPr>
              <w:spacing w:line="584" w:lineRule="exact"/>
              <w:jc w:val="center"/>
              <w:rPr>
                <w:rFonts w:ascii="Times New Roman" w:hAnsi="Times New Roman" w:eastAsia="仿宋_GB2312" w:cs="Times New Roman"/>
                <w:sz w:val="22"/>
              </w:rPr>
            </w:pPr>
            <w:r>
              <w:rPr>
                <w:rFonts w:ascii="Times New Roman" w:hAnsi="Times New Roman" w:eastAsia="仿宋_GB2312" w:cs="Times New Roman"/>
                <w:sz w:val="22"/>
              </w:rPr>
              <w:t>——</w:t>
            </w:r>
          </w:p>
        </w:tc>
        <w:tc>
          <w:tcPr>
            <w:tcW w:w="5103" w:type="dxa"/>
            <w:tcBorders>
              <w:top w:val="nil"/>
              <w:left w:val="nil"/>
              <w:bottom w:val="single" w:color="auto" w:sz="4" w:space="0"/>
              <w:right w:val="single" w:color="auto" w:sz="4" w:space="0"/>
            </w:tcBorders>
            <w:shd w:val="clear" w:color="auto" w:fill="auto"/>
            <w:noWrap/>
            <w:vAlign w:val="center"/>
          </w:tcPr>
          <w:p>
            <w:pPr>
              <w:spacing w:line="584" w:lineRule="exact"/>
              <w:jc w:val="center"/>
              <w:rPr>
                <w:rFonts w:hint="default" w:ascii="Times New Roman" w:hAnsi="Times New Roman" w:eastAsia="仿宋_GB2312" w:cs="Times New Roman"/>
                <w:sz w:val="22"/>
                <w:lang w:val="en-US" w:eastAsia="zh-CN"/>
              </w:rPr>
            </w:pPr>
            <w:r>
              <w:rPr>
                <w:rFonts w:hint="eastAsia" w:eastAsia="仿宋_GB2312" w:cs="Times New Roman"/>
                <w:sz w:val="22"/>
                <w:lang w:val="en-US" w:eastAsia="zh-CN"/>
              </w:rPr>
              <w:t>5904.21</w:t>
            </w:r>
          </w:p>
        </w:tc>
      </w:tr>
      <w:tr>
        <w:tblPrEx>
          <w:tblCellMar>
            <w:top w:w="0" w:type="dxa"/>
            <w:left w:w="108" w:type="dxa"/>
            <w:bottom w:w="0" w:type="dxa"/>
            <w:right w:w="108" w:type="dxa"/>
          </w:tblCellMar>
        </w:tblPrEx>
        <w:trPr>
          <w:trHeight w:val="567" w:hRule="exact"/>
          <w:jc w:val="center"/>
        </w:trPr>
        <w:tc>
          <w:tcPr>
            <w:tcW w:w="5224" w:type="dxa"/>
            <w:tcBorders>
              <w:top w:val="nil"/>
              <w:left w:val="single" w:color="auto" w:sz="4" w:space="0"/>
              <w:bottom w:val="single" w:color="auto" w:sz="4" w:space="0"/>
              <w:right w:val="single" w:color="auto" w:sz="4" w:space="0"/>
            </w:tcBorders>
            <w:shd w:val="clear" w:color="auto" w:fill="auto"/>
            <w:noWrap/>
            <w:vAlign w:val="center"/>
          </w:tcPr>
          <w:p>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1、房屋（平方米）</w:t>
            </w:r>
          </w:p>
        </w:tc>
        <w:tc>
          <w:tcPr>
            <w:tcW w:w="3155" w:type="dxa"/>
            <w:tcBorders>
              <w:top w:val="nil"/>
              <w:left w:val="nil"/>
              <w:bottom w:val="single" w:color="auto" w:sz="4" w:space="0"/>
              <w:right w:val="single" w:color="auto" w:sz="4" w:space="0"/>
            </w:tcBorders>
            <w:shd w:val="clear" w:color="auto" w:fill="auto"/>
            <w:noWrap/>
            <w:vAlign w:val="center"/>
          </w:tcPr>
          <w:p>
            <w:pPr>
              <w:spacing w:line="584" w:lineRule="exact"/>
              <w:jc w:val="center"/>
              <w:rPr>
                <w:rFonts w:hint="default" w:ascii="Times New Roman" w:hAnsi="Times New Roman" w:eastAsia="仿宋_GB2312" w:cs="Times New Roman"/>
                <w:sz w:val="22"/>
                <w:lang w:val="en-US" w:eastAsia="zh-CN"/>
              </w:rPr>
            </w:pPr>
            <w:r>
              <w:rPr>
                <w:rFonts w:hint="eastAsia" w:eastAsia="仿宋_GB2312" w:cs="Times New Roman"/>
                <w:sz w:val="22"/>
                <w:lang w:val="en-US" w:eastAsia="zh-CN"/>
              </w:rPr>
              <w:t>1261.76</w:t>
            </w:r>
          </w:p>
        </w:tc>
        <w:tc>
          <w:tcPr>
            <w:tcW w:w="5103" w:type="dxa"/>
            <w:tcBorders>
              <w:top w:val="nil"/>
              <w:left w:val="nil"/>
              <w:bottom w:val="single" w:color="auto" w:sz="4" w:space="0"/>
              <w:right w:val="single" w:color="auto" w:sz="4" w:space="0"/>
            </w:tcBorders>
            <w:shd w:val="clear" w:color="auto" w:fill="auto"/>
            <w:noWrap/>
            <w:vAlign w:val="center"/>
          </w:tcPr>
          <w:p>
            <w:pPr>
              <w:spacing w:line="584" w:lineRule="exact"/>
              <w:jc w:val="center"/>
              <w:rPr>
                <w:rFonts w:hint="default" w:ascii="Times New Roman" w:hAnsi="Times New Roman" w:eastAsia="仿宋_GB2312" w:cs="Times New Roman"/>
                <w:sz w:val="22"/>
                <w:lang w:val="en-US" w:eastAsia="zh-CN"/>
              </w:rPr>
            </w:pPr>
            <w:r>
              <w:rPr>
                <w:rFonts w:hint="eastAsia" w:eastAsia="仿宋_GB2312" w:cs="Times New Roman"/>
                <w:sz w:val="22"/>
                <w:lang w:val="en-US" w:eastAsia="zh-CN"/>
              </w:rPr>
              <w:t>696.29</w:t>
            </w:r>
          </w:p>
        </w:tc>
      </w:tr>
      <w:tr>
        <w:tblPrEx>
          <w:tblCellMar>
            <w:top w:w="0" w:type="dxa"/>
            <w:left w:w="108" w:type="dxa"/>
            <w:bottom w:w="0" w:type="dxa"/>
            <w:right w:w="108" w:type="dxa"/>
          </w:tblCellMar>
        </w:tblPrEx>
        <w:trPr>
          <w:trHeight w:val="567" w:hRule="exact"/>
          <w:jc w:val="center"/>
        </w:trPr>
        <w:tc>
          <w:tcPr>
            <w:tcW w:w="5224" w:type="dxa"/>
            <w:tcBorders>
              <w:top w:val="nil"/>
              <w:left w:val="single" w:color="auto" w:sz="4" w:space="0"/>
              <w:bottom w:val="single" w:color="auto" w:sz="4" w:space="0"/>
              <w:right w:val="single" w:color="auto" w:sz="4" w:space="0"/>
            </w:tcBorders>
            <w:shd w:val="clear" w:color="auto" w:fill="auto"/>
            <w:noWrap/>
            <w:vAlign w:val="center"/>
          </w:tcPr>
          <w:p>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其中：办公用房（平方米）</w:t>
            </w:r>
          </w:p>
        </w:tc>
        <w:tc>
          <w:tcPr>
            <w:tcW w:w="3155" w:type="dxa"/>
            <w:tcBorders>
              <w:top w:val="nil"/>
              <w:left w:val="nil"/>
              <w:bottom w:val="single" w:color="auto" w:sz="4" w:space="0"/>
              <w:right w:val="single" w:color="auto" w:sz="4" w:space="0"/>
            </w:tcBorders>
            <w:shd w:val="clear" w:color="auto" w:fill="auto"/>
            <w:noWrap/>
            <w:vAlign w:val="center"/>
          </w:tcPr>
          <w:p>
            <w:pPr>
              <w:spacing w:line="584" w:lineRule="exact"/>
              <w:jc w:val="center"/>
              <w:rPr>
                <w:rFonts w:hint="default" w:ascii="Times New Roman" w:hAnsi="Times New Roman" w:eastAsia="仿宋_GB2312" w:cs="Times New Roman"/>
                <w:sz w:val="22"/>
                <w:lang w:val="en-US" w:eastAsia="zh-CN"/>
              </w:rPr>
            </w:pPr>
            <w:r>
              <w:rPr>
                <w:rFonts w:hint="eastAsia" w:eastAsia="仿宋_GB2312" w:cs="Times New Roman"/>
                <w:sz w:val="22"/>
                <w:lang w:val="en-US" w:eastAsia="zh-CN"/>
              </w:rPr>
              <w:t>68</w:t>
            </w:r>
          </w:p>
        </w:tc>
        <w:tc>
          <w:tcPr>
            <w:tcW w:w="5103" w:type="dxa"/>
            <w:tcBorders>
              <w:top w:val="nil"/>
              <w:left w:val="nil"/>
              <w:bottom w:val="single" w:color="auto" w:sz="4" w:space="0"/>
              <w:right w:val="single" w:color="auto" w:sz="4" w:space="0"/>
            </w:tcBorders>
            <w:shd w:val="clear" w:color="auto" w:fill="auto"/>
            <w:noWrap/>
            <w:vAlign w:val="center"/>
          </w:tcPr>
          <w:p>
            <w:pPr>
              <w:spacing w:line="584" w:lineRule="exact"/>
              <w:jc w:val="center"/>
              <w:rPr>
                <w:rFonts w:hint="default" w:ascii="Times New Roman" w:hAnsi="Times New Roman" w:eastAsia="仿宋_GB2312" w:cs="Times New Roman"/>
                <w:sz w:val="22"/>
                <w:lang w:val="en-US" w:eastAsia="zh-CN"/>
              </w:rPr>
            </w:pPr>
            <w:r>
              <w:rPr>
                <w:rFonts w:hint="eastAsia" w:eastAsia="仿宋_GB2312" w:cs="Times New Roman"/>
                <w:sz w:val="22"/>
                <w:lang w:val="en-US" w:eastAsia="zh-CN"/>
              </w:rPr>
              <w:t>37.53</w:t>
            </w:r>
          </w:p>
        </w:tc>
      </w:tr>
      <w:tr>
        <w:tblPrEx>
          <w:tblCellMar>
            <w:top w:w="0" w:type="dxa"/>
            <w:left w:w="108" w:type="dxa"/>
            <w:bottom w:w="0" w:type="dxa"/>
            <w:right w:w="108" w:type="dxa"/>
          </w:tblCellMar>
        </w:tblPrEx>
        <w:trPr>
          <w:trHeight w:val="567" w:hRule="exact"/>
          <w:jc w:val="center"/>
        </w:trPr>
        <w:tc>
          <w:tcPr>
            <w:tcW w:w="5224" w:type="dxa"/>
            <w:tcBorders>
              <w:top w:val="nil"/>
              <w:left w:val="single" w:color="auto" w:sz="4" w:space="0"/>
              <w:bottom w:val="single" w:color="auto" w:sz="4" w:space="0"/>
              <w:right w:val="single" w:color="auto" w:sz="4" w:space="0"/>
            </w:tcBorders>
            <w:shd w:val="clear" w:color="auto" w:fill="auto"/>
            <w:noWrap/>
            <w:vAlign w:val="center"/>
          </w:tcPr>
          <w:p>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2、车辆（台、辆）</w:t>
            </w:r>
          </w:p>
        </w:tc>
        <w:tc>
          <w:tcPr>
            <w:tcW w:w="3155" w:type="dxa"/>
            <w:tcBorders>
              <w:top w:val="nil"/>
              <w:left w:val="nil"/>
              <w:bottom w:val="single" w:color="auto" w:sz="4" w:space="0"/>
              <w:right w:val="single" w:color="auto" w:sz="4" w:space="0"/>
            </w:tcBorders>
            <w:shd w:val="clear" w:color="auto" w:fill="auto"/>
            <w:noWrap/>
            <w:vAlign w:val="center"/>
          </w:tcPr>
          <w:p>
            <w:pPr>
              <w:spacing w:line="584" w:lineRule="exact"/>
              <w:jc w:val="center"/>
              <w:rPr>
                <w:rFonts w:hint="default" w:ascii="Times New Roman" w:hAnsi="Times New Roman" w:eastAsia="仿宋_GB2312" w:cs="Times New Roman"/>
                <w:sz w:val="22"/>
                <w:lang w:val="en-US" w:eastAsia="zh-CN"/>
              </w:rPr>
            </w:pPr>
            <w:r>
              <w:rPr>
                <w:rFonts w:hint="eastAsia" w:eastAsia="仿宋_GB2312" w:cs="Times New Roman"/>
                <w:sz w:val="22"/>
                <w:lang w:val="en-US" w:eastAsia="zh-CN"/>
              </w:rPr>
              <w:t>1</w:t>
            </w:r>
          </w:p>
        </w:tc>
        <w:tc>
          <w:tcPr>
            <w:tcW w:w="5103" w:type="dxa"/>
            <w:tcBorders>
              <w:top w:val="nil"/>
              <w:left w:val="nil"/>
              <w:bottom w:val="single" w:color="auto" w:sz="4" w:space="0"/>
              <w:right w:val="single" w:color="auto" w:sz="4" w:space="0"/>
            </w:tcBorders>
            <w:shd w:val="clear" w:color="auto" w:fill="auto"/>
            <w:noWrap/>
            <w:vAlign w:val="center"/>
          </w:tcPr>
          <w:p>
            <w:pPr>
              <w:spacing w:line="584" w:lineRule="exact"/>
              <w:jc w:val="center"/>
              <w:rPr>
                <w:rFonts w:hint="default" w:ascii="Times New Roman" w:hAnsi="Times New Roman" w:eastAsia="仿宋_GB2312" w:cs="Times New Roman"/>
                <w:sz w:val="22"/>
                <w:lang w:val="en-US" w:eastAsia="zh-CN"/>
              </w:rPr>
            </w:pPr>
            <w:r>
              <w:rPr>
                <w:rFonts w:hint="eastAsia" w:eastAsia="仿宋_GB2312" w:cs="Times New Roman"/>
                <w:sz w:val="22"/>
                <w:lang w:val="en-US" w:eastAsia="zh-CN"/>
              </w:rPr>
              <w:t>18.84</w:t>
            </w:r>
          </w:p>
        </w:tc>
      </w:tr>
      <w:tr>
        <w:tblPrEx>
          <w:tblCellMar>
            <w:top w:w="0" w:type="dxa"/>
            <w:left w:w="108" w:type="dxa"/>
            <w:bottom w:w="0" w:type="dxa"/>
            <w:right w:w="108" w:type="dxa"/>
          </w:tblCellMar>
        </w:tblPrEx>
        <w:trPr>
          <w:trHeight w:val="567" w:hRule="exact"/>
          <w:jc w:val="center"/>
        </w:trPr>
        <w:tc>
          <w:tcPr>
            <w:tcW w:w="5224" w:type="dxa"/>
            <w:tcBorders>
              <w:top w:val="nil"/>
              <w:left w:val="single" w:color="auto" w:sz="4" w:space="0"/>
              <w:bottom w:val="single" w:color="auto" w:sz="4" w:space="0"/>
              <w:right w:val="single" w:color="auto" w:sz="4" w:space="0"/>
            </w:tcBorders>
            <w:shd w:val="clear" w:color="auto" w:fill="auto"/>
            <w:vAlign w:val="center"/>
          </w:tcPr>
          <w:p>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3、单价在20万元以上的设备</w:t>
            </w:r>
          </w:p>
        </w:tc>
        <w:tc>
          <w:tcPr>
            <w:tcW w:w="3155" w:type="dxa"/>
            <w:tcBorders>
              <w:top w:val="nil"/>
              <w:left w:val="nil"/>
              <w:bottom w:val="single" w:color="auto" w:sz="4" w:space="0"/>
              <w:right w:val="single" w:color="auto" w:sz="4" w:space="0"/>
            </w:tcBorders>
            <w:shd w:val="clear" w:color="auto" w:fill="auto"/>
            <w:noWrap/>
            <w:vAlign w:val="center"/>
          </w:tcPr>
          <w:p>
            <w:pPr>
              <w:spacing w:line="584" w:lineRule="exact"/>
              <w:jc w:val="center"/>
              <w:rPr>
                <w:rFonts w:hint="default" w:ascii="Times New Roman" w:hAnsi="Times New Roman" w:eastAsia="仿宋_GB2312" w:cs="Times New Roman"/>
                <w:sz w:val="22"/>
                <w:lang w:val="en-US" w:eastAsia="zh-CN"/>
              </w:rPr>
            </w:pPr>
            <w:r>
              <w:rPr>
                <w:rFonts w:hint="eastAsia" w:eastAsia="仿宋_GB2312" w:cs="Times New Roman"/>
                <w:sz w:val="22"/>
                <w:lang w:val="en-US" w:eastAsia="zh-CN"/>
              </w:rPr>
              <w:t>48</w:t>
            </w:r>
          </w:p>
        </w:tc>
        <w:tc>
          <w:tcPr>
            <w:tcW w:w="5103" w:type="dxa"/>
            <w:tcBorders>
              <w:top w:val="nil"/>
              <w:left w:val="nil"/>
              <w:bottom w:val="single" w:color="auto" w:sz="4" w:space="0"/>
              <w:right w:val="single" w:color="auto" w:sz="4" w:space="0"/>
            </w:tcBorders>
            <w:shd w:val="clear" w:color="auto" w:fill="auto"/>
            <w:noWrap/>
            <w:vAlign w:val="center"/>
          </w:tcPr>
          <w:p>
            <w:pPr>
              <w:spacing w:line="584" w:lineRule="exact"/>
              <w:jc w:val="center"/>
              <w:rPr>
                <w:rFonts w:hint="default" w:ascii="Times New Roman" w:hAnsi="Times New Roman" w:eastAsia="仿宋_GB2312" w:cs="Times New Roman"/>
                <w:sz w:val="22"/>
                <w:lang w:val="en-US" w:eastAsia="zh-CN"/>
              </w:rPr>
            </w:pPr>
            <w:r>
              <w:rPr>
                <w:rFonts w:hint="eastAsia" w:eastAsia="仿宋_GB2312" w:cs="Times New Roman"/>
                <w:sz w:val="22"/>
                <w:lang w:val="en-US" w:eastAsia="zh-CN"/>
              </w:rPr>
              <w:t>3143.26</w:t>
            </w:r>
          </w:p>
        </w:tc>
      </w:tr>
      <w:tr>
        <w:tblPrEx>
          <w:tblCellMar>
            <w:top w:w="0" w:type="dxa"/>
            <w:left w:w="108" w:type="dxa"/>
            <w:bottom w:w="0" w:type="dxa"/>
            <w:right w:w="108" w:type="dxa"/>
          </w:tblCellMar>
        </w:tblPrEx>
        <w:trPr>
          <w:trHeight w:val="567" w:hRule="exact"/>
          <w:jc w:val="center"/>
        </w:trPr>
        <w:tc>
          <w:tcPr>
            <w:tcW w:w="5224" w:type="dxa"/>
            <w:tcBorders>
              <w:top w:val="nil"/>
              <w:left w:val="single" w:color="auto" w:sz="4" w:space="0"/>
              <w:bottom w:val="single" w:color="auto" w:sz="4" w:space="0"/>
              <w:right w:val="single" w:color="auto" w:sz="4" w:space="0"/>
            </w:tcBorders>
            <w:shd w:val="clear" w:color="auto" w:fill="auto"/>
            <w:noWrap/>
            <w:vAlign w:val="center"/>
          </w:tcPr>
          <w:p>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4、其他固定资产</w:t>
            </w:r>
          </w:p>
        </w:tc>
        <w:tc>
          <w:tcPr>
            <w:tcW w:w="3155" w:type="dxa"/>
            <w:tcBorders>
              <w:top w:val="nil"/>
              <w:left w:val="nil"/>
              <w:bottom w:val="single" w:color="auto" w:sz="4" w:space="0"/>
              <w:right w:val="single" w:color="auto" w:sz="4" w:space="0"/>
            </w:tcBorders>
            <w:shd w:val="clear" w:color="auto" w:fill="auto"/>
            <w:noWrap/>
            <w:vAlign w:val="center"/>
          </w:tcPr>
          <w:p>
            <w:pPr>
              <w:spacing w:line="584" w:lineRule="exact"/>
              <w:jc w:val="center"/>
              <w:rPr>
                <w:rFonts w:hint="default" w:ascii="Times New Roman" w:hAnsi="Times New Roman" w:eastAsia="仿宋_GB2312" w:cs="Times New Roman"/>
                <w:sz w:val="22"/>
                <w:lang w:val="en-US" w:eastAsia="zh-CN"/>
              </w:rPr>
            </w:pPr>
            <w:r>
              <w:rPr>
                <w:rFonts w:hint="eastAsia" w:eastAsia="仿宋_GB2312" w:cs="Times New Roman"/>
                <w:sz w:val="22"/>
                <w:lang w:val="en-US" w:eastAsia="zh-CN"/>
              </w:rPr>
              <w:t>1715</w:t>
            </w:r>
            <w:bookmarkStart w:id="9" w:name="_GoBack"/>
            <w:bookmarkEnd w:id="9"/>
          </w:p>
        </w:tc>
        <w:tc>
          <w:tcPr>
            <w:tcW w:w="5103" w:type="dxa"/>
            <w:tcBorders>
              <w:top w:val="nil"/>
              <w:left w:val="nil"/>
              <w:bottom w:val="single" w:color="auto" w:sz="4" w:space="0"/>
              <w:right w:val="single" w:color="auto" w:sz="4" w:space="0"/>
            </w:tcBorders>
            <w:shd w:val="clear" w:color="auto" w:fill="auto"/>
            <w:noWrap/>
            <w:vAlign w:val="center"/>
          </w:tcPr>
          <w:p>
            <w:pPr>
              <w:spacing w:line="584" w:lineRule="exact"/>
              <w:jc w:val="center"/>
              <w:rPr>
                <w:rFonts w:hint="default" w:ascii="Times New Roman" w:hAnsi="Times New Roman" w:eastAsia="仿宋_GB2312" w:cs="Times New Roman"/>
                <w:sz w:val="22"/>
                <w:lang w:val="en-US" w:eastAsia="zh-CN"/>
              </w:rPr>
            </w:pPr>
            <w:r>
              <w:rPr>
                <w:rFonts w:hint="eastAsia" w:eastAsia="仿宋_GB2312" w:cs="Times New Roman"/>
                <w:sz w:val="22"/>
                <w:lang w:val="en-US" w:eastAsia="zh-CN"/>
              </w:rPr>
              <w:t>2045.82</w:t>
            </w:r>
          </w:p>
        </w:tc>
      </w:tr>
    </w:tbl>
    <w:p>
      <w:pPr>
        <w:ind w:firstLine="420"/>
      </w:pPr>
      <w:r>
        <w:rPr>
          <w:rFonts w:ascii="方正书宋_GBK" w:hAnsi="方正书宋_GBK" w:eastAsia="方正书宋_GBK" w:cs="方正书宋_GBK"/>
          <w:color w:val="000000"/>
          <w:sz w:val="21"/>
        </w:rPr>
        <w:t>注：无固定资产占用情况，空表列示。</w:t>
      </w:r>
    </w:p>
    <w:p>
      <w:pPr>
        <w:ind w:firstLine="640"/>
      </w:pPr>
      <w:r>
        <w:rPr>
          <w:rFonts w:eastAsia="方正仿宋_GBK"/>
          <w:color w:val="000000"/>
          <w:sz w:val="32"/>
        </w:rPr>
        <w:t xml:space="preserve"> </w:t>
      </w:r>
    </w:p>
    <w:p>
      <w:pPr>
        <w:spacing w:before="10" w:after="10"/>
        <w:ind w:firstLine="640"/>
        <w:outlineLvl w:val="2"/>
      </w:pPr>
      <w:bookmarkStart w:id="7" w:name="_Toc_3_3_0000000017"/>
      <w:r>
        <w:rPr>
          <w:rFonts w:ascii="黑体" w:hAnsi="黑体" w:eastAsia="黑体" w:cs="黑体"/>
          <w:color w:val="000000"/>
          <w:sz w:val="32"/>
        </w:rPr>
        <w:t>八、名词解释</w:t>
      </w:r>
      <w:bookmarkEnd w:id="7"/>
    </w:p>
    <w:p>
      <w:pPr>
        <w:spacing w:line="500" w:lineRule="exact"/>
        <w:ind w:firstLine="560"/>
      </w:pPr>
      <w:r>
        <w:rPr>
          <w:rFonts w:eastAsia="方正仿宋_GBK"/>
          <w:color w:val="000000"/>
          <w:sz w:val="28"/>
        </w:rPr>
        <w:t>1、</w:t>
      </w:r>
      <w:r>
        <w:rPr>
          <w:rFonts w:eastAsia="方正仿宋_GBK"/>
          <w:b/>
          <w:color w:val="000000"/>
          <w:sz w:val="28"/>
        </w:rPr>
        <w:t>一般公共预算拨款收入：</w:t>
      </w:r>
      <w:r>
        <w:rPr>
          <w:rFonts w:eastAsia="方正仿宋_GBK"/>
          <w:color w:val="000000"/>
          <w:sz w:val="28"/>
        </w:rPr>
        <w:t>指</w:t>
      </w:r>
      <w:r>
        <w:rPr>
          <w:rFonts w:hint="eastAsia" w:eastAsia="方正仿宋_GBK"/>
          <w:color w:val="000000"/>
          <w:sz w:val="28"/>
          <w:lang w:eastAsia="zh-CN"/>
        </w:rPr>
        <w:t>市</w:t>
      </w:r>
      <w:r>
        <w:rPr>
          <w:rFonts w:eastAsia="方正仿宋_GBK"/>
          <w:color w:val="000000"/>
          <w:sz w:val="28"/>
        </w:rPr>
        <w:t>级财政当年拨付的资金。</w:t>
      </w:r>
    </w:p>
    <w:p>
      <w:pPr>
        <w:spacing w:line="500" w:lineRule="exact"/>
        <w:ind w:firstLine="560"/>
      </w:pPr>
      <w:r>
        <w:rPr>
          <w:rFonts w:eastAsia="方正仿宋_GBK"/>
          <w:color w:val="000000"/>
          <w:sz w:val="28"/>
        </w:rPr>
        <w:t>2、</w:t>
      </w:r>
      <w:r>
        <w:rPr>
          <w:rFonts w:eastAsia="方正仿宋_GBK"/>
          <w:b/>
          <w:color w:val="000000"/>
          <w:sz w:val="28"/>
        </w:rPr>
        <w:t>事业收入：</w:t>
      </w:r>
      <w:r>
        <w:rPr>
          <w:rFonts w:eastAsia="方正仿宋_GBK"/>
          <w:color w:val="000000"/>
          <w:sz w:val="28"/>
        </w:rPr>
        <w:t>指事业单位开展专业业务活动及辅助活动所取得的收入。</w:t>
      </w:r>
    </w:p>
    <w:p>
      <w:pPr>
        <w:spacing w:line="500" w:lineRule="exact"/>
        <w:ind w:firstLine="560"/>
      </w:pPr>
      <w:r>
        <w:rPr>
          <w:rFonts w:eastAsia="方正仿宋_GBK"/>
          <w:color w:val="000000"/>
          <w:sz w:val="28"/>
        </w:rPr>
        <w:t>3、</w:t>
      </w:r>
      <w:r>
        <w:rPr>
          <w:rFonts w:eastAsia="方正仿宋_GBK"/>
          <w:b/>
          <w:color w:val="000000"/>
          <w:sz w:val="28"/>
        </w:rPr>
        <w:t>其他收入：</w:t>
      </w:r>
      <w:r>
        <w:rPr>
          <w:rFonts w:eastAsia="方正仿宋_GBK"/>
          <w:color w:val="000000"/>
          <w:sz w:val="28"/>
        </w:rPr>
        <w:t>指除“一般公共预算拨款收入”、“事业收入”等以外的收入。主要是按规定动用的租房收入、存款利息收入等。</w:t>
      </w:r>
    </w:p>
    <w:p>
      <w:pPr>
        <w:spacing w:line="500" w:lineRule="exact"/>
        <w:ind w:firstLine="560"/>
      </w:pPr>
      <w:r>
        <w:rPr>
          <w:rFonts w:eastAsia="方正仿宋_GBK"/>
          <w:color w:val="000000"/>
          <w:sz w:val="28"/>
        </w:rPr>
        <w:t>4、</w:t>
      </w:r>
      <w:r>
        <w:rPr>
          <w:rFonts w:eastAsia="方正仿宋_GBK"/>
          <w:b/>
          <w:color w:val="000000"/>
          <w:sz w:val="28"/>
        </w:rPr>
        <w:t>基本支出：</w:t>
      </w:r>
      <w:r>
        <w:rPr>
          <w:rFonts w:eastAsia="方正仿宋_GBK"/>
          <w:color w:val="000000"/>
          <w:sz w:val="28"/>
        </w:rPr>
        <w:t>指为保障机构正常运转、完成日常工作任务而发生的人员支出和公用支出。</w:t>
      </w:r>
    </w:p>
    <w:p>
      <w:pPr>
        <w:spacing w:line="500" w:lineRule="exact"/>
        <w:ind w:firstLine="560"/>
      </w:pPr>
      <w:r>
        <w:rPr>
          <w:rFonts w:eastAsia="方正仿宋_GBK"/>
          <w:color w:val="000000"/>
          <w:sz w:val="28"/>
        </w:rPr>
        <w:t>5、</w:t>
      </w:r>
      <w:r>
        <w:rPr>
          <w:rFonts w:eastAsia="方正仿宋_GBK"/>
          <w:b/>
          <w:color w:val="000000"/>
          <w:sz w:val="28"/>
        </w:rPr>
        <w:t>项目支出：</w:t>
      </w:r>
      <w:r>
        <w:rPr>
          <w:rFonts w:eastAsia="方正仿宋_GBK"/>
          <w:color w:val="000000"/>
          <w:sz w:val="28"/>
        </w:rPr>
        <w:t>指在基本支出之外为完成特定行政任务和事业发展目标所发生的支出。</w:t>
      </w:r>
    </w:p>
    <w:p>
      <w:pPr>
        <w:spacing w:line="500" w:lineRule="exact"/>
        <w:ind w:firstLine="560"/>
      </w:pPr>
      <w:r>
        <w:rPr>
          <w:rFonts w:eastAsia="方正仿宋_GBK"/>
          <w:color w:val="000000"/>
          <w:sz w:val="28"/>
        </w:rPr>
        <w:t>6、</w:t>
      </w:r>
      <w:r>
        <w:rPr>
          <w:rFonts w:eastAsia="方正仿宋_GBK"/>
          <w:b/>
          <w:color w:val="000000"/>
          <w:sz w:val="28"/>
        </w:rPr>
        <w:t>上缴上级支出：</w:t>
      </w:r>
      <w:r>
        <w:rPr>
          <w:rFonts w:eastAsia="方正仿宋_GBK"/>
          <w:color w:val="000000"/>
          <w:sz w:val="28"/>
        </w:rPr>
        <w:t>指下级单位上缴上级的支出。</w:t>
      </w:r>
    </w:p>
    <w:p>
      <w:pPr>
        <w:spacing w:line="500" w:lineRule="exact"/>
        <w:ind w:firstLine="560"/>
      </w:pPr>
      <w:r>
        <w:rPr>
          <w:rFonts w:eastAsia="方正仿宋_GBK"/>
          <w:color w:val="000000"/>
          <w:sz w:val="28"/>
        </w:rPr>
        <w:t>7、</w:t>
      </w:r>
      <w:r>
        <w:rPr>
          <w:rFonts w:eastAsia="方正仿宋_GBK"/>
          <w:b/>
          <w:color w:val="000000"/>
          <w:sz w:val="28"/>
        </w:rPr>
        <w:t>“三公”经费：</w:t>
      </w:r>
      <w:r>
        <w:rPr>
          <w:rFonts w:eastAsia="方正仿宋_GBK"/>
          <w:color w:val="000000"/>
          <w:sz w:val="28"/>
        </w:rPr>
        <w:t>纳入</w:t>
      </w:r>
      <w:r>
        <w:rPr>
          <w:rFonts w:hint="eastAsia" w:eastAsia="方正仿宋_GBK"/>
          <w:color w:val="000000"/>
          <w:sz w:val="28"/>
          <w:lang w:eastAsia="zh-CN"/>
        </w:rPr>
        <w:t>市</w:t>
      </w:r>
      <w:r>
        <w:rPr>
          <w:rFonts w:eastAsia="方正仿宋_GBK"/>
          <w:color w:val="000000"/>
          <w:sz w:val="28"/>
        </w:rPr>
        <w:t>级财政预算管理的“三公”经费，是指</w:t>
      </w:r>
      <w:r>
        <w:rPr>
          <w:rFonts w:hint="eastAsia" w:eastAsia="方正仿宋_GBK"/>
          <w:color w:val="000000"/>
          <w:sz w:val="28"/>
          <w:lang w:eastAsia="zh-CN"/>
        </w:rPr>
        <w:t>市</w:t>
      </w:r>
      <w:r>
        <w:rPr>
          <w:rFonts w:eastAsia="方正仿宋_GBK"/>
          <w:color w:val="000000"/>
          <w:sz w:val="28"/>
        </w:rPr>
        <w:t>级部门用财政拨款安排的因公出国（境）费、公务用车购置及运维费和公务接待费。其中，因公出国（境）费反映单位公务出国（境）的住宿费、旅费、伙食补助费、杂费、培训费等支出；公务用车购置及运维费反映单位公务用车购置费及租用费、燃料费、维修费、过路过桥费、保险费、安全奖励费用等支出；公务接待费反映单位按规定开支的各类公务接待（含外宾接待）支出。</w:t>
      </w:r>
    </w:p>
    <w:p>
      <w:pPr>
        <w:spacing w:line="500" w:lineRule="exact"/>
        <w:ind w:firstLine="560"/>
      </w:pPr>
      <w:r>
        <w:rPr>
          <w:rFonts w:eastAsia="方正仿宋_GBK"/>
          <w:color w:val="000000"/>
          <w:sz w:val="28"/>
        </w:rPr>
        <w:t>8、</w:t>
      </w:r>
      <w:r>
        <w:rPr>
          <w:rFonts w:eastAsia="方正仿宋_GBK"/>
          <w:b/>
          <w:color w:val="000000"/>
          <w:sz w:val="28"/>
        </w:rPr>
        <w:t>机关运行费：</w:t>
      </w:r>
      <w:r>
        <w:rPr>
          <w:rFonts w:eastAsia="方正仿宋_GBK"/>
          <w:color w:val="000000"/>
          <w:sz w:val="28"/>
        </w:rPr>
        <w:t>是指各部门的公用经费，包括办公及印刷费、邮电费、差旅费、会议费、福利费、日常维修费、专用材料及一般设备购置费、办公用房水电费、办公用房取暖费、办公用房物业管理费、公务用车运行维护费以及其他费用。</w:t>
      </w:r>
    </w:p>
    <w:p>
      <w:pPr>
        <w:spacing w:line="500" w:lineRule="exact"/>
        <w:ind w:firstLine="560"/>
      </w:pPr>
      <w:r>
        <w:rPr>
          <w:rFonts w:eastAsia="方正仿宋_GBK"/>
          <w:color w:val="000000"/>
          <w:sz w:val="28"/>
        </w:rPr>
        <w:t>9、</w:t>
      </w:r>
      <w:r>
        <w:rPr>
          <w:rFonts w:eastAsia="方正仿宋_GBK"/>
          <w:b/>
          <w:color w:val="000000"/>
          <w:sz w:val="28"/>
        </w:rPr>
        <w:t>上年结转：</w:t>
      </w:r>
      <w:r>
        <w:rPr>
          <w:rFonts w:eastAsia="方正仿宋_GBK"/>
          <w:color w:val="000000"/>
          <w:sz w:val="28"/>
        </w:rPr>
        <w:t>指以前年度尚未完成、结转到本年仍按原规定用途继续使用的资金。</w:t>
      </w:r>
    </w:p>
    <w:p>
      <w:pPr>
        <w:spacing w:line="500" w:lineRule="exact"/>
        <w:ind w:firstLine="560"/>
      </w:pPr>
      <w:r>
        <w:rPr>
          <w:rFonts w:eastAsia="方正仿宋_GBK"/>
          <w:color w:val="000000"/>
          <w:sz w:val="28"/>
        </w:rPr>
        <w:t>10、</w:t>
      </w:r>
      <w:r>
        <w:rPr>
          <w:rFonts w:eastAsia="方正仿宋_GBK"/>
          <w:b/>
          <w:color w:val="000000"/>
          <w:sz w:val="28"/>
        </w:rPr>
        <w:t>事业单位经营支出：</w:t>
      </w:r>
      <w:r>
        <w:rPr>
          <w:rFonts w:eastAsia="方正仿宋_GBK"/>
          <w:color w:val="000000"/>
          <w:sz w:val="28"/>
        </w:rPr>
        <w:t>指事业单位在专业业务活动及其辅助活动之外开展非独立核算经营活动发生的支出。</w:t>
      </w:r>
    </w:p>
    <w:p>
      <w:pPr>
        <w:spacing w:before="10" w:after="10"/>
        <w:ind w:firstLine="640"/>
        <w:outlineLvl w:val="2"/>
        <w:rPr>
          <w:rFonts w:ascii="黑体" w:hAnsi="黑体" w:eastAsia="黑体" w:cs="黑体"/>
          <w:color w:val="000000"/>
          <w:sz w:val="32"/>
        </w:rPr>
      </w:pPr>
      <w:bookmarkStart w:id="8" w:name="_Toc_3_3_0000000018"/>
    </w:p>
    <w:p>
      <w:pPr>
        <w:spacing w:before="10" w:after="10"/>
        <w:ind w:firstLine="640"/>
        <w:outlineLvl w:val="2"/>
      </w:pPr>
      <w:r>
        <w:rPr>
          <w:rFonts w:ascii="黑体" w:hAnsi="黑体" w:eastAsia="黑体" w:cs="黑体"/>
          <w:color w:val="000000"/>
          <w:sz w:val="32"/>
        </w:rPr>
        <w:t>九、其他需要说明的事项</w:t>
      </w:r>
      <w:bookmarkEnd w:id="8"/>
    </w:p>
    <w:p>
      <w:pPr>
        <w:spacing w:line="500" w:lineRule="exact"/>
        <w:ind w:firstLine="560"/>
      </w:pPr>
      <w:r>
        <w:rPr>
          <w:rFonts w:eastAsia="方正仿宋_GBK"/>
          <w:color w:val="000000"/>
          <w:sz w:val="28"/>
        </w:rPr>
        <w:t>我</w:t>
      </w:r>
      <w:r>
        <w:rPr>
          <w:rFonts w:hint="eastAsia" w:eastAsia="方正仿宋_GBK"/>
          <w:color w:val="000000"/>
          <w:sz w:val="28"/>
          <w:lang w:eastAsia="zh-CN"/>
        </w:rPr>
        <w:t>单位</w:t>
      </w:r>
      <w:r>
        <w:rPr>
          <w:rFonts w:eastAsia="方正仿宋_GBK"/>
          <w:color w:val="000000"/>
          <w:sz w:val="28"/>
        </w:rPr>
        <w:t>无其他需要说明</w:t>
      </w:r>
    </w:p>
    <w:sectPr>
      <w:pgSz w:w="16838" w:h="11906" w:orient="landscape"/>
      <w:pgMar w:top="1803" w:right="1440" w:bottom="1803" w:left="1440" w:header="851" w:footer="992" w:gutter="0"/>
      <w:cols w:space="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仿宋_GBK">
    <w:panose1 w:val="02000000000000000000"/>
    <w:charset w:val="86"/>
    <w:family w:val="roman"/>
    <w:pitch w:val="default"/>
    <w:sig w:usb0="00000001" w:usb1="08000000" w:usb2="00000000" w:usb3="00000000" w:csb0="00040000" w:csb1="00000000"/>
  </w:font>
  <w:font w:name="方正书宋_GBK">
    <w:panose1 w:val="02000000000000000000"/>
    <w:charset w:val="86"/>
    <w:family w:val="roman"/>
    <w:pitch w:val="default"/>
    <w:sig w:usb0="00000001" w:usb1="08000000" w:usb2="00000000" w:usb3="00000000" w:csb0="00040000" w:csb1="00000000"/>
  </w:font>
  <w:font w:name="方正小标宋_GBK">
    <w:panose1 w:val="02000000000000000000"/>
    <w:charset w:val="86"/>
    <w:family w:val="roman"/>
    <w:pitch w:val="default"/>
    <w:sig w:usb0="00000001" w:usb1="08000000" w:usb2="00000000" w:usb3="00000000" w:csb0="00040000" w:csb1="00000000"/>
  </w:font>
  <w:font w:name="方正楷体_GBK">
    <w:panose1 w:val="02000000000000000000"/>
    <w:charset w:val="86"/>
    <w:family w:val="roman"/>
    <w:pitch w:val="default"/>
    <w:sig w:usb0="00000001" w:usb1="08000000" w:usb2="00000000" w:usb3="00000000" w:csb0="00040000" w:csb1="00000000"/>
  </w:font>
  <w:font w:name="仿宋_GB2312">
    <w:altName w:val="方正仿宋_GBK"/>
    <w:panose1 w:val="02010609030101010101"/>
    <w:charset w:val="86"/>
    <w:family w:val="auto"/>
    <w:pitch w:val="default"/>
    <w:sig w:usb0="00000000" w:usb1="00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黑体_GBK">
    <w:panose1 w:val="02000000000000000000"/>
    <w:charset w:val="86"/>
    <w:family w:val="auto"/>
    <w:pitch w:val="default"/>
    <w:sig w:usb0="00000001" w:usb1="08000000" w:usb2="00000000" w:usb3="00000000" w:csb0="00040000" w:csb1="00000000"/>
  </w:font>
  <w:font w:name="方正宋体S-超大字符集">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true"/>
  <w:bordersDoNotSurroundFooter w:val="true"/>
  <w:documentProtection w:enforcement="0"/>
  <w:defaultTabStop w:val="420"/>
  <w:drawingGridVerticalSpacing w:val="159"/>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hlODJjYThlMWI4MmI0YzM5ZDUyMjFjM2ZjNjNiYzcifQ=="/>
  </w:docVars>
  <w:rsids>
    <w:rsidRoot w:val="00000000"/>
    <w:rsid w:val="00D97B2A"/>
    <w:rsid w:val="081273F3"/>
    <w:rsid w:val="1BFD1D0E"/>
    <w:rsid w:val="1E4D682F"/>
    <w:rsid w:val="256A2CA7"/>
    <w:rsid w:val="26D542B1"/>
    <w:rsid w:val="28106D1A"/>
    <w:rsid w:val="28E56790"/>
    <w:rsid w:val="2EB76F86"/>
    <w:rsid w:val="356C5A94"/>
    <w:rsid w:val="35C90ACC"/>
    <w:rsid w:val="47FF137D"/>
    <w:rsid w:val="5A195B55"/>
    <w:rsid w:val="710C63D8"/>
    <w:rsid w:val="77F79E25"/>
    <w:rsid w:val="782A73AD"/>
    <w:rsid w:val="7A9107C9"/>
    <w:rsid w:val="7BFB97A4"/>
    <w:rsid w:val="EFCA7B55"/>
    <w:rsid w:val="FEBF2E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Times New Roman" w:hAnsi="Times New Roman" w:eastAsia="Times New Roman" w:cs="Times New Roman"/>
      <w:sz w:val="24"/>
      <w:szCs w:val="24"/>
      <w:lang w:val="en-US" w:eastAsia="uk-UA"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note text"/>
    <w:basedOn w:val="1"/>
    <w:next w:val="3"/>
    <w:qFormat/>
    <w:uiPriority w:val="0"/>
    <w:pPr>
      <w:snapToGrid w:val="0"/>
      <w:jc w:val="left"/>
    </w:pPr>
    <w:rPr>
      <w:sz w:val="18"/>
      <w:szCs w:val="18"/>
    </w:rPr>
  </w:style>
  <w:style w:type="paragraph" w:styleId="3">
    <w:name w:val="Body Text"/>
    <w:basedOn w:val="1"/>
    <w:qFormat/>
    <w:uiPriority w:val="0"/>
    <w:pPr>
      <w:spacing w:after="120" w:afterLines="0"/>
    </w:pPr>
  </w:style>
  <w:style w:type="paragraph" w:customStyle="1" w:styleId="6">
    <w:name w:val="插入文本样式-插入部门职责文件"/>
    <w:basedOn w:val="1"/>
    <w:qFormat/>
    <w:uiPriority w:val="0"/>
    <w:pPr>
      <w:spacing w:before="0" w:after="0" w:line="500" w:lineRule="exact"/>
      <w:ind w:firstLine="560"/>
      <w:jc w:val="left"/>
      <w:outlineLvl w:val="9"/>
    </w:pPr>
    <w:rPr>
      <w:rFonts w:ascii="Times New Roman" w:hAnsi="Times New Roman" w:eastAsia="方正仿宋_GBK" w:cs="Times New Roman"/>
      <w:sz w:val="28"/>
    </w:rPr>
  </w:style>
  <w:style w:type="paragraph" w:customStyle="1" w:styleId="7">
    <w:name w:val="单元格样式1"/>
    <w:basedOn w:val="1"/>
    <w:qFormat/>
    <w:uiPriority w:val="0"/>
    <w:pPr>
      <w:spacing w:before="0" w:after="0"/>
      <w:ind w:firstLine="0"/>
      <w:jc w:val="center"/>
      <w:outlineLvl w:val="9"/>
    </w:pPr>
    <w:rPr>
      <w:rFonts w:ascii="方正书宋_GBK" w:hAnsi="方正书宋_GBK" w:eastAsia="方正书宋_GBK" w:cs="方正书宋_GBK"/>
      <w:b/>
      <w:sz w:val="21"/>
    </w:rPr>
  </w:style>
  <w:style w:type="paragraph" w:customStyle="1" w:styleId="8">
    <w:name w:val="单元格样式2"/>
    <w:basedOn w:val="1"/>
    <w:qFormat/>
    <w:uiPriority w:val="0"/>
    <w:pPr>
      <w:spacing w:before="0" w:after="0"/>
      <w:ind w:firstLine="0"/>
      <w:jc w:val="left"/>
      <w:outlineLvl w:val="9"/>
    </w:pPr>
    <w:rPr>
      <w:rFonts w:ascii="方正书宋_GBK" w:hAnsi="方正书宋_GBK" w:eastAsia="方正书宋_GBK" w:cs="方正书宋_GBK"/>
      <w:sz w:val="21"/>
    </w:rPr>
  </w:style>
  <w:style w:type="paragraph" w:customStyle="1" w:styleId="9">
    <w:name w:val="单元格样式3"/>
    <w:basedOn w:val="1"/>
    <w:qFormat/>
    <w:uiPriority w:val="0"/>
    <w:pPr>
      <w:spacing w:before="0" w:after="0"/>
      <w:ind w:firstLine="0"/>
      <w:jc w:val="center"/>
      <w:outlineLvl w:val="9"/>
    </w:pPr>
    <w:rPr>
      <w:rFonts w:ascii="方正书宋_GBK" w:hAnsi="方正书宋_GBK" w:eastAsia="方正书宋_GBK" w:cs="方正书宋_GBK"/>
      <w:sz w:val="21"/>
    </w:rPr>
  </w:style>
  <w:style w:type="paragraph" w:customStyle="1" w:styleId="10">
    <w:name w:val="插入文本样式-插入预算公开部门预算安排的总体情况文件"/>
    <w:basedOn w:val="1"/>
    <w:qFormat/>
    <w:uiPriority w:val="0"/>
    <w:pPr>
      <w:spacing w:before="0" w:after="0" w:line="500" w:lineRule="exact"/>
      <w:ind w:firstLine="560"/>
      <w:jc w:val="left"/>
      <w:outlineLvl w:val="9"/>
    </w:pPr>
    <w:rPr>
      <w:rFonts w:ascii="Times New Roman" w:hAnsi="Times New Roman" w:eastAsia="方正仿宋_GBK" w:cs="Times New Roman"/>
      <w:sz w:val="28"/>
    </w:rPr>
  </w:style>
  <w:style w:type="paragraph" w:customStyle="1" w:styleId="11">
    <w:name w:val="插入文本样式-插入总体目标文件"/>
    <w:basedOn w:val="1"/>
    <w:qFormat/>
    <w:uiPriority w:val="0"/>
    <w:pPr>
      <w:spacing w:before="0" w:after="0" w:line="500" w:lineRule="exact"/>
      <w:ind w:firstLine="560"/>
      <w:jc w:val="left"/>
      <w:outlineLvl w:val="9"/>
    </w:pPr>
    <w:rPr>
      <w:rFonts w:ascii="Times New Roman" w:hAnsi="Times New Roman" w:eastAsia="方正仿宋_GBK" w:cs="Times New Roman"/>
      <w:sz w:val="28"/>
    </w:rPr>
  </w:style>
  <w:style w:type="paragraph" w:customStyle="1" w:styleId="12">
    <w:name w:val="插入文本样式-插入职责分类绩效目标文件"/>
    <w:basedOn w:val="1"/>
    <w:qFormat/>
    <w:uiPriority w:val="0"/>
    <w:pPr>
      <w:spacing w:before="0" w:after="0" w:line="500" w:lineRule="exact"/>
      <w:ind w:firstLine="560"/>
      <w:jc w:val="left"/>
      <w:outlineLvl w:val="9"/>
    </w:pPr>
    <w:rPr>
      <w:rFonts w:ascii="Times New Roman" w:hAnsi="Times New Roman" w:eastAsia="方正仿宋_GBK" w:cs="Times New Roman"/>
      <w:sz w:val="28"/>
    </w:rPr>
  </w:style>
  <w:style w:type="paragraph" w:customStyle="1" w:styleId="13">
    <w:name w:val="插入文本样式-插入实现年度发展规划目标的保障措施文件"/>
    <w:basedOn w:val="1"/>
    <w:qFormat/>
    <w:uiPriority w:val="0"/>
    <w:pPr>
      <w:spacing w:before="0" w:after="0" w:line="500" w:lineRule="exact"/>
      <w:ind w:firstLine="560"/>
      <w:jc w:val="left"/>
      <w:outlineLvl w:val="9"/>
    </w:pPr>
    <w:rPr>
      <w:rFonts w:ascii="Times New Roman" w:hAnsi="Times New Roman" w:eastAsia="方正仿宋_GBK" w:cs="Times New Roman"/>
      <w:sz w:val="28"/>
    </w:rPr>
  </w:style>
  <w:style w:type="paragraph" w:customStyle="1" w:styleId="14">
    <w:name w:val="Normal_eb4064d9-440f-4a7a-a295-dd60c5760560"/>
    <w:qFormat/>
    <w:uiPriority w:val="0"/>
    <w:rPr>
      <w:rFonts w:ascii="Times New Roman" w:hAnsi="Times New Roman" w:eastAsia="Times New Roman" w:cs="Times New Roman"/>
      <w:sz w:val="24"/>
      <w:szCs w:val="24"/>
      <w:lang w:val="en-US" w:eastAsia="uk-UA" w:bidi="ar-SA"/>
    </w:rPr>
  </w:style>
  <w:style w:type="paragraph" w:customStyle="1" w:styleId="15">
    <w:name w:val="单元格样式1_45d09030-f01d-4216-bff9-a4e7720cdf53"/>
    <w:basedOn w:val="1"/>
    <w:qFormat/>
    <w:uiPriority w:val="0"/>
    <w:pPr>
      <w:spacing w:before="0" w:after="0"/>
      <w:ind w:firstLine="0"/>
      <w:jc w:val="center"/>
      <w:outlineLvl w:val="9"/>
    </w:pPr>
    <w:rPr>
      <w:rFonts w:ascii="方正书宋_GBK" w:hAnsi="方正书宋_GBK" w:eastAsia="方正书宋_GBK" w:cs="方正书宋_GBK"/>
      <w:b/>
      <w:sz w:val="21"/>
    </w:rPr>
  </w:style>
  <w:style w:type="paragraph" w:customStyle="1" w:styleId="16">
    <w:name w:val="单元格样式2_ba1bae25-de4e-4992-89ac-7cfa36efbd7e"/>
    <w:basedOn w:val="1"/>
    <w:qFormat/>
    <w:uiPriority w:val="0"/>
    <w:pPr>
      <w:spacing w:before="0" w:after="0"/>
      <w:ind w:firstLine="0"/>
      <w:jc w:val="left"/>
      <w:outlineLvl w:val="9"/>
    </w:pPr>
    <w:rPr>
      <w:rFonts w:ascii="方正书宋_GBK" w:hAnsi="方正书宋_GBK" w:eastAsia="方正书宋_GBK" w:cs="方正书宋_GBK"/>
      <w:sz w:val="21"/>
    </w:rPr>
  </w:style>
  <w:style w:type="paragraph" w:customStyle="1" w:styleId="17">
    <w:name w:val="单元格样式3_bccf6086-f46f-4283-8bde-f1f4569afafe"/>
    <w:basedOn w:val="1"/>
    <w:qFormat/>
    <w:uiPriority w:val="0"/>
    <w:pPr>
      <w:spacing w:before="0" w:after="0"/>
      <w:ind w:firstLine="0"/>
      <w:jc w:val="center"/>
      <w:outlineLvl w:val="9"/>
    </w:pPr>
    <w:rPr>
      <w:rFonts w:ascii="方正书宋_GBK" w:hAnsi="方正书宋_GBK" w:eastAsia="方正书宋_GBK" w:cs="方正书宋_GBK"/>
      <w:sz w:val="21"/>
    </w:rPr>
  </w:style>
  <w:style w:type="paragraph" w:customStyle="1" w:styleId="18">
    <w:name w:val="单元格样式20"/>
    <w:basedOn w:val="1"/>
    <w:qFormat/>
    <w:uiPriority w:val="0"/>
    <w:pPr>
      <w:spacing w:before="0" w:after="0"/>
      <w:ind w:firstLine="0"/>
      <w:jc w:val="left"/>
      <w:outlineLvl w:val="9"/>
    </w:pPr>
    <w:rPr>
      <w:rFonts w:ascii="方正小标宋_GBK" w:hAnsi="方正小标宋_GBK" w:eastAsia="方正小标宋_GBK" w:cs="方正小标宋_GBK"/>
      <w:sz w:val="24"/>
    </w:rPr>
  </w:style>
  <w:style w:type="paragraph" w:customStyle="1" w:styleId="19">
    <w:name w:val="单元格样式23"/>
    <w:basedOn w:val="1"/>
    <w:qFormat/>
    <w:uiPriority w:val="0"/>
    <w:pPr>
      <w:spacing w:before="0" w:after="0"/>
      <w:ind w:firstLine="0"/>
      <w:jc w:val="right"/>
      <w:outlineLvl w:val="9"/>
    </w:pPr>
    <w:rPr>
      <w:rFonts w:ascii="方正书宋_GBK" w:hAnsi="方正书宋_GBK" w:eastAsia="方正书宋_GBK" w:cs="方正书宋_GBK"/>
      <w:sz w:val="24"/>
    </w:rPr>
  </w:style>
  <w:style w:type="paragraph" w:customStyle="1" w:styleId="20">
    <w:name w:val="单元格样式6"/>
    <w:basedOn w:val="1"/>
    <w:qFormat/>
    <w:uiPriority w:val="0"/>
    <w:pPr>
      <w:spacing w:before="0" w:after="0"/>
      <w:ind w:firstLine="0"/>
      <w:jc w:val="center"/>
      <w:outlineLvl w:val="9"/>
    </w:pPr>
    <w:rPr>
      <w:rFonts w:ascii="方正书宋_GBK" w:hAnsi="方正书宋_GBK" w:eastAsia="方正书宋_GBK" w:cs="方正书宋_GBK"/>
      <w:b/>
      <w:sz w:val="21"/>
    </w:rPr>
  </w:style>
  <w:style w:type="paragraph" w:customStyle="1" w:styleId="21">
    <w:name w:val="单元格样式7"/>
    <w:basedOn w:val="1"/>
    <w:qFormat/>
    <w:uiPriority w:val="0"/>
    <w:pPr>
      <w:spacing w:before="0" w:after="0"/>
      <w:ind w:firstLine="0"/>
      <w:jc w:val="right"/>
      <w:outlineLvl w:val="9"/>
    </w:pPr>
    <w:rPr>
      <w:rFonts w:ascii="方正书宋_GBK" w:hAnsi="方正书宋_GBK" w:eastAsia="方正书宋_GBK" w:cs="方正书宋_GBK"/>
      <w:b/>
      <w:sz w:val="21"/>
    </w:rPr>
  </w:style>
  <w:style w:type="paragraph" w:customStyle="1" w:styleId="22">
    <w:name w:val="单元格样式5"/>
    <w:basedOn w:val="1"/>
    <w:qFormat/>
    <w:uiPriority w:val="0"/>
    <w:pPr>
      <w:spacing w:before="0" w:after="0"/>
      <w:ind w:firstLine="0"/>
      <w:jc w:val="left"/>
      <w:outlineLvl w:val="9"/>
    </w:pPr>
    <w:rPr>
      <w:rFonts w:ascii="方正书宋_GBK" w:hAnsi="方正书宋_GBK" w:eastAsia="方正书宋_GBK" w:cs="方正书宋_GBK"/>
      <w:b/>
      <w:sz w:val="21"/>
    </w:rPr>
  </w:style>
  <w:style w:type="paragraph" w:customStyle="1" w:styleId="23">
    <w:name w:val="单元格样式4"/>
    <w:basedOn w:val="1"/>
    <w:qFormat/>
    <w:uiPriority w:val="0"/>
    <w:pPr>
      <w:spacing w:before="0" w:after="0"/>
      <w:ind w:firstLine="0"/>
      <w:jc w:val="right"/>
      <w:outlineLvl w:val="9"/>
    </w:pPr>
    <w:rPr>
      <w:rFonts w:ascii="方正书宋_GBK" w:hAnsi="方正书宋_GBK" w:eastAsia="方正书宋_GBK" w:cs="方正书宋_GBK"/>
      <w:sz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6474</Words>
  <Characters>6890</Characters>
  <Lines>0</Lines>
  <Paragraphs>0</Paragraphs>
  <TotalTime>50</TotalTime>
  <ScaleCrop>false</ScaleCrop>
  <LinksUpToDate>false</LinksUpToDate>
  <CharactersWithSpaces>6991</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2022-02-15T04:02:00Z</dcterms:created>
  <dc:creator>Administrator</dc:creator>
  <cp:lastModifiedBy>uos</cp:lastModifiedBy>
  <cp:lastPrinted>2022-02-15T06:25:00Z</cp:lastPrinted>
  <dcterms:modified xsi:type="dcterms:W3CDTF">2022-01-25T05:38:36Z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7E536D4E436945CC9AB8B1CCF30AB83A</vt:lpwstr>
  </property>
</Properties>
</file>