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4" w:lineRule="exact"/>
        <w:ind w:firstLine="880" w:firstLineChars="200"/>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廊坊市</w:t>
      </w:r>
      <w:r>
        <w:rPr>
          <w:rFonts w:hint="eastAsia" w:ascii="Times New Roman" w:hAnsi="Times New Roman" w:eastAsia="方正小标宋简体" w:cs="Times New Roman"/>
          <w:sz w:val="44"/>
          <w:szCs w:val="44"/>
        </w:rPr>
        <w:t>人民防空办公室</w:t>
      </w:r>
      <w:r>
        <w:rPr>
          <w:rFonts w:ascii="Times New Roman" w:hAnsi="Times New Roman" w:eastAsia="方正小标宋简体" w:cs="Times New Roman"/>
          <w:sz w:val="44"/>
          <w:szCs w:val="44"/>
        </w:rPr>
        <w:t>20</w:t>
      </w:r>
      <w:r>
        <w:rPr>
          <w:rFonts w:hint="eastAsia" w:ascii="Times New Roman" w:hAnsi="Times New Roman" w:eastAsia="方正小标宋简体" w:cs="Times New Roman"/>
          <w:sz w:val="44"/>
          <w:szCs w:val="44"/>
        </w:rPr>
        <w:t>23</w:t>
      </w:r>
      <w:r>
        <w:rPr>
          <w:rFonts w:ascii="Times New Roman" w:hAnsi="Times New Roman" w:eastAsia="方正小标宋简体" w:cs="Times New Roman"/>
          <w:sz w:val="44"/>
          <w:szCs w:val="44"/>
        </w:rPr>
        <w:t>年</w:t>
      </w:r>
      <w:r>
        <w:rPr>
          <w:rFonts w:hint="eastAsia" w:ascii="Times New Roman" w:hAnsi="Times New Roman" w:eastAsia="方正小标宋简体" w:cs="Times New Roman"/>
          <w:sz w:val="44"/>
          <w:szCs w:val="44"/>
        </w:rPr>
        <w:t>单</w:t>
      </w:r>
      <w:bookmarkStart w:id="0" w:name="_GoBack"/>
      <w:bookmarkEnd w:id="0"/>
      <w:r>
        <w:rPr>
          <w:rFonts w:hint="eastAsia" w:ascii="Times New Roman" w:hAnsi="Times New Roman" w:eastAsia="方正小标宋简体" w:cs="Times New Roman"/>
          <w:sz w:val="44"/>
          <w:szCs w:val="44"/>
        </w:rPr>
        <w:t>位</w:t>
      </w:r>
      <w:r>
        <w:rPr>
          <w:rFonts w:ascii="Times New Roman" w:hAnsi="Times New Roman" w:eastAsia="方正小标宋简体" w:cs="Times New Roman"/>
          <w:sz w:val="44"/>
          <w:szCs w:val="44"/>
        </w:rPr>
        <w:t>预算信息公开</w:t>
      </w:r>
      <w:r>
        <w:rPr>
          <w:rFonts w:hint="eastAsia" w:ascii="Times New Roman" w:hAnsi="Times New Roman" w:eastAsia="方正小标宋简体" w:cs="Times New Roman"/>
          <w:sz w:val="44"/>
          <w:szCs w:val="44"/>
        </w:rPr>
        <w:t>情况说明</w:t>
      </w:r>
    </w:p>
    <w:p>
      <w:pPr>
        <w:spacing w:line="584" w:lineRule="exact"/>
        <w:ind w:firstLine="880" w:firstLineChars="200"/>
        <w:jc w:val="center"/>
        <w:rPr>
          <w:rFonts w:ascii="Times New Roman" w:hAnsi="Times New Roman" w:eastAsia="仿宋_GB2312" w:cs="Times New Roman"/>
          <w:sz w:val="44"/>
          <w:szCs w:val="44"/>
        </w:rPr>
      </w:pP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按照《中华人民共和国预算法》、《中华人民共和国预算法实施条例》、《地方预决算公开操作规程》和《河北省省级预算公开办法》规定，现将廊坊市</w:t>
      </w:r>
      <w:r>
        <w:rPr>
          <w:rFonts w:hint="eastAsia" w:ascii="Times New Roman" w:hAnsi="Times New Roman" w:eastAsia="仿宋_GB2312" w:cs="Times New Roman"/>
          <w:sz w:val="32"/>
          <w:szCs w:val="32"/>
        </w:rPr>
        <w:t>人民防空办公室</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rPr>
        <w:t>单位</w:t>
      </w:r>
      <w:r>
        <w:rPr>
          <w:rFonts w:ascii="Times New Roman" w:hAnsi="Times New Roman" w:eastAsia="仿宋_GB2312" w:cs="Times New Roman"/>
          <w:sz w:val="32"/>
          <w:szCs w:val="32"/>
        </w:rPr>
        <w:t>预算公开如下：</w:t>
      </w:r>
    </w:p>
    <w:p>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w:t>
      </w:r>
      <w:r>
        <w:rPr>
          <w:rFonts w:hint="eastAsia" w:ascii="Times New Roman" w:hAnsi="Times New Roman" w:eastAsia="黑体" w:cs="Times New Roman"/>
          <w:sz w:val="32"/>
          <w:szCs w:val="32"/>
        </w:rPr>
        <w:t>单位</w:t>
      </w:r>
      <w:r>
        <w:rPr>
          <w:rFonts w:ascii="Times New Roman" w:hAnsi="Times New Roman" w:eastAsia="黑体" w:cs="Times New Roman"/>
          <w:sz w:val="32"/>
          <w:szCs w:val="32"/>
        </w:rPr>
        <w:t>职责及机构设置情况</w:t>
      </w:r>
    </w:p>
    <w:p>
      <w:pPr>
        <w:spacing w:line="584" w:lineRule="exact"/>
        <w:ind w:firstLine="643" w:firstLineChars="20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rPr>
        <w:t>单位</w:t>
      </w:r>
      <w:r>
        <w:rPr>
          <w:rFonts w:ascii="Times New Roman" w:hAnsi="Times New Roman" w:eastAsia="楷体_GB2312" w:cs="Times New Roman"/>
          <w:b/>
          <w:sz w:val="32"/>
          <w:szCs w:val="32"/>
        </w:rPr>
        <w:t>职责：</w:t>
      </w:r>
    </w:p>
    <w:p>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640"/>
        <w:jc w:val="left"/>
        <w:rPr>
          <w:rFonts w:ascii="仿宋_GB2312" w:eastAsia="仿宋_GB2312" w:cs="仿宋_GB2312"/>
          <w:kern w:val="0"/>
          <w:sz w:val="32"/>
          <w:szCs w:val="32"/>
        </w:rPr>
      </w:pPr>
      <w:r>
        <w:rPr>
          <w:rFonts w:hint="eastAsia" w:ascii="仿宋_GB2312" w:hAnsi="仿宋_GB2312" w:eastAsia="仿宋_GB2312" w:cs="仿宋_GB2312"/>
          <w:kern w:val="0"/>
          <w:sz w:val="32"/>
          <w:szCs w:val="32"/>
        </w:rPr>
        <w:t>（一）贯彻党和国家人民防空方针政策，落实人民防空法律法规和规章。制定全市人民防空规范性文件。负责人民防空行政执法监督检查工作。</w:t>
      </w:r>
    </w:p>
    <w:p>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640"/>
        <w:jc w:val="left"/>
        <w:rPr>
          <w:rFonts w:ascii="仿宋_GB2312" w:eastAsia="仿宋_GB2312" w:cs="仿宋_GB2312"/>
          <w:kern w:val="0"/>
          <w:sz w:val="32"/>
          <w:szCs w:val="32"/>
        </w:rPr>
      </w:pPr>
      <w:r>
        <w:rPr>
          <w:rFonts w:hint="eastAsia" w:ascii="仿宋_GB2312" w:hAnsi="仿宋_GB2312" w:eastAsia="仿宋_GB2312" w:cs="仿宋_GB2312"/>
          <w:kern w:val="0"/>
          <w:sz w:val="32"/>
          <w:szCs w:val="32"/>
        </w:rPr>
        <w:t>（二）拟订全市人民防空发展规划，编制人民防空工作年度计划并督导落实。与发展和改革主管部门共同负责协调有关部门编制重要经济目标防护建设总体规划。参与管理城市地下空间开发利用规划编制工作。指导县（市、区）编制人民防空建设规划。组织编制人民防空工程、人口疏散地域（基地）、人民防空信息化等规划并督导落实。审核城市总体规划中人民防空内容。</w:t>
      </w:r>
    </w:p>
    <w:p>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640"/>
        <w:jc w:val="left"/>
        <w:rPr>
          <w:rFonts w:ascii="仿宋_GB2312" w:eastAsia="仿宋_GB2312" w:cs="仿宋_GB2312"/>
          <w:kern w:val="0"/>
          <w:sz w:val="32"/>
          <w:szCs w:val="32"/>
        </w:rPr>
      </w:pPr>
      <w:r>
        <w:rPr>
          <w:rFonts w:hint="eastAsia" w:ascii="仿宋_GB2312" w:hAnsi="仿宋_GB2312" w:eastAsia="仿宋_GB2312" w:cs="仿宋_GB2312"/>
          <w:kern w:val="0"/>
          <w:sz w:val="32"/>
          <w:szCs w:val="32"/>
        </w:rPr>
        <w:t xml:space="preserve">（三）贯彻国家人民防空城市等级划分标准，落实防护建设要求。负责人民防空工程建设技术、质量、竣工验收及备案管理工作。监督人民防空工程维护与使用管理，指导城市地下空间开发利用落实兼顾人民防空要求。负责组织市直机关战时人口疏散地域（基地）建设，指导县（市、区）人口疏散地域（基地）建设，指导县（市、区）利用人民防空工程和人口疏散地域（基地）建设防灾应急避难场所。指导重要经济目标单位落实防护建设要求。 </w:t>
      </w:r>
    </w:p>
    <w:p>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640"/>
        <w:jc w:val="left"/>
        <w:rPr>
          <w:rFonts w:ascii="仿宋_GB2312" w:eastAsia="仿宋_GB2312" w:cs="仿宋_GB2312"/>
          <w:kern w:val="0"/>
          <w:sz w:val="32"/>
          <w:szCs w:val="32"/>
        </w:rPr>
      </w:pPr>
      <w:r>
        <w:rPr>
          <w:rFonts w:hint="eastAsia" w:ascii="仿宋_GB2312" w:hAnsi="仿宋_GB2312" w:eastAsia="仿宋_GB2312" w:cs="仿宋_GB2312"/>
          <w:kern w:val="0"/>
          <w:sz w:val="32"/>
          <w:szCs w:val="32"/>
        </w:rPr>
        <w:t>（四）制定市人民防空指挥部服务保障计划并负责日常工作，负责市级指挥场所和设施设备建设、使用和管理，拟订市级防空计划方案。指导县（市、区）人民防空指挥体系建设和防空计划方案制定。组织指导群众防空组织建设。</w:t>
      </w:r>
    </w:p>
    <w:p>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640"/>
        <w:jc w:val="left"/>
        <w:rPr>
          <w:rFonts w:ascii="仿宋_GB2312" w:eastAsia="仿宋_GB2312" w:cs="仿宋_GB2312"/>
          <w:kern w:val="0"/>
          <w:sz w:val="32"/>
          <w:szCs w:val="32"/>
        </w:rPr>
      </w:pPr>
      <w:r>
        <w:rPr>
          <w:rFonts w:hint="eastAsia" w:ascii="仿宋_GB2312" w:hAnsi="仿宋_GB2312" w:eastAsia="仿宋_GB2312" w:cs="仿宋_GB2312"/>
          <w:kern w:val="0"/>
          <w:sz w:val="32"/>
          <w:szCs w:val="32"/>
        </w:rPr>
        <w:t>（五）组织开展全市人民防空信息化建设，指导县（市、区）人民防空信息系统建设、使用、维护和管理，组织开展人民防空警报体系建设和警报试鸣工作。协调利用军队和地方通信网保障人民防空通信警报工作。</w:t>
      </w:r>
    </w:p>
    <w:p>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640"/>
        <w:jc w:val="left"/>
        <w:rPr>
          <w:rFonts w:ascii="仿宋_GB2312" w:eastAsia="仿宋_GB2312" w:cs="仿宋_GB2312"/>
          <w:kern w:val="0"/>
          <w:sz w:val="32"/>
          <w:szCs w:val="32"/>
        </w:rPr>
      </w:pPr>
      <w:r>
        <w:rPr>
          <w:rFonts w:hint="eastAsia" w:ascii="仿宋_GB2312" w:hAnsi="仿宋_GB2312" w:eastAsia="仿宋_GB2312" w:cs="仿宋_GB2312"/>
          <w:kern w:val="0"/>
          <w:sz w:val="32"/>
          <w:szCs w:val="32"/>
        </w:rPr>
        <w:t>（六）会同有关部门和单位开展防空防灾宣传教育，普及防空防灾知识，提高群众防护技能。制定人民防空训练演练计划，组织训练演练和考核。</w:t>
      </w:r>
    </w:p>
    <w:p>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640"/>
        <w:jc w:val="left"/>
        <w:rPr>
          <w:rFonts w:ascii="仿宋_GB2312" w:eastAsia="仿宋_GB2312" w:cs="仿宋_GB2312"/>
          <w:kern w:val="0"/>
          <w:sz w:val="32"/>
          <w:szCs w:val="32"/>
        </w:rPr>
      </w:pPr>
      <w:r>
        <w:rPr>
          <w:rFonts w:hint="eastAsia" w:ascii="仿宋_GB2312" w:hAnsi="仿宋_GB2312" w:eastAsia="仿宋_GB2312" w:cs="仿宋_GB2312"/>
          <w:kern w:val="0"/>
          <w:sz w:val="32"/>
          <w:szCs w:val="32"/>
        </w:rPr>
        <w:t>（七）负责编制本级人民防空预、决算。组织开展本级人民防空建设项目内部审计。负责人民防空国有资产管理。</w:t>
      </w:r>
    </w:p>
    <w:p>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640"/>
        <w:jc w:val="left"/>
        <w:rPr>
          <w:rFonts w:ascii="仿宋_GB2312" w:eastAsia="仿宋_GB2312" w:cs="仿宋_GB2312"/>
          <w:kern w:val="0"/>
          <w:sz w:val="32"/>
          <w:szCs w:val="32"/>
        </w:rPr>
      </w:pPr>
      <w:r>
        <w:rPr>
          <w:rFonts w:hint="eastAsia" w:ascii="仿宋_GB2312" w:hAnsi="仿宋_GB2312" w:eastAsia="仿宋_GB2312" w:cs="仿宋_GB2312"/>
          <w:kern w:val="0"/>
          <w:sz w:val="32"/>
          <w:szCs w:val="32"/>
        </w:rPr>
        <w:t>（八）编制人民防空科研计划，组织人民防空重大科研课题攻关，推介应用人民防空科研成果。</w:t>
      </w:r>
    </w:p>
    <w:p>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640"/>
        <w:jc w:val="left"/>
        <w:rPr>
          <w:rFonts w:ascii="仿宋_GB2312" w:eastAsia="仿宋_GB2312" w:cs="仿宋_GB2312"/>
          <w:kern w:val="0"/>
          <w:sz w:val="32"/>
          <w:szCs w:val="32"/>
        </w:rPr>
      </w:pPr>
      <w:r>
        <w:rPr>
          <w:rFonts w:hint="eastAsia" w:ascii="仿宋_GB2312" w:hAnsi="仿宋_GB2312" w:eastAsia="仿宋_GB2312" w:cs="仿宋_GB2312"/>
          <w:kern w:val="0"/>
          <w:sz w:val="32"/>
          <w:szCs w:val="32"/>
        </w:rPr>
        <w:t>（九）组织开展人民防空机关“准军事化”建设。</w:t>
      </w:r>
    </w:p>
    <w:p>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640"/>
        <w:jc w:val="left"/>
        <w:rPr>
          <w:rFonts w:ascii="仿宋_GB2312" w:eastAsia="仿宋_GB2312" w:cs="仿宋_GB2312"/>
          <w:kern w:val="0"/>
          <w:sz w:val="32"/>
          <w:szCs w:val="32"/>
        </w:rPr>
      </w:pPr>
      <w:r>
        <w:rPr>
          <w:rFonts w:hint="eastAsia" w:ascii="仿宋_GB2312" w:hAnsi="仿宋_GB2312" w:eastAsia="仿宋_GB2312" w:cs="仿宋_GB2312"/>
          <w:kern w:val="0"/>
          <w:sz w:val="32"/>
          <w:szCs w:val="32"/>
        </w:rPr>
        <w:t>（十）战时组织开展人民防空空勤信息保障、防空袭警报发放、群众疏散掩蔽、重要经济目标防护、消除空袭后果行动。配合要地防空、城市防卫作战。协助有关部门恢复城市生产、生活秩序。完成市人防指挥部赋予的其他任务。</w:t>
      </w:r>
    </w:p>
    <w:p>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640"/>
        <w:jc w:val="left"/>
        <w:rPr>
          <w:rFonts w:ascii="仿宋_GB2312" w:eastAsia="仿宋_GB2312" w:cs="仿宋_GB2312"/>
          <w:kern w:val="0"/>
          <w:sz w:val="32"/>
          <w:szCs w:val="32"/>
        </w:rPr>
      </w:pPr>
      <w:r>
        <w:rPr>
          <w:rFonts w:hint="eastAsia" w:ascii="仿宋_GB2312" w:hAnsi="仿宋_GB2312" w:eastAsia="仿宋_GB2312" w:cs="仿宋_GB2312"/>
          <w:kern w:val="0"/>
          <w:sz w:val="32"/>
          <w:szCs w:val="32"/>
        </w:rPr>
        <w:t>（十一）承担市政府赋予的防灾救灾等应急支援任务。</w:t>
      </w:r>
    </w:p>
    <w:p>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640"/>
        <w:jc w:val="left"/>
        <w:rPr>
          <w:rFonts w:ascii="仿宋_GB2312" w:eastAsia="仿宋_GB2312" w:cs="仿宋_GB2312"/>
          <w:kern w:val="0"/>
          <w:sz w:val="32"/>
          <w:szCs w:val="32"/>
        </w:rPr>
      </w:pPr>
      <w:r>
        <w:rPr>
          <w:rFonts w:hint="eastAsia" w:ascii="仿宋_GB2312" w:hAnsi="仿宋_GB2312" w:eastAsia="仿宋_GB2312" w:cs="仿宋_GB2312"/>
          <w:kern w:val="0"/>
          <w:sz w:val="32"/>
          <w:szCs w:val="32"/>
        </w:rPr>
        <w:t>（十二）完成市委、市政府、市国防动员委员会和廊坊军分区交办的其他任务。</w:t>
      </w:r>
    </w:p>
    <w:p>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p>
    <w:p>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p>
    <w:p>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p>
    <w:p>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p>
    <w:p>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p>
    <w:p>
      <w:pPr>
        <w:spacing w:line="584" w:lineRule="exact"/>
        <w:jc w:val="center"/>
        <w:outlineLvl w:val="0"/>
        <w:rPr>
          <w:rFonts w:ascii="Times New Roman" w:hAnsi="Times New Roman" w:eastAsia="仿宋_GB2312" w:cs="Times New Roman"/>
          <w:sz w:val="32"/>
          <w:szCs w:val="24"/>
        </w:rPr>
      </w:pPr>
      <w:r>
        <w:rPr>
          <w:rFonts w:hint="eastAsia" w:ascii="Times New Roman" w:hAnsi="Times New Roman" w:eastAsia="仿宋_GB2312" w:cs="Times New Roman"/>
          <w:sz w:val="32"/>
          <w:szCs w:val="24"/>
        </w:rPr>
        <w:t>单位</w:t>
      </w:r>
      <w:r>
        <w:rPr>
          <w:rFonts w:ascii="Times New Roman" w:hAnsi="Times New Roman" w:eastAsia="仿宋_GB2312" w:cs="Times New Roman"/>
          <w:sz w:val="32"/>
          <w:szCs w:val="24"/>
        </w:rPr>
        <w:t>机构设置情况</w:t>
      </w:r>
    </w:p>
    <w:tbl>
      <w:tblPr>
        <w:tblStyle w:val="8"/>
        <w:tblW w:w="11064" w:type="dxa"/>
        <w:tblInd w:w="1574"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039"/>
        <w:gridCol w:w="1286"/>
        <w:gridCol w:w="1447"/>
        <w:gridCol w:w="329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97" w:hRule="atLeast"/>
          <w:tblHeader/>
        </w:trPr>
        <w:tc>
          <w:tcPr>
            <w:tcW w:w="5039" w:type="dxa"/>
            <w:vMerge w:val="restart"/>
            <w:shd w:val="clear" w:color="auto" w:fill="auto"/>
            <w:vAlign w:val="center"/>
          </w:tcPr>
          <w:p>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单位名称</w:t>
            </w:r>
          </w:p>
        </w:tc>
        <w:tc>
          <w:tcPr>
            <w:tcW w:w="1286" w:type="dxa"/>
            <w:vMerge w:val="restart"/>
            <w:shd w:val="clear" w:color="auto" w:fill="auto"/>
            <w:vAlign w:val="center"/>
          </w:tcPr>
          <w:p>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单位性质</w:t>
            </w:r>
          </w:p>
        </w:tc>
        <w:tc>
          <w:tcPr>
            <w:tcW w:w="1447" w:type="dxa"/>
            <w:vMerge w:val="restart"/>
            <w:shd w:val="clear" w:color="auto" w:fill="auto"/>
            <w:vAlign w:val="center"/>
          </w:tcPr>
          <w:p>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单位规格</w:t>
            </w:r>
          </w:p>
        </w:tc>
        <w:tc>
          <w:tcPr>
            <w:tcW w:w="3292" w:type="dxa"/>
            <w:vMerge w:val="restart"/>
            <w:shd w:val="clear" w:color="auto" w:fill="auto"/>
            <w:vAlign w:val="center"/>
          </w:tcPr>
          <w:p>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经费保障形式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97" w:hRule="atLeast"/>
          <w:tblHeader/>
        </w:trPr>
        <w:tc>
          <w:tcPr>
            <w:tcW w:w="5039" w:type="dxa"/>
            <w:vMerge w:val="continue"/>
            <w:shd w:val="clear" w:color="auto" w:fill="auto"/>
            <w:vAlign w:val="center"/>
          </w:tcPr>
          <w:p/>
        </w:tc>
        <w:tc>
          <w:tcPr>
            <w:tcW w:w="1286" w:type="dxa"/>
            <w:vMerge w:val="continue"/>
            <w:shd w:val="clear" w:color="auto" w:fill="auto"/>
            <w:vAlign w:val="center"/>
          </w:tcPr>
          <w:p/>
        </w:tc>
        <w:tc>
          <w:tcPr>
            <w:tcW w:w="1447" w:type="dxa"/>
            <w:vMerge w:val="continue"/>
            <w:shd w:val="clear" w:color="auto" w:fill="auto"/>
            <w:vAlign w:val="center"/>
          </w:tcPr>
          <w:p/>
        </w:tc>
        <w:tc>
          <w:tcPr>
            <w:tcW w:w="3292" w:type="dxa"/>
            <w:vMerge w:val="continue"/>
            <w:shd w:val="clear" w:color="auto" w:fill="auto"/>
            <w:vAlign w:val="center"/>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2" w:hRule="atLeast"/>
        </w:trPr>
        <w:tc>
          <w:tcPr>
            <w:tcW w:w="5039" w:type="dxa"/>
            <w:shd w:val="clear" w:color="auto" w:fill="auto"/>
            <w:vAlign w:val="center"/>
          </w:tcPr>
          <w:p>
            <w:pPr>
              <w:spacing w:line="300" w:lineRule="exact"/>
              <w:jc w:val="left"/>
              <w:rPr>
                <w:rFonts w:ascii="仿宋_GB2312" w:hAnsi="仿宋" w:eastAsia="仿宋_GB2312" w:cs="Times New Roman"/>
                <w:sz w:val="24"/>
                <w:szCs w:val="24"/>
              </w:rPr>
            </w:pPr>
            <w:r>
              <w:rPr>
                <w:rFonts w:hint="eastAsia" w:ascii="仿宋_GB2312" w:hAnsi="仿宋" w:eastAsia="仿宋_GB2312" w:cs="Times New Roman"/>
                <w:sz w:val="24"/>
                <w:szCs w:val="24"/>
              </w:rPr>
              <w:t>廊坊市人民防空办公室</w:t>
            </w:r>
          </w:p>
        </w:tc>
        <w:tc>
          <w:tcPr>
            <w:tcW w:w="1286" w:type="dxa"/>
            <w:shd w:val="clear" w:color="auto" w:fill="auto"/>
            <w:vAlign w:val="center"/>
          </w:tcPr>
          <w:p>
            <w:pPr>
              <w:spacing w:line="300" w:lineRule="exact"/>
              <w:jc w:val="center"/>
              <w:rPr>
                <w:rFonts w:ascii="仿宋_GB2312" w:hAnsi="仿宋" w:eastAsia="仿宋_GB2312" w:cs="Times New Roman"/>
                <w:sz w:val="24"/>
                <w:szCs w:val="24"/>
              </w:rPr>
            </w:pPr>
            <w:r>
              <w:rPr>
                <w:rFonts w:hint="eastAsia" w:ascii="仿宋_GB2312" w:hAnsi="仿宋" w:eastAsia="仿宋_GB2312" w:cs="Times New Roman"/>
                <w:sz w:val="24"/>
                <w:szCs w:val="24"/>
              </w:rPr>
              <w:t>行政</w:t>
            </w:r>
          </w:p>
        </w:tc>
        <w:tc>
          <w:tcPr>
            <w:tcW w:w="1447" w:type="dxa"/>
            <w:shd w:val="clear" w:color="auto" w:fill="auto"/>
            <w:vAlign w:val="center"/>
          </w:tcPr>
          <w:p>
            <w:pPr>
              <w:spacing w:line="300" w:lineRule="exact"/>
              <w:jc w:val="left"/>
              <w:rPr>
                <w:rFonts w:ascii="仿宋_GB2312" w:hAnsi="仿宋" w:eastAsia="仿宋_GB2312" w:cs="Times New Roman"/>
                <w:sz w:val="24"/>
                <w:szCs w:val="24"/>
              </w:rPr>
            </w:pPr>
            <w:r>
              <w:rPr>
                <w:rFonts w:hint="eastAsia" w:ascii="仿宋_GB2312" w:hAnsi="仿宋" w:eastAsia="仿宋_GB2312" w:cs="Times New Roman"/>
                <w:sz w:val="24"/>
                <w:szCs w:val="24"/>
              </w:rPr>
              <w:t>正处级</w:t>
            </w:r>
          </w:p>
        </w:tc>
        <w:tc>
          <w:tcPr>
            <w:tcW w:w="3292" w:type="dxa"/>
            <w:shd w:val="clear" w:color="auto" w:fill="auto"/>
            <w:vAlign w:val="center"/>
          </w:tcPr>
          <w:p>
            <w:pPr>
              <w:spacing w:line="300" w:lineRule="exact"/>
              <w:jc w:val="left"/>
              <w:rPr>
                <w:rFonts w:ascii="仿宋_GB2312" w:hAnsi="仿宋" w:eastAsia="仿宋_GB2312" w:cs="Times New Roman"/>
                <w:sz w:val="24"/>
                <w:szCs w:val="24"/>
              </w:rPr>
            </w:pPr>
            <w:r>
              <w:rPr>
                <w:rFonts w:hint="eastAsia" w:ascii="仿宋_GB2312" w:hAnsi="仿宋" w:eastAsia="仿宋_GB2312"/>
                <w:sz w:val="24"/>
                <w:szCs w:val="24"/>
              </w:rPr>
              <w:t>财政性资金基本保证</w:t>
            </w:r>
          </w:p>
        </w:tc>
      </w:tr>
    </w:tbl>
    <w:p>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w:t>
      </w:r>
      <w:r>
        <w:rPr>
          <w:rFonts w:hint="eastAsia" w:ascii="Times New Roman" w:hAnsi="Times New Roman" w:eastAsia="黑体" w:cs="Times New Roman"/>
          <w:sz w:val="32"/>
          <w:szCs w:val="32"/>
        </w:rPr>
        <w:t>单位</w:t>
      </w:r>
      <w:r>
        <w:rPr>
          <w:rFonts w:ascii="Times New Roman" w:hAnsi="Times New Roman" w:eastAsia="黑体" w:cs="Times New Roman"/>
          <w:sz w:val="32"/>
          <w:szCs w:val="32"/>
        </w:rPr>
        <w:t>预算安排的总体情况</w:t>
      </w:r>
    </w:p>
    <w:p>
      <w:pPr>
        <w:autoSpaceDE w:val="0"/>
        <w:autoSpaceDN w:val="0"/>
        <w:adjustRightInd w:val="0"/>
        <w:ind w:firstLine="704" w:firstLineChars="220"/>
        <w:jc w:val="left"/>
        <w:rPr>
          <w:rFonts w:hint="eastAsia" w:ascii="仿宋_GB2312" w:hAnsi="微软雅黑" w:eastAsia="仿宋_GB2312"/>
          <w:color w:val="333333"/>
          <w:sz w:val="32"/>
          <w:szCs w:val="32"/>
        </w:rPr>
      </w:pPr>
      <w:r>
        <w:rPr>
          <w:rFonts w:hint="eastAsia" w:ascii="仿宋_GB2312" w:hAnsi="微软雅黑" w:eastAsia="仿宋_GB2312"/>
          <w:color w:val="333333"/>
          <w:sz w:val="32"/>
          <w:szCs w:val="32"/>
        </w:rPr>
        <w:t>涉密</w:t>
      </w:r>
      <w:r>
        <w:rPr>
          <w:rFonts w:ascii="仿宋_GB2312" w:hAnsi="微软雅黑" w:eastAsia="仿宋_GB2312"/>
          <w:color w:val="333333"/>
          <w:sz w:val="32"/>
          <w:szCs w:val="32"/>
        </w:rPr>
        <w:t>不予公开。</w:t>
      </w:r>
    </w:p>
    <w:p>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三、机关运行经费安排情况</w:t>
      </w:r>
    </w:p>
    <w:p>
      <w:pPr>
        <w:autoSpaceDE w:val="0"/>
        <w:autoSpaceDN w:val="0"/>
        <w:adjustRightInd w:val="0"/>
        <w:ind w:firstLine="704" w:firstLineChars="220"/>
        <w:jc w:val="left"/>
        <w:rPr>
          <w:rFonts w:hint="eastAsia" w:ascii="仿宋_GB2312" w:hAnsi="微软雅黑" w:eastAsia="仿宋_GB2312"/>
          <w:color w:val="333333"/>
          <w:sz w:val="32"/>
          <w:szCs w:val="32"/>
        </w:rPr>
      </w:pPr>
      <w:r>
        <w:rPr>
          <w:rFonts w:hint="eastAsia" w:ascii="仿宋_GB2312" w:hAnsi="微软雅黑" w:eastAsia="仿宋_GB2312"/>
          <w:color w:val="333333"/>
          <w:sz w:val="32"/>
          <w:szCs w:val="32"/>
        </w:rPr>
        <w:t>涉密</w:t>
      </w:r>
      <w:r>
        <w:rPr>
          <w:rFonts w:ascii="仿宋_GB2312" w:hAnsi="微软雅黑" w:eastAsia="仿宋_GB2312"/>
          <w:color w:val="333333"/>
          <w:sz w:val="32"/>
          <w:szCs w:val="32"/>
        </w:rPr>
        <w:t>不予公开。</w:t>
      </w:r>
    </w:p>
    <w:p>
      <w:pPr>
        <w:autoSpaceDE w:val="0"/>
        <w:autoSpaceDN w:val="0"/>
        <w:adjustRightInd w:val="0"/>
        <w:spacing w:line="584" w:lineRule="exact"/>
        <w:ind w:firstLine="627" w:firstLineChars="196"/>
        <w:jc w:val="left"/>
        <w:rPr>
          <w:rFonts w:ascii="Times New Roman" w:hAnsi="Times New Roman" w:eastAsia="黑体" w:cs="Times New Roman"/>
          <w:sz w:val="32"/>
          <w:szCs w:val="32"/>
        </w:rPr>
      </w:pPr>
      <w:r>
        <w:rPr>
          <w:rFonts w:ascii="Times New Roman" w:hAnsi="Times New Roman" w:eastAsia="黑体" w:cs="Times New Roman"/>
          <w:sz w:val="32"/>
          <w:szCs w:val="32"/>
        </w:rPr>
        <w:t>四、财政拨款“三公”经费预算情况及增减变化原因</w:t>
      </w:r>
    </w:p>
    <w:p>
      <w:pPr>
        <w:autoSpaceDE w:val="0"/>
        <w:autoSpaceDN w:val="0"/>
        <w:adjustRightInd w:val="0"/>
        <w:spacing w:line="584" w:lineRule="exact"/>
        <w:ind w:left="197" w:leftChars="94" w:firstLine="640" w:firstLineChars="200"/>
        <w:jc w:val="left"/>
        <w:rPr>
          <w:rFonts w:hint="eastAsia" w:ascii="仿宋_GB2312" w:hAnsi="微软雅黑" w:eastAsia="仿宋_GB2312"/>
          <w:color w:val="333333"/>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w:t>
      </w:r>
      <w:r>
        <w:rPr>
          <w:rFonts w:ascii="仿宋_GB2312" w:hAnsi="微软雅黑" w:eastAsia="仿宋_GB2312"/>
          <w:color w:val="333333"/>
          <w:sz w:val="32"/>
          <w:szCs w:val="32"/>
        </w:rPr>
        <w:t>我办</w:t>
      </w:r>
      <w:r>
        <w:rPr>
          <w:rFonts w:hint="eastAsia" w:ascii="仿宋_GB2312" w:hAnsi="微软雅黑" w:eastAsia="仿宋_GB2312"/>
          <w:color w:val="333333"/>
          <w:sz w:val="32"/>
          <w:szCs w:val="32"/>
        </w:rPr>
        <w:t>财政拨款“三公”经费预算安排16.2万元，其中因公</w:t>
      </w:r>
      <w:r>
        <w:rPr>
          <w:rFonts w:ascii="仿宋_GB2312" w:hAnsi="微软雅黑" w:eastAsia="仿宋_GB2312"/>
          <w:color w:val="333333"/>
          <w:sz w:val="32"/>
          <w:szCs w:val="32"/>
        </w:rPr>
        <w:t>出国</w:t>
      </w:r>
      <w:r>
        <w:rPr>
          <w:rFonts w:hint="eastAsia" w:ascii="仿宋_GB2312" w:hAnsi="微软雅黑" w:eastAsia="仿宋_GB2312"/>
          <w:color w:val="333333"/>
          <w:sz w:val="32"/>
          <w:szCs w:val="32"/>
        </w:rPr>
        <w:t>（境）费0万元</w:t>
      </w:r>
      <w:r>
        <w:rPr>
          <w:rFonts w:ascii="仿宋_GB2312" w:hAnsi="微软雅黑" w:eastAsia="仿宋_GB2312"/>
          <w:color w:val="333333"/>
          <w:sz w:val="32"/>
          <w:szCs w:val="32"/>
        </w:rPr>
        <w:t>；</w:t>
      </w:r>
      <w:r>
        <w:rPr>
          <w:rFonts w:hint="eastAsia" w:ascii="仿宋_GB2312" w:hAnsi="微软雅黑" w:eastAsia="仿宋_GB2312"/>
          <w:color w:val="333333"/>
          <w:sz w:val="32"/>
          <w:szCs w:val="32"/>
        </w:rPr>
        <w:t>公务用车购置及</w:t>
      </w:r>
      <w:r>
        <w:rPr>
          <w:rFonts w:ascii="仿宋_GB2312" w:hAnsi="微软雅黑" w:eastAsia="仿宋_GB2312"/>
          <w:color w:val="333333"/>
          <w:sz w:val="32"/>
          <w:szCs w:val="32"/>
        </w:rPr>
        <w:t>运维费</w:t>
      </w:r>
      <w:r>
        <w:rPr>
          <w:rFonts w:hint="eastAsia" w:ascii="仿宋_GB2312" w:hAnsi="微软雅黑" w:eastAsia="仿宋_GB2312"/>
          <w:color w:val="333333"/>
          <w:sz w:val="32"/>
          <w:szCs w:val="32"/>
        </w:rPr>
        <w:t>15.04万元（</w:t>
      </w:r>
      <w:r>
        <w:rPr>
          <w:rFonts w:ascii="仿宋_GB2312" w:hAnsi="微软雅黑" w:eastAsia="仿宋_GB2312"/>
          <w:color w:val="333333"/>
          <w:sz w:val="32"/>
          <w:szCs w:val="32"/>
        </w:rPr>
        <w:t>其中：公务用车购置费为</w:t>
      </w:r>
      <w:r>
        <w:rPr>
          <w:rFonts w:hint="eastAsia" w:ascii="仿宋_GB2312" w:hAnsi="微软雅黑" w:eastAsia="仿宋_GB2312"/>
          <w:color w:val="333333"/>
          <w:sz w:val="32"/>
          <w:szCs w:val="32"/>
        </w:rPr>
        <w:t>0万元</w:t>
      </w:r>
      <w:r>
        <w:rPr>
          <w:rFonts w:ascii="仿宋_GB2312" w:hAnsi="微软雅黑" w:eastAsia="仿宋_GB2312"/>
          <w:color w:val="333333"/>
          <w:sz w:val="32"/>
          <w:szCs w:val="32"/>
        </w:rPr>
        <w:t>，公务用车运行费</w:t>
      </w:r>
      <w:r>
        <w:rPr>
          <w:rFonts w:hint="eastAsia" w:ascii="仿宋_GB2312" w:hAnsi="微软雅黑" w:eastAsia="仿宋_GB2312"/>
          <w:color w:val="333333"/>
          <w:sz w:val="32"/>
          <w:szCs w:val="32"/>
        </w:rPr>
        <w:t>15.04</w:t>
      </w:r>
      <w:r>
        <w:rPr>
          <w:rFonts w:ascii="仿宋_GB2312" w:hAnsi="微软雅黑" w:eastAsia="仿宋_GB2312"/>
          <w:color w:val="333333"/>
          <w:sz w:val="32"/>
          <w:szCs w:val="32"/>
        </w:rPr>
        <w:t>万元</w:t>
      </w:r>
      <w:r>
        <w:rPr>
          <w:rFonts w:hint="eastAsia" w:ascii="仿宋_GB2312" w:hAnsi="微软雅黑" w:eastAsia="仿宋_GB2312"/>
          <w:color w:val="333333"/>
          <w:sz w:val="32"/>
          <w:szCs w:val="32"/>
        </w:rPr>
        <w:t>）；公务</w:t>
      </w:r>
      <w:r>
        <w:rPr>
          <w:rFonts w:ascii="仿宋_GB2312" w:hAnsi="微软雅黑" w:eastAsia="仿宋_GB2312"/>
          <w:color w:val="333333"/>
          <w:sz w:val="32"/>
          <w:szCs w:val="32"/>
        </w:rPr>
        <w:t>接待费</w:t>
      </w:r>
      <w:r>
        <w:rPr>
          <w:rFonts w:hint="eastAsia" w:ascii="仿宋_GB2312" w:hAnsi="微软雅黑" w:eastAsia="仿宋_GB2312"/>
          <w:color w:val="333333"/>
          <w:sz w:val="32"/>
          <w:szCs w:val="32"/>
        </w:rPr>
        <w:t>1</w:t>
      </w:r>
      <w:r>
        <w:rPr>
          <w:rFonts w:ascii="仿宋_GB2312" w:hAnsi="微软雅黑" w:eastAsia="仿宋_GB2312"/>
          <w:color w:val="333333"/>
          <w:sz w:val="32"/>
          <w:szCs w:val="32"/>
        </w:rPr>
        <w:t>.16</w:t>
      </w:r>
      <w:r>
        <w:rPr>
          <w:rFonts w:hint="eastAsia" w:ascii="仿宋_GB2312" w:hAnsi="微软雅黑" w:eastAsia="仿宋_GB2312"/>
          <w:color w:val="333333"/>
          <w:sz w:val="32"/>
          <w:szCs w:val="32"/>
        </w:rPr>
        <w:t>万元。</w:t>
      </w:r>
      <w:r>
        <w:rPr>
          <w:rFonts w:ascii="Times New Roman" w:hAnsi="Times New Roman" w:eastAsia="仿宋_GB2312" w:cs="Times New Roman"/>
          <w:sz w:val="32"/>
          <w:szCs w:val="32"/>
        </w:rPr>
        <w:t>与20</w:t>
      </w:r>
      <w:r>
        <w:rPr>
          <w:rFonts w:hint="eastAsia" w:ascii="Times New Roman" w:hAnsi="Times New Roman" w:eastAsia="仿宋_GB2312" w:cs="Times New Roman"/>
          <w:sz w:val="32"/>
          <w:szCs w:val="32"/>
        </w:rPr>
        <w:t>22</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rPr>
        <w:t>相比减少3</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其中，</w:t>
      </w:r>
      <w:r>
        <w:rPr>
          <w:rFonts w:ascii="Times New Roman" w:hAnsi="Times New Roman" w:eastAsia="仿宋_GB2312" w:cs="Times New Roman"/>
          <w:sz w:val="32"/>
          <w:szCs w:val="32"/>
        </w:rPr>
        <w:t>公务用车购置及运维费</w:t>
      </w:r>
      <w:r>
        <w:rPr>
          <w:rFonts w:hint="eastAsia" w:ascii="Times New Roman" w:hAnsi="Times New Roman" w:eastAsia="仿宋_GB2312" w:cs="Times New Roman"/>
          <w:sz w:val="32"/>
          <w:szCs w:val="32"/>
        </w:rPr>
        <w:t>减少</w:t>
      </w:r>
      <w:r>
        <w:rPr>
          <w:rFonts w:ascii="Times New Roman" w:hAnsi="Times New Roman" w:eastAsia="仿宋_GB2312" w:cs="Times New Roman"/>
          <w:sz w:val="32"/>
          <w:szCs w:val="32"/>
        </w:rPr>
        <w:t>万元（其中：公务用车运维费</w:t>
      </w:r>
      <w:r>
        <w:rPr>
          <w:rFonts w:hint="eastAsia" w:ascii="Times New Roman" w:hAnsi="Times New Roman" w:eastAsia="仿宋_GB2312" w:cs="Times New Roman"/>
          <w:sz w:val="32"/>
          <w:szCs w:val="32"/>
        </w:rPr>
        <w:t>减少3</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rPr>
        <w:t>我单位切实落实勤俭节约各项规定，压减公车运行经费支出。</w:t>
      </w:r>
    </w:p>
    <w:p>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五、预算绩效信息</w:t>
      </w:r>
    </w:p>
    <w:p>
      <w:pPr>
        <w:autoSpaceDE w:val="0"/>
        <w:autoSpaceDN w:val="0"/>
        <w:adjustRightInd w:val="0"/>
        <w:ind w:firstLine="704" w:firstLineChars="220"/>
        <w:jc w:val="left"/>
        <w:rPr>
          <w:rFonts w:hint="eastAsia" w:ascii="仿宋_GB2312" w:hAnsi="微软雅黑" w:eastAsia="仿宋_GB2312"/>
          <w:color w:val="333333"/>
          <w:sz w:val="32"/>
          <w:szCs w:val="32"/>
        </w:rPr>
      </w:pPr>
      <w:r>
        <w:rPr>
          <w:rFonts w:hint="eastAsia" w:ascii="仿宋_GB2312" w:hAnsi="微软雅黑" w:eastAsia="仿宋_GB2312"/>
          <w:color w:val="333333"/>
          <w:sz w:val="32"/>
          <w:szCs w:val="32"/>
        </w:rPr>
        <w:t>涉密</w:t>
      </w:r>
      <w:r>
        <w:rPr>
          <w:rFonts w:ascii="仿宋_GB2312" w:hAnsi="微软雅黑" w:eastAsia="仿宋_GB2312"/>
          <w:color w:val="333333"/>
          <w:sz w:val="32"/>
          <w:szCs w:val="32"/>
        </w:rPr>
        <w:t>不予公开。</w:t>
      </w:r>
    </w:p>
    <w:p>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六、政府采购预算情况</w:t>
      </w:r>
    </w:p>
    <w:p>
      <w:pPr>
        <w:autoSpaceDE w:val="0"/>
        <w:autoSpaceDN w:val="0"/>
        <w:adjustRightInd w:val="0"/>
        <w:ind w:firstLine="704" w:firstLineChars="220"/>
        <w:jc w:val="left"/>
        <w:rPr>
          <w:rFonts w:ascii="Times New Roman" w:hAnsi="Times New Roman" w:eastAsia="黑体" w:cs="Times New Roman"/>
          <w:sz w:val="32"/>
          <w:szCs w:val="32"/>
        </w:rPr>
      </w:pPr>
      <w:r>
        <w:rPr>
          <w:rFonts w:hint="eastAsia" w:ascii="仿宋_GB2312" w:hAnsi="微软雅黑" w:eastAsia="仿宋_GB2312"/>
          <w:color w:val="333333"/>
          <w:sz w:val="32"/>
          <w:szCs w:val="32"/>
        </w:rPr>
        <w:t>涉密</w:t>
      </w:r>
      <w:r>
        <w:rPr>
          <w:rFonts w:ascii="仿宋_GB2312" w:hAnsi="微软雅黑" w:eastAsia="仿宋_GB2312"/>
          <w:color w:val="333333"/>
          <w:sz w:val="32"/>
          <w:szCs w:val="32"/>
        </w:rPr>
        <w:t>不予公开。</w:t>
      </w:r>
    </w:p>
    <w:p>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七、国有资产信息</w:t>
      </w:r>
    </w:p>
    <w:p>
      <w:pPr>
        <w:autoSpaceDE w:val="0"/>
        <w:autoSpaceDN w:val="0"/>
        <w:adjustRightInd w:val="0"/>
        <w:spacing w:line="584" w:lineRule="exact"/>
        <w:ind w:firstLine="640" w:firstLineChars="200"/>
        <w:jc w:val="left"/>
        <w:rPr>
          <w:rFonts w:hint="eastAsia" w:ascii="仿宋_GB2312" w:hAnsi="微软雅黑" w:eastAsia="仿宋_GB2312"/>
          <w:color w:val="333333"/>
          <w:sz w:val="32"/>
          <w:szCs w:val="32"/>
        </w:rPr>
      </w:pPr>
      <w:r>
        <w:rPr>
          <w:rFonts w:hint="eastAsia" w:ascii="仿宋_GB2312" w:hAnsi="微软雅黑" w:eastAsia="仿宋_GB2312"/>
          <w:color w:val="333333"/>
          <w:sz w:val="32"/>
          <w:szCs w:val="32"/>
        </w:rPr>
        <w:t>涉密</w:t>
      </w:r>
      <w:r>
        <w:rPr>
          <w:rFonts w:ascii="仿宋_GB2312" w:hAnsi="微软雅黑" w:eastAsia="仿宋_GB2312"/>
          <w:color w:val="333333"/>
          <w:sz w:val="32"/>
          <w:szCs w:val="32"/>
        </w:rPr>
        <w:t>不予公开</w:t>
      </w:r>
    </w:p>
    <w:p>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八、</w:t>
      </w:r>
      <w:r>
        <w:rPr>
          <w:rFonts w:ascii="Times New Roman" w:hAnsi="Times New Roman" w:eastAsia="黑体" w:cs="Times New Roman"/>
          <w:sz w:val="32"/>
          <w:szCs w:val="32"/>
        </w:rPr>
        <w:t>名词解释</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w:t>
      </w:r>
      <w:r>
        <w:rPr>
          <w:rFonts w:hint="eastAsia" w:ascii="Times New Roman" w:hAnsi="Times New Roman" w:eastAsia="仿宋_GB2312" w:cs="Times New Roman"/>
          <w:sz w:val="32"/>
          <w:szCs w:val="32"/>
          <w:lang w:eastAsia="zh-CN"/>
        </w:rPr>
        <w:t>市</w:t>
      </w:r>
      <w:r>
        <w:rPr>
          <w:rFonts w:ascii="Times New Roman" w:hAnsi="Times New Roman" w:eastAsia="仿宋_GB2312" w:cs="Times New Roman"/>
          <w:sz w:val="32"/>
          <w:szCs w:val="32"/>
        </w:rPr>
        <w:t>级财政当年拨付的资金。</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pPr>
        <w:tabs>
          <w:tab w:val="left" w:pos="11490"/>
        </w:tabs>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w:t>
      </w:r>
      <w:r>
        <w:rPr>
          <w:rFonts w:hint="eastAsia" w:ascii="Times New Roman" w:hAnsi="Times New Roman" w:eastAsia="仿宋_GB2312" w:cs="Times New Roman"/>
          <w:sz w:val="32"/>
          <w:szCs w:val="32"/>
          <w:lang w:eastAsia="zh-CN"/>
        </w:rPr>
        <w:t>市</w:t>
      </w:r>
      <w:r>
        <w:rPr>
          <w:rFonts w:ascii="Times New Roman" w:hAnsi="Times New Roman" w:eastAsia="仿宋_GB2312" w:cs="Times New Roman"/>
          <w:sz w:val="32"/>
          <w:szCs w:val="32"/>
        </w:rPr>
        <w:t>级财政预算管理的“三公”经费，是指</w:t>
      </w:r>
      <w:r>
        <w:rPr>
          <w:rFonts w:hint="eastAsia" w:ascii="Times New Roman" w:hAnsi="Times New Roman" w:eastAsia="仿宋_GB2312" w:cs="Times New Roman"/>
          <w:sz w:val="32"/>
          <w:szCs w:val="32"/>
          <w:lang w:eastAsia="zh-CN"/>
        </w:rPr>
        <w:t>市</w:t>
      </w:r>
      <w:r>
        <w:rPr>
          <w:rFonts w:ascii="Times New Roman" w:hAnsi="Times New Roman" w:eastAsia="仿宋_GB2312" w:cs="Times New Roman"/>
          <w:sz w:val="32"/>
          <w:szCs w:val="32"/>
        </w:rPr>
        <w:t>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九</w:t>
      </w:r>
      <w:r>
        <w:rPr>
          <w:rFonts w:ascii="Times New Roman" w:hAnsi="Times New Roman" w:eastAsia="黑体" w:cs="Times New Roman"/>
          <w:sz w:val="32"/>
          <w:szCs w:val="32"/>
        </w:rPr>
        <w:t>、其他需要说明的事项</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w:t>
      </w:r>
      <w:r>
        <w:rPr>
          <w:rFonts w:hint="eastAsia" w:ascii="Times New Roman" w:hAnsi="Times New Roman" w:eastAsia="仿宋_GB2312" w:cs="Times New Roman"/>
          <w:sz w:val="32"/>
          <w:szCs w:val="32"/>
        </w:rPr>
        <w:t>单位</w:t>
      </w:r>
      <w:r>
        <w:rPr>
          <w:rFonts w:ascii="Times New Roman" w:hAnsi="Times New Roman" w:eastAsia="仿宋_GB2312" w:cs="Times New Roman"/>
          <w:sz w:val="32"/>
          <w:szCs w:val="32"/>
        </w:rPr>
        <w:t>无其他需要说明的事项。</w:t>
      </w:r>
    </w:p>
    <w:sectPr>
      <w:footerReference r:id="rId3" w:type="default"/>
      <w:pgSz w:w="16838" w:h="11906" w:orient="landscape"/>
      <w:pgMar w:top="1800" w:right="1440" w:bottom="1800" w:left="144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roman"/>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w:t>
    </w:r>
    <w:r>
      <w:fldChar w:fldCharType="begin"/>
    </w:r>
    <w:r>
      <w:instrText xml:space="preserve">PAGE   \* MERGEFORMAT</w:instrText>
    </w:r>
    <w:r>
      <w:fldChar w:fldCharType="separate"/>
    </w:r>
    <w:r>
      <w:rPr>
        <w:lang w:val="zh-CN"/>
      </w:rPr>
      <w:t>6</w:t>
    </w:r>
    <w:r>
      <w:rPr>
        <w:lang w:val="zh-CN"/>
      </w:rPr>
      <w:fldChar w:fldCharType="end"/>
    </w:r>
    <w:r>
      <w:rPr>
        <w:rFonts w:hint="eastAsia"/>
      </w:rPr>
      <w:t>-</w: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3MDhjMGYzZjY1OWYwODEwNmE2YjVlMGYxOWJjOWYifQ=="/>
  </w:docVars>
  <w:rsids>
    <w:rsidRoot w:val="00D347CC"/>
    <w:rsid w:val="00055AA8"/>
    <w:rsid w:val="000B421E"/>
    <w:rsid w:val="001B0095"/>
    <w:rsid w:val="00393C0D"/>
    <w:rsid w:val="00436E90"/>
    <w:rsid w:val="004A54AA"/>
    <w:rsid w:val="00653265"/>
    <w:rsid w:val="007C78F5"/>
    <w:rsid w:val="007D70C2"/>
    <w:rsid w:val="00825A48"/>
    <w:rsid w:val="008531FA"/>
    <w:rsid w:val="008A0603"/>
    <w:rsid w:val="008C4364"/>
    <w:rsid w:val="009846FF"/>
    <w:rsid w:val="009A23C6"/>
    <w:rsid w:val="00B80935"/>
    <w:rsid w:val="00BB1B69"/>
    <w:rsid w:val="00C546A5"/>
    <w:rsid w:val="00CA4508"/>
    <w:rsid w:val="00CD295D"/>
    <w:rsid w:val="00D25DED"/>
    <w:rsid w:val="00D26141"/>
    <w:rsid w:val="00D347CC"/>
    <w:rsid w:val="00D9525E"/>
    <w:rsid w:val="00DA0A04"/>
    <w:rsid w:val="00E73A1C"/>
    <w:rsid w:val="0366651F"/>
    <w:rsid w:val="0C685E46"/>
    <w:rsid w:val="5B586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Arial"/>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qFormat/>
    <w:uiPriority w:val="0"/>
    <w:rPr>
      <w:sz w:val="18"/>
      <w:szCs w:val="18"/>
    </w:rPr>
  </w:style>
  <w:style w:type="paragraph" w:styleId="3">
    <w:name w:val="footer"/>
    <w:basedOn w:val="1"/>
    <w:qFormat/>
    <w:uiPriority w:val="0"/>
    <w:pPr>
      <w:tabs>
        <w:tab w:val="center" w:pos="4153"/>
        <w:tab w:val="right" w:pos="8306"/>
      </w:tabs>
      <w:snapToGrid w:val="0"/>
      <w:jc w:val="left"/>
    </w:pPr>
    <w:rPr>
      <w:rFonts w:ascii="Times New Roman" w:hAnsi="Times New Roman" w:cs="Times New Roman"/>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5">
    <w:name w:val="toc 1"/>
    <w:basedOn w:val="1"/>
    <w:next w:val="1"/>
    <w:qFormat/>
    <w:uiPriority w:val="0"/>
    <w:rPr>
      <w:rFonts w:ascii="Times New Roman" w:hAnsi="Times New Roman" w:cs="Times New Roman"/>
      <w:szCs w:val="24"/>
    </w:rPr>
  </w:style>
  <w:style w:type="paragraph" w:styleId="6">
    <w:name w:val="footnote text"/>
    <w:basedOn w:val="1"/>
    <w:qFormat/>
    <w:uiPriority w:val="0"/>
    <w:pPr>
      <w:snapToGrid w:val="0"/>
      <w:jc w:val="left"/>
    </w:pPr>
    <w:rPr>
      <w:rFonts w:cs="Times New Roman"/>
      <w:sz w:val="18"/>
      <w:szCs w:val="18"/>
    </w:rPr>
  </w:style>
  <w:style w:type="paragraph" w:styleId="7">
    <w:name w:val="toc 2"/>
    <w:basedOn w:val="1"/>
    <w:next w:val="1"/>
    <w:qFormat/>
    <w:uiPriority w:val="0"/>
    <w:pPr>
      <w:ind w:left="200" w:leftChars="200"/>
    </w:pPr>
    <w:rPr>
      <w:rFonts w:ascii="Times New Roman" w:hAnsi="Times New Roman" w:cs="Times New Roman"/>
      <w:szCs w:val="24"/>
    </w:rPr>
  </w:style>
  <w:style w:type="character" w:styleId="10">
    <w:name w:val="footnote reference"/>
    <w:qFormat/>
    <w:uiPriority w:val="0"/>
    <w:rPr>
      <w:vertAlign w:val="superscript"/>
    </w:rPr>
  </w:style>
  <w:style w:type="paragraph" w:customStyle="1" w:styleId="11">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2">
    <w:name w:val="标题 11"/>
    <w:basedOn w:val="1"/>
    <w:qFormat/>
    <w:uiPriority w:val="0"/>
    <w:pPr>
      <w:keepNext/>
      <w:keepLines/>
      <w:widowControl/>
      <w:spacing w:before="340" w:after="330" w:line="578" w:lineRule="auto"/>
    </w:pPr>
    <w:rPr>
      <w:rFonts w:eastAsia="Calibri" w:cs="Times New Roman"/>
      <w:b/>
      <w:kern w:val="0"/>
      <w:sz w:val="44"/>
      <w:szCs w:val="20"/>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321</Words>
  <Characters>1830</Characters>
  <Lines>15</Lines>
  <Paragraphs>4</Paragraphs>
  <TotalTime>3</TotalTime>
  <ScaleCrop>false</ScaleCrop>
  <LinksUpToDate>false</LinksUpToDate>
  <CharactersWithSpaces>2147</CharactersWithSpaces>
  <Application>WPS Office_12.1.0.15336_F1E327BC-269C-435d-A152-05C5408002CA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2023-02-01T07:18:00Z</dcterms:created>
  <dc:creator>guest</dc:creator>
  <cp:lastModifiedBy>dell3046</cp:lastModifiedBy>
  <cp:lastPrinted>2018-01-30T06:12:00Z</cp:lastPrinted>
  <dcterms:modified xsi:type="dcterms:W3CDTF">2023-01-18T01:57:30Z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2052-12.1.0.15336</vt:lpwstr>
  </property>
  <property fmtid="{D5CDD505-2E9C-101B-9397-08002B2CF9AE}" pid="3" name="ICV">
    <vt:lpwstr>658D3FA58B174385B4C9B0E428C4A781_12</vt:lpwstr>
  </property>
</Properties>
</file>