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4" w:lineRule="exact"/>
        <w:ind w:firstLine="880" w:firstLineChars="200"/>
        <w:jc w:val="center"/>
        <w:rPr>
          <w:rFonts w:ascii="Times New Roman" w:hAnsi="Times New Roman" w:eastAsia="仿宋_GB2312" w:cs="Times New Roman"/>
          <w:sz w:val="44"/>
          <w:szCs w:val="44"/>
        </w:rPr>
      </w:pPr>
    </w:p>
    <w:p>
      <w:pPr>
        <w:spacing w:line="584" w:lineRule="exact"/>
        <w:ind w:firstLine="880" w:firstLineChars="200"/>
        <w:jc w:val="center"/>
        <w:rPr>
          <w:rFonts w:ascii="Times New Roman" w:hAnsi="Times New Roman" w:eastAsia="仿宋_GB2312" w:cs="Times New Roman"/>
          <w:sz w:val="44"/>
          <w:szCs w:val="44"/>
        </w:rPr>
      </w:pPr>
    </w:p>
    <w:p>
      <w:pPr>
        <w:spacing w:line="584" w:lineRule="exact"/>
        <w:ind w:firstLine="792" w:firstLineChars="200"/>
        <w:jc w:val="center"/>
        <w:rPr>
          <w:rFonts w:ascii="Times New Roman" w:hAnsi="Times New Roman" w:eastAsia="方正小标宋简体" w:cs="Times New Roman"/>
          <w:w w:val="90"/>
          <w:sz w:val="44"/>
          <w:szCs w:val="44"/>
        </w:rPr>
      </w:pPr>
      <w:r>
        <w:rPr>
          <w:rFonts w:hint="eastAsia" w:ascii="Times New Roman" w:hAnsi="Times New Roman" w:eastAsia="方正小标宋简体" w:cs="Times New Roman"/>
          <w:w w:val="90"/>
          <w:sz w:val="44"/>
          <w:szCs w:val="44"/>
          <w:lang w:eastAsia="zh-CN"/>
        </w:rPr>
        <w:t>中共廊坊市委机构编制委员会办公室</w:t>
      </w:r>
      <w:r>
        <w:rPr>
          <w:rFonts w:ascii="Times New Roman" w:hAnsi="Times New Roman" w:eastAsia="方正小标宋简体" w:cs="Times New Roman"/>
          <w:w w:val="90"/>
          <w:sz w:val="44"/>
          <w:szCs w:val="44"/>
        </w:rPr>
        <w:t>20</w:t>
      </w:r>
      <w:r>
        <w:rPr>
          <w:rFonts w:hint="eastAsia" w:ascii="Times New Roman" w:hAnsi="Times New Roman" w:eastAsia="方正小标宋简体" w:cs="Times New Roman"/>
          <w:w w:val="90"/>
          <w:sz w:val="44"/>
          <w:szCs w:val="44"/>
        </w:rPr>
        <w:t>2</w:t>
      </w:r>
      <w:r>
        <w:rPr>
          <w:rFonts w:ascii="Times New Roman" w:hAnsi="Times New Roman" w:eastAsia="方正小标宋简体" w:cs="Times New Roman"/>
          <w:w w:val="90"/>
          <w:sz w:val="44"/>
          <w:szCs w:val="44"/>
        </w:rPr>
        <w:t>2年</w:t>
      </w:r>
      <w:r>
        <w:rPr>
          <w:rFonts w:hint="eastAsia" w:ascii="Times New Roman" w:hAnsi="Times New Roman" w:eastAsia="方正小标宋简体" w:cs="Times New Roman"/>
          <w:w w:val="90"/>
          <w:sz w:val="44"/>
          <w:szCs w:val="44"/>
          <w:lang w:eastAsia="zh-CN"/>
        </w:rPr>
        <w:t>机关</w:t>
      </w:r>
      <w:r>
        <w:rPr>
          <w:rFonts w:ascii="Times New Roman" w:hAnsi="Times New Roman" w:eastAsia="方正小标宋简体" w:cs="Times New Roman"/>
          <w:w w:val="90"/>
          <w:sz w:val="44"/>
          <w:szCs w:val="44"/>
        </w:rPr>
        <w:t>预算信息公开</w:t>
      </w:r>
      <w:r>
        <w:rPr>
          <w:rFonts w:hint="eastAsia" w:ascii="Times New Roman" w:hAnsi="Times New Roman" w:eastAsia="方正小标宋简体" w:cs="Times New Roman"/>
          <w:w w:val="90"/>
          <w:sz w:val="44"/>
          <w:szCs w:val="44"/>
        </w:rPr>
        <w:t>情况说明</w:t>
      </w:r>
    </w:p>
    <w:p>
      <w:pPr>
        <w:spacing w:line="584" w:lineRule="exact"/>
        <w:ind w:firstLine="880" w:firstLineChars="200"/>
        <w:jc w:val="center"/>
        <w:rPr>
          <w:rFonts w:ascii="Times New Roman" w:hAnsi="Times New Roman" w:eastAsia="仿宋_GB2312" w:cs="Times New Roman"/>
          <w:sz w:val="44"/>
          <w:szCs w:val="44"/>
        </w:rPr>
      </w:pP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w:t>
      </w:r>
      <w:r>
        <w:rPr>
          <w:rFonts w:hint="eastAsia" w:ascii="Times New Roman" w:hAnsi="Times New Roman" w:eastAsia="仿宋_GB2312" w:cs="Times New Roman"/>
          <w:sz w:val="32"/>
          <w:szCs w:val="32"/>
          <w:lang w:eastAsia="zh-CN"/>
        </w:rPr>
        <w:t>中共廊坊市委机构编制委员会办公室</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w:t>
      </w:r>
      <w:r>
        <w:rPr>
          <w:rFonts w:hint="eastAsia" w:ascii="Times New Roman" w:hAnsi="Times New Roman" w:eastAsia="仿宋_GB2312" w:cs="Times New Roman"/>
          <w:sz w:val="32"/>
          <w:szCs w:val="32"/>
          <w:lang w:eastAsia="zh-CN"/>
        </w:rPr>
        <w:t>机关</w:t>
      </w:r>
      <w:r>
        <w:rPr>
          <w:rFonts w:ascii="Times New Roman" w:hAnsi="Times New Roman" w:eastAsia="仿宋_GB2312" w:cs="Times New Roman"/>
          <w:sz w:val="32"/>
          <w:szCs w:val="32"/>
        </w:rPr>
        <w:t>预算公开如下：</w:t>
      </w:r>
    </w:p>
    <w:p>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w:t>
      </w:r>
      <w:r>
        <w:rPr>
          <w:rFonts w:hint="eastAsia" w:ascii="Times New Roman" w:hAnsi="Times New Roman" w:eastAsia="黑体" w:cs="Times New Roman"/>
          <w:sz w:val="32"/>
          <w:szCs w:val="32"/>
          <w:lang w:eastAsia="zh-CN"/>
        </w:rPr>
        <w:t>单位</w:t>
      </w:r>
      <w:r>
        <w:rPr>
          <w:rFonts w:ascii="Times New Roman" w:hAnsi="Times New Roman" w:eastAsia="黑体" w:cs="Times New Roman"/>
          <w:sz w:val="32"/>
          <w:szCs w:val="32"/>
        </w:rPr>
        <w:t>职责及机构设置情况</w:t>
      </w:r>
    </w:p>
    <w:p>
      <w:pPr>
        <w:spacing w:line="584" w:lineRule="exact"/>
        <w:ind w:firstLine="643" w:firstLineChars="20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lang w:eastAsia="zh-CN"/>
        </w:rPr>
        <w:t>单位</w:t>
      </w:r>
      <w:r>
        <w:rPr>
          <w:rFonts w:ascii="Times New Roman" w:hAnsi="Times New Roman" w:eastAsia="楷体_GB2312" w:cs="Times New Roman"/>
          <w:b/>
          <w:sz w:val="32"/>
          <w:szCs w:val="32"/>
        </w:rPr>
        <w:t>职责：</w:t>
      </w:r>
    </w:p>
    <w:p>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一）贯彻落实党中央、省委、市委关于行政管理体制和机构改革以及机构编制管理的政策法规，组织拟订相关政策规定和地方规范性文件并监督实施。管理和指导全市各级党委、人大、政府、政协、监察委机关，各民主党派、人民团体机关以及全市事业单位的机构编制工作。</w:t>
      </w:r>
    </w:p>
    <w:p>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组织拟订全市行政管理体制改革和市委、市政府机构改革方案并组织实施。审核各县（市、区）的行政管理体制和机构改革方案；指导全市行政管理体制和机构改革以及机构编制管理工作；负责行政执法体制改革工作。</w:t>
      </w:r>
    </w:p>
    <w:p>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（三）协调市委、市政府各</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的职能配置及其调整。协调市委、市政府</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之间以及市直</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与县（市、区）之间的职责分工。</w:t>
      </w:r>
    </w:p>
    <w:p>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（四）审核或审批市委、市政府各</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及各</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派出机构的职能配置、机构设置、人员编制和领导职数；审核市人大、市政协、市监察委和市级各民主党派、人民团体机关的职能配置、机构设置、人员编制和领导职数。</w:t>
      </w:r>
    </w:p>
    <w:p>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五）审核各县（市、区）党委、政府副科级以上机构设置和调整事宜；审核各县（市、区）人大、政协、监察委和各民主党派、人民团体机关副科级以上机构设置和调整事宜；审核各县（市、区）、乡镇机构编制分类；负责需要承办的省垂直管理</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或双重管理</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（单位）机构编制有关事宜。</w:t>
      </w:r>
    </w:p>
    <w:p>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（六）组织拟订全市事业单位管理体制和机构改革方案。贯彻执行各类事业单位人员编制标准和管理办法，负责推进事业单位机构编制标准体系建设；审核或审批市委、市政府直属事业单位和市直</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所属事业单位的机构编制事宜；指导各县（市、区）及以下事业单位管理体制改革和机构编制管理工作。审核全市副科级以上事业单位的机构编制事宜，审批各县（市、区）股级事业单位的机构编制事宜；负责全市党政群机关统一社会信用代码赋码管理工作，负责全市事业单位法人登记管理和监督检查工作。</w:t>
      </w:r>
    </w:p>
    <w:p>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（七）指导全市开发区（园区）行政管理体制改革工作。贯彻落实省级以上开发区（园区）机构编制管理办法，审核省级以上开发区（园区）职能配置、机构设置、人员编制和领导职数。</w:t>
      </w:r>
    </w:p>
    <w:p>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（八）负责全市机构编制的总量控制和动态管理。会同有关</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负责机构编制实名制工作；负责市直机关事业单位编制使用核准；建立健全机构编制</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与有关</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的协调配合约束机制。</w:t>
      </w:r>
    </w:p>
    <w:p>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（九）负责对各级行政、事业单位管理体制和机构改革及机构编制执行情况的跟踪评估和监督检查。负责受理违反机构编制法规、纪律的检举、控告和投诉，对违反机构编制法规、纪律问题进行调查处理。</w:t>
      </w:r>
    </w:p>
    <w:p>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十）负责全市机构编制电子政务和信息化工作。负责全市机构编制统计工作；负责机构编制网站的建设管理以及网络安全工作；指导全市党政群机关、事业单位和其他非营利性单位网上名称管理工作；指导县（市、区）机构编制</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电子政务建设和信息化建设工作。</w:t>
      </w:r>
    </w:p>
    <w:p>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（十一）组织开展行政体制改革及机构编制管理创新基础性和前瞻性研究</w:t>
      </w:r>
    </w:p>
    <w:p>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（十二）承办市委、市政府和市委机构编制委员会交办的其他任务。</w:t>
      </w:r>
    </w:p>
    <w:p>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pPr>
        <w:spacing w:line="584" w:lineRule="exact"/>
        <w:jc w:val="center"/>
        <w:outlineLvl w:val="0"/>
        <w:rPr>
          <w:rFonts w:ascii="Times New Roman" w:hAnsi="Times New Roman" w:eastAsia="仿宋_GB2312" w:cs="Times New Roman"/>
          <w:b/>
          <w:sz w:val="32"/>
          <w:szCs w:val="24"/>
        </w:rPr>
      </w:pPr>
      <w:r>
        <w:rPr>
          <w:rFonts w:hint="eastAsia" w:ascii="Times New Roman" w:hAnsi="Times New Roman" w:eastAsia="仿宋_GB2312" w:cs="Times New Roman"/>
          <w:b/>
          <w:sz w:val="32"/>
          <w:szCs w:val="24"/>
          <w:lang w:eastAsia="zh-CN"/>
        </w:rPr>
        <w:t>单位</w:t>
      </w:r>
      <w:r>
        <w:rPr>
          <w:rFonts w:ascii="Times New Roman" w:hAnsi="Times New Roman" w:eastAsia="仿宋_GB2312" w:cs="Times New Roman"/>
          <w:b/>
          <w:sz w:val="32"/>
          <w:szCs w:val="24"/>
        </w:rPr>
        <w:t>机构设置情况</w:t>
      </w:r>
    </w:p>
    <w:tbl>
      <w:tblPr>
        <w:tblStyle w:val="9"/>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shd w:val="clear" w:color="auto" w:fill="auto"/>
            <w:vAlign w:val="center"/>
          </w:tcPr>
          <w:p>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shd w:val="clear" w:color="auto" w:fill="auto"/>
            <w:vAlign w:val="center"/>
          </w:tcPr>
          <w:p>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276" w:type="dxa"/>
            <w:vMerge w:val="restart"/>
            <w:shd w:val="clear" w:color="auto" w:fill="auto"/>
            <w:vAlign w:val="center"/>
          </w:tcPr>
          <w:p>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902" w:type="dxa"/>
            <w:vMerge w:val="restart"/>
            <w:shd w:val="clear" w:color="auto" w:fill="auto"/>
            <w:vAlign w:val="center"/>
          </w:tcPr>
          <w:p>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continue"/>
            <w:shd w:val="clear" w:color="auto" w:fill="auto"/>
            <w:vAlign w:val="center"/>
          </w:tcPr>
          <w:p/>
        </w:tc>
        <w:tc>
          <w:tcPr>
            <w:tcW w:w="1134" w:type="dxa"/>
            <w:vMerge w:val="continue"/>
            <w:shd w:val="clear" w:color="auto" w:fill="auto"/>
            <w:vAlign w:val="center"/>
          </w:tcPr>
          <w:p/>
        </w:tc>
        <w:tc>
          <w:tcPr>
            <w:tcW w:w="1276" w:type="dxa"/>
            <w:vMerge w:val="continue"/>
            <w:shd w:val="clear" w:color="auto" w:fill="auto"/>
            <w:vAlign w:val="center"/>
          </w:tcPr>
          <w:p/>
        </w:tc>
        <w:tc>
          <w:tcPr>
            <w:tcW w:w="2902" w:type="dxa"/>
            <w:vMerge w:val="continue"/>
            <w:shd w:val="clear" w:color="auto" w:fill="auto"/>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中共廊坊市委机构编制委员会办公室</w:t>
            </w:r>
          </w:p>
        </w:tc>
        <w:tc>
          <w:tcPr>
            <w:tcW w:w="1134" w:type="dxa"/>
            <w:shd w:val="clear" w:color="auto" w:fill="auto"/>
            <w:vAlign w:val="center"/>
          </w:tcPr>
          <w:p>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行政</w:t>
            </w:r>
          </w:p>
        </w:tc>
        <w:tc>
          <w:tcPr>
            <w:tcW w:w="1276" w:type="dxa"/>
            <w:shd w:val="clear" w:color="auto" w:fill="auto"/>
            <w:vAlign w:val="center"/>
          </w:tcPr>
          <w:p>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正处级</w:t>
            </w:r>
          </w:p>
        </w:tc>
        <w:tc>
          <w:tcPr>
            <w:tcW w:w="2902" w:type="dxa"/>
            <w:shd w:val="clear" w:color="auto" w:fill="auto"/>
            <w:vAlign w:val="center"/>
          </w:tcPr>
          <w:p>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财政拨款</w:t>
            </w:r>
          </w:p>
        </w:tc>
      </w:tr>
    </w:tbl>
    <w:p>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w:t>
      </w:r>
      <w:r>
        <w:rPr>
          <w:rFonts w:hint="eastAsia" w:ascii="Times New Roman" w:hAnsi="Times New Roman" w:eastAsia="黑体" w:cs="Times New Roman"/>
          <w:sz w:val="32"/>
          <w:szCs w:val="32"/>
          <w:lang w:eastAsia="zh-CN"/>
        </w:rPr>
        <w:t>单位</w:t>
      </w:r>
      <w:r>
        <w:rPr>
          <w:rFonts w:ascii="Times New Roman" w:hAnsi="Times New Roman" w:eastAsia="黑体" w:cs="Times New Roman"/>
          <w:sz w:val="32"/>
          <w:szCs w:val="32"/>
        </w:rPr>
        <w:t>预算安排的总体情况</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预算的编制实行综合预算制度，即全部收入和支出都反映在预算中。</w:t>
      </w:r>
      <w:r>
        <w:rPr>
          <w:rFonts w:hint="eastAsia" w:ascii="Times New Roman" w:hAnsi="Times New Roman" w:eastAsia="仿宋_GB2312" w:cs="Times New Roman"/>
          <w:sz w:val="32"/>
          <w:szCs w:val="32"/>
        </w:rPr>
        <w:t>中共廊坊市委机构编制委员会办公室</w:t>
      </w:r>
      <w:r>
        <w:rPr>
          <w:rFonts w:ascii="Times New Roman" w:hAnsi="Times New Roman" w:eastAsia="仿宋_GB2312" w:cs="Times New Roman"/>
          <w:sz w:val="32"/>
          <w:szCs w:val="32"/>
        </w:rPr>
        <w:t>机关的收支包含在</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预算中。</w:t>
      </w:r>
    </w:p>
    <w:p>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当年全部收入。20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2年预算收入</w:t>
      </w:r>
      <w:r>
        <w:rPr>
          <w:rFonts w:hint="eastAsia" w:ascii="Times New Roman" w:hAnsi="Times New Roman" w:eastAsia="仿宋_GB2312" w:cs="Times New Roman"/>
          <w:sz w:val="32"/>
          <w:szCs w:val="32"/>
          <w:lang w:val="en-US" w:eastAsia="zh-CN"/>
        </w:rPr>
        <w:t>699.02</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lang w:val="en-US" w:eastAsia="zh-CN"/>
        </w:rPr>
        <w:t>699.02</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w:t>
      </w:r>
    </w:p>
    <w:p>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pPr>
        <w:spacing w:line="584" w:lineRule="exact"/>
        <w:ind w:firstLine="640"/>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w:t>
      </w:r>
      <w:r>
        <w:rPr>
          <w:rFonts w:hint="eastAsia" w:ascii="Times New Roman" w:hAnsi="Times New Roman" w:eastAsia="仿宋_GB2312" w:cs="Times New Roman"/>
          <w:sz w:val="32"/>
          <w:szCs w:val="32"/>
          <w:lang w:eastAsia="zh-CN"/>
        </w:rPr>
        <w:t>中共廊坊市委机构编制委员会办公室</w:t>
      </w:r>
      <w:r>
        <w:rPr>
          <w:rFonts w:ascii="Times New Roman" w:hAnsi="Times New Roman" w:eastAsia="仿宋_GB2312" w:cs="Times New Roman"/>
          <w:sz w:val="32"/>
          <w:szCs w:val="32"/>
        </w:rPr>
        <w:t>年度</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预算中支出预算的总体情况。20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2年支出预算</w:t>
      </w:r>
      <w:r>
        <w:rPr>
          <w:rFonts w:hint="eastAsia" w:ascii="Times New Roman" w:hAnsi="Times New Roman" w:eastAsia="仿宋_GB2312" w:cs="Times New Roman"/>
          <w:sz w:val="32"/>
          <w:szCs w:val="32"/>
          <w:lang w:val="en-US" w:eastAsia="zh-CN"/>
        </w:rPr>
        <w:t>699.02</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651.66</w:t>
      </w:r>
      <w:r>
        <w:rPr>
          <w:rFonts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lang w:val="en-US" w:eastAsia="zh-CN"/>
        </w:rPr>
        <w:t>574.28</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eastAsia" w:ascii="Times New Roman" w:hAnsi="Times New Roman" w:eastAsia="仿宋_GB2312" w:cs="Times New Roman"/>
          <w:sz w:val="32"/>
          <w:szCs w:val="32"/>
          <w:lang w:val="en-US" w:eastAsia="zh-CN"/>
        </w:rPr>
        <w:t>77.38</w:t>
      </w:r>
      <w:r>
        <w:rPr>
          <w:rFonts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lang w:val="en-US" w:eastAsia="zh-CN"/>
        </w:rPr>
        <w:t>47.36</w:t>
      </w:r>
      <w:r>
        <w:rPr>
          <w:rFonts w:ascii="Times New Roman" w:hAnsi="Times New Roman" w:eastAsia="仿宋_GB2312" w:cs="Times New Roman"/>
          <w:sz w:val="32"/>
          <w:szCs w:val="32"/>
        </w:rPr>
        <w:t>万元，包括本级支出，主要为</w:t>
      </w:r>
      <w:r>
        <w:rPr>
          <w:rFonts w:hint="eastAsia" w:ascii="Times New Roman" w:hAnsi="Times New Roman" w:eastAsia="仿宋_GB2312" w:cs="Times New Roman"/>
          <w:sz w:val="32"/>
          <w:szCs w:val="32"/>
        </w:rPr>
        <w:t>市直机关事业单位中文域名注册管理费</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机构编制工作经费</w:t>
      </w:r>
      <w:r>
        <w:rPr>
          <w:rFonts w:hint="eastAsia" w:ascii="Times New Roman" w:hAnsi="Times New Roman" w:eastAsia="仿宋_GB2312" w:cs="Times New Roman"/>
          <w:sz w:val="32"/>
          <w:szCs w:val="32"/>
          <w:lang w:eastAsia="zh-CN"/>
        </w:rPr>
        <w:t>。</w:t>
      </w:r>
    </w:p>
    <w:p>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bookmarkStart w:id="3" w:name="_GoBack"/>
      <w:bookmarkEnd w:id="3"/>
    </w:p>
    <w:p>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2年预算收支安排</w:t>
      </w:r>
      <w:r>
        <w:rPr>
          <w:rFonts w:hint="eastAsia" w:ascii="Times New Roman" w:hAnsi="Times New Roman" w:eastAsia="仿宋_GB2312" w:cs="Times New Roman"/>
          <w:sz w:val="32"/>
          <w:szCs w:val="32"/>
          <w:lang w:val="en-US" w:eastAsia="zh-CN"/>
        </w:rPr>
        <w:t>699.02</w:t>
      </w:r>
      <w:r>
        <w:rPr>
          <w:rFonts w:ascii="Times New Roman" w:hAnsi="Times New Roman" w:eastAsia="仿宋_GB2312" w:cs="Times New Roman"/>
          <w:sz w:val="32"/>
          <w:szCs w:val="32"/>
        </w:rPr>
        <w:t>万元，较20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1年预算增加</w:t>
      </w:r>
      <w:r>
        <w:rPr>
          <w:rFonts w:hint="eastAsia" w:ascii="Times New Roman" w:hAnsi="Times New Roman" w:eastAsia="仿宋_GB2312" w:cs="Times New Roman"/>
          <w:sz w:val="32"/>
          <w:szCs w:val="32"/>
          <w:lang w:val="en-US" w:eastAsia="zh-CN"/>
        </w:rPr>
        <w:t>55.1</w:t>
      </w:r>
      <w:r>
        <w:rPr>
          <w:rFonts w:ascii="Times New Roman" w:hAnsi="Times New Roman" w:eastAsia="仿宋_GB2312" w:cs="Times New Roman"/>
          <w:sz w:val="32"/>
          <w:szCs w:val="32"/>
        </w:rPr>
        <w:t>万元，其中：基本支出增加</w:t>
      </w:r>
      <w:r>
        <w:rPr>
          <w:rFonts w:hint="eastAsia" w:ascii="Times New Roman" w:hAnsi="Times New Roman" w:eastAsia="仿宋_GB2312" w:cs="Times New Roman"/>
          <w:sz w:val="32"/>
          <w:szCs w:val="32"/>
          <w:lang w:val="en-US" w:eastAsia="zh-CN"/>
        </w:rPr>
        <w:t>60.71</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人员经费</w:t>
      </w:r>
      <w:r>
        <w:rPr>
          <w:rFonts w:ascii="Times New Roman" w:hAnsi="Times New Roman" w:eastAsia="仿宋_GB2312" w:cs="Times New Roman"/>
          <w:sz w:val="32"/>
          <w:szCs w:val="32"/>
        </w:rPr>
        <w:t>支出</w:t>
      </w:r>
      <w:r>
        <w:rPr>
          <w:rFonts w:hint="eastAsia" w:ascii="Times New Roman" w:hAnsi="Times New Roman" w:eastAsia="仿宋_GB2312" w:cs="Times New Roman"/>
          <w:sz w:val="32"/>
          <w:szCs w:val="32"/>
        </w:rPr>
        <w:t>增加</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eastAsia="zh-CN"/>
        </w:rPr>
        <w:t>减少</w:t>
      </w:r>
      <w:r>
        <w:rPr>
          <w:rFonts w:hint="eastAsia" w:ascii="Times New Roman" w:hAnsi="Times New Roman" w:eastAsia="仿宋_GB2312" w:cs="Times New Roman"/>
          <w:sz w:val="32"/>
          <w:szCs w:val="32"/>
          <w:lang w:val="en-US" w:eastAsia="zh-CN"/>
        </w:rPr>
        <w:t>5.61</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我</w:t>
      </w:r>
      <w:r>
        <w:rPr>
          <w:rFonts w:hint="eastAsia" w:ascii="Times New Roman" w:hAnsi="Times New Roman" w:eastAsia="仿宋_GB2312" w:cs="Times New Roman"/>
          <w:sz w:val="32"/>
          <w:szCs w:val="32"/>
          <w:lang w:eastAsia="zh-CN"/>
        </w:rPr>
        <w:t>单位</w:t>
      </w:r>
      <w:r>
        <w:rPr>
          <w:rFonts w:hint="eastAsia" w:ascii="Times New Roman" w:hAnsi="Times New Roman" w:eastAsia="仿宋_GB2312" w:cs="Times New Roman"/>
          <w:sz w:val="32"/>
          <w:szCs w:val="32"/>
        </w:rPr>
        <w:t>切实落实勤俭节约各项规定，严格控制项目经费的支出</w:t>
      </w:r>
      <w:r>
        <w:rPr>
          <w:rFonts w:ascii="Times New Roman" w:hAnsi="Times New Roman" w:eastAsia="仿宋_GB2312" w:cs="Times New Roman"/>
          <w:sz w:val="32"/>
          <w:szCs w:val="32"/>
        </w:rPr>
        <w:t>。</w:t>
      </w:r>
    </w:p>
    <w:p>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三、机关运行经费安排情况</w:t>
      </w:r>
    </w:p>
    <w:p>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2年，我局机关运行经费共计安排</w:t>
      </w:r>
      <w:r>
        <w:rPr>
          <w:rFonts w:hint="eastAsia" w:ascii="Times New Roman" w:hAnsi="Times New Roman" w:eastAsia="仿宋_GB2312" w:cs="Times New Roman"/>
          <w:sz w:val="32"/>
          <w:szCs w:val="32"/>
          <w:lang w:val="en-US" w:eastAsia="zh-CN"/>
        </w:rPr>
        <w:t>77.38</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rPr>
        <w:t>我</w:t>
      </w:r>
      <w:r>
        <w:rPr>
          <w:rFonts w:hint="eastAsia" w:ascii="Times New Roman" w:hAnsi="Times New Roman" w:eastAsia="仿宋_GB2312" w:cs="Times New Roman"/>
          <w:sz w:val="32"/>
          <w:szCs w:val="32"/>
          <w:lang w:eastAsia="zh-CN"/>
        </w:rPr>
        <w:t>单位</w:t>
      </w:r>
      <w:r>
        <w:rPr>
          <w:rFonts w:hint="eastAsia" w:ascii="Times New Roman" w:hAnsi="Times New Roman" w:eastAsia="仿宋_GB2312" w:cs="Times New Roman"/>
          <w:sz w:val="32"/>
          <w:szCs w:val="32"/>
        </w:rPr>
        <w:t>的办公及印刷费、邮电费、差旅费、会议费、福利费、</w:t>
      </w:r>
      <w:r>
        <w:rPr>
          <w:rFonts w:ascii="Times New Roman" w:hAnsi="Times New Roman" w:eastAsia="仿宋_GB2312" w:cs="Times New Roman"/>
          <w:sz w:val="32"/>
          <w:szCs w:val="32"/>
        </w:rPr>
        <w:t>日常维修</w:t>
      </w:r>
      <w:r>
        <w:rPr>
          <w:rFonts w:hint="eastAsia" w:ascii="Times New Roman" w:hAnsi="Times New Roman" w:eastAsia="仿宋_GB2312" w:cs="Times New Roman"/>
          <w:sz w:val="32"/>
          <w:szCs w:val="32"/>
        </w:rPr>
        <w:t>费</w:t>
      </w:r>
      <w:r>
        <w:rPr>
          <w:rFonts w:ascii="Times New Roman" w:hAnsi="Times New Roman" w:eastAsia="仿宋_GB2312" w:cs="Times New Roman"/>
          <w:sz w:val="32"/>
          <w:szCs w:val="32"/>
        </w:rPr>
        <w:t>、办公用房水电费、办公用房物业管理费等日常运行支出。</w:t>
      </w:r>
    </w:p>
    <w:p>
      <w:pPr>
        <w:autoSpaceDE w:val="0"/>
        <w:autoSpaceDN w:val="0"/>
        <w:adjustRightInd w:val="0"/>
        <w:spacing w:line="584" w:lineRule="exact"/>
        <w:ind w:firstLine="630" w:firstLineChars="196"/>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2年，我局财政拨款“三公”经费预算安排</w:t>
      </w:r>
      <w:r>
        <w:rPr>
          <w:rFonts w:hint="eastAsia" w:ascii="Times New Roman" w:hAnsi="Times New Roman" w:eastAsia="仿宋_GB2312" w:cs="Times New Roman"/>
          <w:sz w:val="32"/>
          <w:szCs w:val="32"/>
          <w:lang w:val="en-US" w:eastAsia="zh-CN"/>
        </w:rPr>
        <w:t>5.25</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lang w:val="en-US" w:eastAsia="zh-CN"/>
        </w:rPr>
        <w:t>4.8</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lang w:val="en-US" w:eastAsia="zh-CN"/>
        </w:rPr>
        <w:t>4.8</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lang w:val="en-US" w:eastAsia="zh-CN"/>
        </w:rPr>
        <w:t>0.45</w:t>
      </w:r>
      <w:r>
        <w:rPr>
          <w:rFonts w:ascii="Times New Roman" w:hAnsi="Times New Roman" w:eastAsia="仿宋_GB2312" w:cs="Times New Roman"/>
          <w:sz w:val="32"/>
          <w:szCs w:val="32"/>
        </w:rPr>
        <w:t>万元。与20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1年</w:t>
      </w:r>
      <w:r>
        <w:rPr>
          <w:rFonts w:hint="eastAsia" w:ascii="Times New Roman" w:hAnsi="Times New Roman" w:eastAsia="仿宋_GB2312" w:cs="Times New Roman"/>
          <w:sz w:val="32"/>
          <w:szCs w:val="32"/>
        </w:rPr>
        <w:t>相比持平，无增减变化</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其中，</w:t>
      </w:r>
      <w:r>
        <w:rPr>
          <w:rFonts w:ascii="Times New Roman" w:hAnsi="Times New Roman" w:eastAsia="仿宋_GB2312" w:cs="Times New Roman"/>
          <w:sz w:val="32"/>
          <w:szCs w:val="32"/>
        </w:rPr>
        <w:t>公务用车购置及运维费20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1年</w:t>
      </w:r>
      <w:r>
        <w:rPr>
          <w:rFonts w:hint="eastAsia" w:ascii="Times New Roman" w:hAnsi="Times New Roman" w:eastAsia="仿宋_GB2312" w:cs="Times New Roman"/>
          <w:sz w:val="32"/>
          <w:szCs w:val="32"/>
        </w:rPr>
        <w:t>相比持平，无增减变化</w:t>
      </w:r>
      <w:r>
        <w:rPr>
          <w:rFonts w:ascii="Times New Roman" w:hAnsi="Times New Roman" w:eastAsia="仿宋_GB2312" w:cs="Times New Roman"/>
          <w:sz w:val="32"/>
          <w:szCs w:val="32"/>
        </w:rPr>
        <w:t>（其中：公务用车购置费</w:t>
      </w:r>
      <w:r>
        <w:rPr>
          <w:rFonts w:hint="eastAsia" w:ascii="Times New Roman" w:hAnsi="Times New Roman" w:eastAsia="仿宋_GB2312" w:cs="Times New Roman"/>
          <w:sz w:val="32"/>
          <w:szCs w:val="32"/>
          <w:lang w:eastAsia="zh-CN"/>
        </w:rPr>
        <w:t>与</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1年</w:t>
      </w:r>
      <w:r>
        <w:rPr>
          <w:rFonts w:hint="eastAsia" w:ascii="Times New Roman" w:hAnsi="Times New Roman" w:eastAsia="仿宋_GB2312" w:cs="Times New Roman"/>
          <w:sz w:val="32"/>
          <w:szCs w:val="32"/>
        </w:rPr>
        <w:t>相比持平，无增减变化</w:t>
      </w:r>
      <w:r>
        <w:rPr>
          <w:rFonts w:ascii="Times New Roman" w:hAnsi="Times New Roman" w:eastAsia="仿宋_GB2312" w:cs="Times New Roman"/>
          <w:sz w:val="32"/>
          <w:szCs w:val="32"/>
        </w:rPr>
        <w:t>，公务用车运维费</w:t>
      </w:r>
      <w:r>
        <w:rPr>
          <w:rFonts w:hint="eastAsia" w:ascii="Times New Roman" w:hAnsi="Times New Roman" w:eastAsia="仿宋_GB2312" w:cs="Times New Roman"/>
          <w:sz w:val="32"/>
          <w:szCs w:val="32"/>
          <w:lang w:eastAsia="zh-CN"/>
        </w:rPr>
        <w:t>与</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1年</w:t>
      </w:r>
      <w:r>
        <w:rPr>
          <w:rFonts w:hint="eastAsia" w:ascii="Times New Roman" w:hAnsi="Times New Roman" w:eastAsia="仿宋_GB2312" w:cs="Times New Roman"/>
          <w:sz w:val="32"/>
          <w:szCs w:val="32"/>
        </w:rPr>
        <w:t>相比持平，无增减变化</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我</w:t>
      </w:r>
      <w:r>
        <w:rPr>
          <w:rFonts w:hint="eastAsia" w:ascii="Times New Roman" w:hAnsi="Times New Roman" w:eastAsia="仿宋_GB2312" w:cs="Times New Roman"/>
          <w:sz w:val="32"/>
          <w:szCs w:val="32"/>
          <w:lang w:eastAsia="zh-CN"/>
        </w:rPr>
        <w:t>单位</w:t>
      </w:r>
      <w:r>
        <w:rPr>
          <w:rFonts w:hint="eastAsia" w:ascii="Times New Roman" w:hAnsi="Times New Roman" w:eastAsia="仿宋_GB2312" w:cs="Times New Roman"/>
          <w:sz w:val="32"/>
          <w:szCs w:val="32"/>
        </w:rPr>
        <w:t>切实落实勤俭节约各项规定，严格控制公车运行经费支出</w:t>
      </w:r>
      <w:r>
        <w:rPr>
          <w:rFonts w:ascii="Times New Roman" w:hAnsi="Times New Roman" w:eastAsia="仿宋_GB2312" w:cs="Times New Roman"/>
          <w:sz w:val="32"/>
          <w:szCs w:val="32"/>
        </w:rPr>
        <w:t>；公务接待费</w:t>
      </w:r>
      <w:r>
        <w:rPr>
          <w:rFonts w:hint="eastAsia" w:ascii="Times New Roman" w:hAnsi="Times New Roman" w:eastAsia="仿宋_GB2312" w:cs="Times New Roman"/>
          <w:sz w:val="32"/>
          <w:szCs w:val="32"/>
          <w:lang w:eastAsia="zh-CN"/>
        </w:rPr>
        <w:t>与</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1年</w:t>
      </w:r>
      <w:r>
        <w:rPr>
          <w:rFonts w:hint="eastAsia" w:ascii="Times New Roman" w:hAnsi="Times New Roman" w:eastAsia="仿宋_GB2312" w:cs="Times New Roman"/>
          <w:sz w:val="32"/>
          <w:szCs w:val="32"/>
        </w:rPr>
        <w:t>相比持平，无增减变化，</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我</w:t>
      </w:r>
      <w:r>
        <w:rPr>
          <w:rFonts w:hint="eastAsia" w:ascii="Times New Roman" w:hAnsi="Times New Roman" w:eastAsia="仿宋_GB2312" w:cs="Times New Roman"/>
          <w:sz w:val="32"/>
          <w:szCs w:val="32"/>
          <w:lang w:eastAsia="zh-CN"/>
        </w:rPr>
        <w:t>单位</w:t>
      </w:r>
      <w:r>
        <w:rPr>
          <w:rFonts w:hint="eastAsia" w:ascii="Times New Roman" w:hAnsi="Times New Roman" w:eastAsia="仿宋_GB2312" w:cs="Times New Roman"/>
          <w:sz w:val="32"/>
          <w:szCs w:val="32"/>
        </w:rPr>
        <w:t>切实落实勤俭节约各项规定，严格控制公务接待费支出。</w:t>
      </w:r>
    </w:p>
    <w:p>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五、预算</w:t>
      </w:r>
      <w:r>
        <w:rPr>
          <w:rFonts w:hint="eastAsia" w:ascii="Times New Roman" w:hAnsi="Times New Roman" w:eastAsia="黑体" w:cs="Times New Roman"/>
          <w:sz w:val="32"/>
          <w:szCs w:val="32"/>
          <w:lang w:eastAsia="zh-CN"/>
        </w:rPr>
        <w:t>绩效</w:t>
      </w:r>
      <w:r>
        <w:rPr>
          <w:rFonts w:ascii="Times New Roman" w:hAnsi="Times New Roman" w:eastAsia="黑体" w:cs="Times New Roman"/>
          <w:sz w:val="32"/>
          <w:szCs w:val="32"/>
        </w:rPr>
        <w:t>信息</w:t>
      </w:r>
    </w:p>
    <w:p>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 xml:space="preserve">第一部分 </w:t>
      </w:r>
      <w:r>
        <w:rPr>
          <w:rFonts w:hint="eastAsia" w:ascii="Times New Roman" w:hAnsi="Times New Roman" w:eastAsia="黑体" w:cs="Times New Roman"/>
          <w:sz w:val="32"/>
          <w:szCs w:val="32"/>
          <w:lang w:eastAsia="zh-CN"/>
        </w:rPr>
        <w:t>单位</w:t>
      </w:r>
      <w:r>
        <w:rPr>
          <w:rFonts w:hint="eastAsia" w:ascii="Times New Roman" w:hAnsi="Times New Roman" w:eastAsia="黑体" w:cs="Times New Roman"/>
          <w:sz w:val="32"/>
          <w:szCs w:val="32"/>
        </w:rPr>
        <w:t>整体绩效目标</w:t>
      </w:r>
    </w:p>
    <w:p>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w:t>
      </w:r>
      <w:r>
        <w:rPr>
          <w:rFonts w:hint="eastAsia" w:ascii="楷体_GB2312" w:eastAsia="楷体_GB2312" w:cs="Times New Roman"/>
          <w:b/>
          <w:sz w:val="32"/>
          <w:szCs w:val="32"/>
          <w:lang w:eastAsia="zh-CN"/>
        </w:rPr>
        <w:t>、</w:t>
      </w:r>
      <w:r>
        <w:rPr>
          <w:rFonts w:hint="eastAsia" w:ascii="楷体_GB2312" w:eastAsia="楷体_GB2312" w:cs="Times New Roman"/>
          <w:b/>
          <w:sz w:val="32"/>
          <w:szCs w:val="32"/>
        </w:rPr>
        <w:t>总体绩效目标</w:t>
      </w:r>
    </w:p>
    <w:p>
      <w:pPr>
        <w:overflowPunct w:val="0"/>
        <w:adjustRightInd w:val="0"/>
        <w:snapToGrid w:val="0"/>
        <w:spacing w:line="584" w:lineRule="exact"/>
        <w:ind w:firstLine="640" w:firstLineChars="200"/>
        <w:rPr>
          <w:rFonts w:eastAsia="仿宋_GB2312"/>
          <w:color w:val="000000" w:themeColor="text1"/>
          <w:kern w:val="32"/>
          <w:sz w:val="32"/>
          <w:szCs w:val="32"/>
        </w:rPr>
      </w:pPr>
      <w:r>
        <w:rPr>
          <w:rFonts w:eastAsia="仿宋_GB2312"/>
          <w:color w:val="000000" w:themeColor="text1"/>
          <w:kern w:val="32"/>
          <w:sz w:val="32"/>
          <w:szCs w:val="32"/>
        </w:rPr>
        <w:t>坚持以习近平新时代中国特色社会主义思想为指导，深入贯彻党的十九大精神和十九届</w:t>
      </w:r>
      <w:r>
        <w:rPr>
          <w:rFonts w:hint="eastAsia" w:eastAsia="仿宋_GB2312"/>
          <w:color w:val="000000" w:themeColor="text1"/>
          <w:kern w:val="32"/>
          <w:sz w:val="32"/>
          <w:szCs w:val="32"/>
          <w:lang w:eastAsia="zh-CN"/>
        </w:rPr>
        <w:t>六中</w:t>
      </w:r>
      <w:r>
        <w:rPr>
          <w:rFonts w:eastAsia="仿宋_GB2312"/>
          <w:color w:val="000000" w:themeColor="text1"/>
          <w:kern w:val="32"/>
          <w:sz w:val="32"/>
          <w:szCs w:val="32"/>
        </w:rPr>
        <w:t>全会精神，认真落实中央和省、市委决策部署，以加强党的全面领导为统领，以贯彻落实《中国共产党机构编制工作条例》、《中共河北省委机构编制管理规定》为着力点，</w:t>
      </w:r>
      <w:r>
        <w:rPr>
          <w:rFonts w:hint="eastAsia" w:eastAsia="仿宋_GB2312"/>
          <w:color w:val="000000" w:themeColor="text1"/>
          <w:kern w:val="32"/>
          <w:sz w:val="32"/>
          <w:szCs w:val="32"/>
        </w:rPr>
        <w:t>积极推动实现各类机构职能优化协同高效，扎实推进</w:t>
      </w:r>
      <w:r>
        <w:rPr>
          <w:rFonts w:hint="eastAsia" w:eastAsia="仿宋_GB2312"/>
          <w:color w:val="000000" w:themeColor="text1"/>
          <w:kern w:val="32"/>
          <w:sz w:val="32"/>
          <w:szCs w:val="32"/>
          <w:lang w:eastAsia="zh-CN"/>
        </w:rPr>
        <w:t>开发区、应急管理综合执法、事业单位等</w:t>
      </w:r>
      <w:r>
        <w:rPr>
          <w:rFonts w:hint="eastAsia" w:eastAsia="仿宋_GB2312"/>
          <w:color w:val="000000" w:themeColor="text1"/>
          <w:kern w:val="32"/>
          <w:sz w:val="32"/>
          <w:szCs w:val="32"/>
          <w:lang w:val="en-US" w:eastAsia="zh-CN"/>
        </w:rPr>
        <w:t>3大</w:t>
      </w:r>
      <w:r>
        <w:rPr>
          <w:rFonts w:hint="eastAsia" w:eastAsia="仿宋_GB2312"/>
          <w:color w:val="000000" w:themeColor="text1"/>
          <w:kern w:val="32"/>
          <w:sz w:val="32"/>
          <w:szCs w:val="32"/>
        </w:rPr>
        <w:t>重点领域体制机制改革创新，</w:t>
      </w:r>
      <w:r>
        <w:rPr>
          <w:rFonts w:hint="eastAsia" w:eastAsia="仿宋_GB2312"/>
          <w:color w:val="000000" w:themeColor="text1"/>
          <w:kern w:val="32"/>
          <w:sz w:val="32"/>
          <w:szCs w:val="32"/>
          <w:lang w:eastAsia="zh-CN"/>
        </w:rPr>
        <w:t>切实抓好市直</w:t>
      </w:r>
      <w:r>
        <w:rPr>
          <w:rFonts w:hint="eastAsia" w:ascii="仿宋_GB2312" w:hAnsi="仿宋_GB2312" w:eastAsia="仿宋_GB2312" w:cs="仿宋_GB2312"/>
          <w:sz w:val="32"/>
          <w:szCs w:val="32"/>
          <w:lang w:val="en-US" w:eastAsia="zh-CN"/>
        </w:rPr>
        <w:t>568家机关事业单位中文域名续费管理工作</w:t>
      </w:r>
      <w:r>
        <w:rPr>
          <w:rFonts w:hint="eastAsia" w:eastAsia="仿宋_GB2312"/>
          <w:color w:val="000000" w:themeColor="text1"/>
          <w:kern w:val="32"/>
          <w:sz w:val="32"/>
          <w:szCs w:val="32"/>
          <w:lang w:eastAsia="zh-CN"/>
        </w:rPr>
        <w:t>，</w:t>
      </w:r>
      <w:r>
        <w:rPr>
          <w:rFonts w:hint="eastAsia" w:eastAsia="仿宋_GB2312"/>
          <w:color w:val="000000" w:themeColor="text1"/>
          <w:kern w:val="32"/>
          <w:sz w:val="32"/>
          <w:szCs w:val="32"/>
        </w:rPr>
        <w:t>着力促进公益服务事业平衡充分发展，全面提升机构编制管理科学化</w:t>
      </w:r>
      <w:r>
        <w:rPr>
          <w:rFonts w:hint="eastAsia" w:eastAsia="仿宋_GB2312"/>
          <w:color w:val="000000" w:themeColor="text1"/>
          <w:kern w:val="32"/>
          <w:sz w:val="32"/>
          <w:szCs w:val="32"/>
          <w:lang w:eastAsia="zh-CN"/>
        </w:rPr>
        <w:t>，</w:t>
      </w:r>
      <w:r>
        <w:rPr>
          <w:rFonts w:hint="eastAsia" w:eastAsia="仿宋_GB2312"/>
          <w:color w:val="000000" w:themeColor="text1"/>
          <w:kern w:val="32"/>
          <w:sz w:val="32"/>
          <w:szCs w:val="32"/>
        </w:rPr>
        <w:t>规范化</w:t>
      </w:r>
      <w:r>
        <w:rPr>
          <w:rFonts w:hint="eastAsia" w:eastAsia="仿宋_GB2312"/>
          <w:color w:val="000000" w:themeColor="text1"/>
          <w:kern w:val="32"/>
          <w:sz w:val="32"/>
          <w:szCs w:val="32"/>
          <w:lang w:eastAsia="zh-CN"/>
        </w:rPr>
        <w:t>，</w:t>
      </w:r>
      <w:r>
        <w:rPr>
          <w:rFonts w:hint="eastAsia" w:eastAsia="仿宋_GB2312"/>
          <w:color w:val="000000" w:themeColor="text1"/>
          <w:kern w:val="32"/>
          <w:sz w:val="32"/>
          <w:szCs w:val="32"/>
        </w:rPr>
        <w:t>法定化水平</w:t>
      </w:r>
      <w:r>
        <w:rPr>
          <w:rFonts w:hint="eastAsia" w:eastAsia="仿宋_GB2312"/>
          <w:color w:val="000000" w:themeColor="text1"/>
          <w:kern w:val="32"/>
          <w:sz w:val="32"/>
          <w:szCs w:val="32"/>
          <w:lang w:eastAsia="zh-CN"/>
        </w:rPr>
        <w:t>，</w:t>
      </w:r>
      <w:r>
        <w:rPr>
          <w:rFonts w:eastAsia="仿宋_GB2312"/>
          <w:color w:val="000000" w:themeColor="text1"/>
          <w:kern w:val="32"/>
          <w:sz w:val="32"/>
          <w:szCs w:val="32"/>
        </w:rPr>
        <w:t>为全市经济社会发展提供可靠体制机制保障。</w:t>
      </w:r>
    </w:p>
    <w:p>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二</w:t>
      </w:r>
      <w:r>
        <w:rPr>
          <w:rFonts w:hint="eastAsia" w:ascii="楷体_GB2312" w:eastAsia="楷体_GB2312" w:cs="Times New Roman"/>
          <w:b/>
          <w:sz w:val="32"/>
          <w:szCs w:val="32"/>
          <w:lang w:eastAsia="zh-CN"/>
        </w:rPr>
        <w:t>、</w:t>
      </w:r>
      <w:r>
        <w:rPr>
          <w:rFonts w:hint="eastAsia" w:ascii="楷体_GB2312" w:eastAsia="楷体_GB2312" w:cs="Times New Roman"/>
          <w:b/>
          <w:sz w:val="32"/>
          <w:szCs w:val="32"/>
        </w:rPr>
        <w:t>分项绩效目标</w:t>
      </w:r>
    </w:p>
    <w:p>
      <w:pPr>
        <w:overflowPunct w:val="0"/>
        <w:adjustRightInd w:val="0"/>
        <w:snapToGrid w:val="0"/>
        <w:spacing w:line="584" w:lineRule="exact"/>
        <w:ind w:firstLine="643" w:firstLineChars="200"/>
        <w:rPr>
          <w:rFonts w:eastAsia="楷体_GB2312"/>
          <w:color w:val="000000" w:themeColor="text1"/>
          <w:kern w:val="32"/>
          <w:sz w:val="32"/>
          <w:szCs w:val="32"/>
        </w:rPr>
      </w:pPr>
      <w:r>
        <w:rPr>
          <w:rFonts w:eastAsia="楷体_GB2312"/>
          <w:b/>
          <w:color w:val="000000" w:themeColor="text1"/>
          <w:kern w:val="32"/>
          <w:sz w:val="32"/>
          <w:szCs w:val="32"/>
        </w:rPr>
        <w:t>（一）</w:t>
      </w:r>
      <w:r>
        <w:rPr>
          <w:rFonts w:hint="eastAsia" w:eastAsia="楷体_GB2312"/>
          <w:b/>
          <w:color w:val="000000" w:themeColor="text1"/>
          <w:kern w:val="32"/>
          <w:sz w:val="32"/>
          <w:szCs w:val="32"/>
        </w:rPr>
        <w:t>推动各类机构职能优化协同高效</w:t>
      </w:r>
    </w:p>
    <w:p>
      <w:pPr>
        <w:overflowPunct w:val="0"/>
        <w:adjustRightInd w:val="0"/>
        <w:snapToGrid w:val="0"/>
        <w:spacing w:line="584" w:lineRule="exact"/>
        <w:ind w:firstLine="643" w:firstLineChars="200"/>
        <w:rPr>
          <w:rFonts w:hint="default" w:ascii="Times New Roman" w:hAnsi="Times New Roman" w:eastAsia="仿宋_GB2312" w:cs="Times New Roman"/>
          <w:b w:val="0"/>
          <w:bCs w:val="0"/>
          <w:color w:val="000000" w:themeColor="text1"/>
          <w:sz w:val="32"/>
          <w:szCs w:val="32"/>
          <w:lang w:val="en-US" w:eastAsia="zh-CN"/>
        </w:rPr>
      </w:pPr>
      <w:r>
        <w:rPr>
          <w:rFonts w:eastAsia="仿宋_GB2312"/>
          <w:b/>
          <w:color w:val="000000" w:themeColor="text1"/>
          <w:kern w:val="32"/>
          <w:sz w:val="32"/>
          <w:szCs w:val="32"/>
        </w:rPr>
        <w:t>绩效目标：</w:t>
      </w:r>
      <w:r>
        <w:rPr>
          <w:rFonts w:eastAsia="仿宋_GB2312"/>
          <w:color w:val="000000" w:themeColor="text1"/>
          <w:kern w:val="32"/>
          <w:sz w:val="32"/>
          <w:szCs w:val="32"/>
        </w:rPr>
        <w:t>按照中央</w:t>
      </w:r>
      <w:r>
        <w:rPr>
          <w:rFonts w:hint="eastAsia" w:eastAsia="仿宋_GB2312"/>
          <w:color w:val="000000" w:themeColor="text1"/>
          <w:kern w:val="32"/>
          <w:sz w:val="32"/>
          <w:szCs w:val="32"/>
          <w:lang w:eastAsia="zh-CN"/>
        </w:rPr>
        <w:t>和</w:t>
      </w:r>
      <w:r>
        <w:rPr>
          <w:rFonts w:eastAsia="仿宋_GB2312"/>
          <w:color w:val="000000" w:themeColor="text1"/>
          <w:kern w:val="32"/>
          <w:sz w:val="32"/>
          <w:szCs w:val="32"/>
        </w:rPr>
        <w:t>省、市</w:t>
      </w:r>
      <w:r>
        <w:rPr>
          <w:rFonts w:hint="eastAsia" w:eastAsia="仿宋_GB2312"/>
          <w:color w:val="000000" w:themeColor="text1"/>
          <w:kern w:val="32"/>
          <w:sz w:val="32"/>
          <w:szCs w:val="32"/>
          <w:lang w:eastAsia="zh-CN"/>
        </w:rPr>
        <w:t>委</w:t>
      </w:r>
      <w:r>
        <w:rPr>
          <w:rFonts w:eastAsia="仿宋_GB2312"/>
          <w:color w:val="000000" w:themeColor="text1"/>
          <w:kern w:val="32"/>
          <w:sz w:val="32"/>
          <w:szCs w:val="32"/>
        </w:rPr>
        <w:t>要求，通过调研</w:t>
      </w:r>
      <w:r>
        <w:rPr>
          <w:rFonts w:hint="eastAsia" w:eastAsia="仿宋_GB2312"/>
          <w:color w:val="000000" w:themeColor="text1"/>
          <w:kern w:val="32"/>
          <w:sz w:val="32"/>
          <w:szCs w:val="32"/>
          <w:lang w:eastAsia="zh-CN"/>
        </w:rPr>
        <w:t>座谈、实地</w:t>
      </w:r>
      <w:r>
        <w:rPr>
          <w:rFonts w:eastAsia="仿宋_GB2312"/>
          <w:color w:val="000000" w:themeColor="text1"/>
          <w:kern w:val="32"/>
          <w:sz w:val="32"/>
          <w:szCs w:val="32"/>
        </w:rPr>
        <w:t>督导、</w:t>
      </w:r>
      <w:r>
        <w:rPr>
          <w:rFonts w:hint="eastAsia" w:eastAsia="仿宋_GB2312"/>
          <w:color w:val="000000" w:themeColor="text1"/>
          <w:kern w:val="32"/>
          <w:sz w:val="32"/>
          <w:szCs w:val="32"/>
          <w:lang w:eastAsia="zh-CN"/>
        </w:rPr>
        <w:t>业务培训等方式</w:t>
      </w:r>
      <w:r>
        <w:rPr>
          <w:rFonts w:eastAsia="仿宋_GB2312"/>
          <w:color w:val="000000" w:themeColor="text1"/>
          <w:kern w:val="32"/>
          <w:sz w:val="32"/>
          <w:szCs w:val="32"/>
        </w:rPr>
        <w:t>，</w:t>
      </w:r>
      <w:r>
        <w:rPr>
          <w:rFonts w:hint="default" w:ascii="Times New Roman" w:hAnsi="Times New Roman" w:eastAsia="仿宋_GB2312" w:cs="Times New Roman"/>
          <w:b w:val="0"/>
          <w:bCs w:val="0"/>
          <w:color w:val="000000" w:themeColor="text1"/>
          <w:sz w:val="32"/>
          <w:szCs w:val="32"/>
          <w:lang w:val="en-US" w:eastAsia="zh-CN"/>
        </w:rPr>
        <w:t>主动跟踪</w:t>
      </w:r>
      <w:r>
        <w:rPr>
          <w:rFonts w:hint="eastAsia" w:ascii="Times New Roman" w:hAnsi="Times New Roman" w:eastAsia="仿宋_GB2312" w:cs="Times New Roman"/>
          <w:b w:val="0"/>
          <w:bCs w:val="0"/>
          <w:color w:val="000000" w:themeColor="text1"/>
          <w:sz w:val="32"/>
          <w:szCs w:val="32"/>
          <w:lang w:val="en-US" w:eastAsia="zh-CN"/>
        </w:rPr>
        <w:t>了解各类</w:t>
      </w:r>
      <w:r>
        <w:rPr>
          <w:rFonts w:hint="default" w:ascii="Times New Roman" w:hAnsi="Times New Roman" w:eastAsia="仿宋_GB2312" w:cs="Times New Roman"/>
          <w:b w:val="0"/>
          <w:bCs w:val="0"/>
          <w:color w:val="000000" w:themeColor="text1"/>
          <w:sz w:val="32"/>
          <w:szCs w:val="32"/>
          <w:lang w:val="en-US" w:eastAsia="zh-CN"/>
        </w:rPr>
        <w:t>机构职能运行情况</w:t>
      </w:r>
      <w:r>
        <w:rPr>
          <w:rFonts w:hint="eastAsia" w:ascii="Times New Roman" w:hAnsi="Times New Roman" w:eastAsia="仿宋_GB2312" w:cs="Times New Roman"/>
          <w:b w:val="0"/>
          <w:bCs w:val="0"/>
          <w:color w:val="000000" w:themeColor="text1"/>
          <w:sz w:val="32"/>
          <w:szCs w:val="32"/>
          <w:lang w:val="en-US" w:eastAsia="zh-CN"/>
        </w:rPr>
        <w:t>，</w:t>
      </w:r>
      <w:r>
        <w:rPr>
          <w:rFonts w:hint="default" w:ascii="Times New Roman" w:hAnsi="Times New Roman" w:eastAsia="仿宋_GB2312" w:cs="Times New Roman"/>
          <w:b w:val="0"/>
          <w:bCs w:val="0"/>
          <w:color w:val="000000" w:themeColor="text1"/>
          <w:sz w:val="32"/>
          <w:szCs w:val="32"/>
          <w:lang w:val="en-US" w:eastAsia="zh-CN"/>
        </w:rPr>
        <w:t>适时</w:t>
      </w:r>
      <w:r>
        <w:rPr>
          <w:rFonts w:hint="eastAsia" w:ascii="Times New Roman" w:hAnsi="Times New Roman" w:eastAsia="仿宋_GB2312" w:cs="Times New Roman"/>
          <w:b w:val="0"/>
          <w:bCs w:val="0"/>
          <w:color w:val="000000" w:themeColor="text1"/>
          <w:sz w:val="32"/>
          <w:szCs w:val="32"/>
          <w:lang w:val="en-US" w:eastAsia="zh-CN"/>
        </w:rPr>
        <w:t>进行</w:t>
      </w:r>
      <w:r>
        <w:rPr>
          <w:rFonts w:hint="default" w:ascii="Times New Roman" w:hAnsi="Times New Roman" w:eastAsia="仿宋_GB2312" w:cs="Times New Roman"/>
          <w:b w:val="0"/>
          <w:bCs w:val="0"/>
          <w:color w:val="000000" w:themeColor="text1"/>
          <w:sz w:val="32"/>
          <w:szCs w:val="32"/>
          <w:lang w:val="en-US" w:eastAsia="zh-CN"/>
        </w:rPr>
        <w:t>优化调整，健全</w:t>
      </w:r>
      <w:r>
        <w:rPr>
          <w:rFonts w:hint="eastAsia" w:ascii="Times New Roman" w:hAnsi="Times New Roman" w:eastAsia="仿宋_GB2312" w:cs="Times New Roman"/>
          <w:b w:val="0"/>
          <w:bCs w:val="0"/>
          <w:color w:val="000000" w:themeColor="text1"/>
          <w:sz w:val="32"/>
          <w:szCs w:val="32"/>
          <w:lang w:val="en-US" w:eastAsia="zh-CN"/>
        </w:rPr>
        <w:t>单位</w:t>
      </w:r>
      <w:r>
        <w:rPr>
          <w:rFonts w:hint="default" w:ascii="Times New Roman" w:hAnsi="Times New Roman" w:eastAsia="仿宋_GB2312" w:cs="Times New Roman"/>
          <w:b w:val="0"/>
          <w:bCs w:val="0"/>
          <w:color w:val="000000" w:themeColor="text1"/>
          <w:sz w:val="32"/>
          <w:szCs w:val="32"/>
          <w:lang w:val="en-US" w:eastAsia="zh-CN"/>
        </w:rPr>
        <w:t>协调配合机制，着力实现机构改革“化学反应”，推动各</w:t>
      </w:r>
      <w:r>
        <w:rPr>
          <w:rFonts w:hint="eastAsia" w:ascii="Times New Roman" w:hAnsi="Times New Roman" w:eastAsia="仿宋_GB2312" w:cs="Times New Roman"/>
          <w:b w:val="0"/>
          <w:bCs w:val="0"/>
          <w:color w:val="000000" w:themeColor="text1"/>
          <w:sz w:val="32"/>
          <w:szCs w:val="32"/>
          <w:lang w:val="en-US" w:eastAsia="zh-CN"/>
        </w:rPr>
        <w:t>单位</w:t>
      </w:r>
      <w:r>
        <w:rPr>
          <w:rFonts w:hint="default" w:ascii="Times New Roman" w:hAnsi="Times New Roman" w:eastAsia="仿宋_GB2312" w:cs="Times New Roman"/>
          <w:b w:val="0"/>
          <w:bCs w:val="0"/>
          <w:color w:val="000000" w:themeColor="text1"/>
          <w:sz w:val="32"/>
          <w:szCs w:val="32"/>
          <w:lang w:val="en-US" w:eastAsia="zh-CN"/>
        </w:rPr>
        <w:t>更好聚焦主责主业、发挥职能作用</w:t>
      </w:r>
      <w:r>
        <w:rPr>
          <w:rFonts w:hint="eastAsia" w:eastAsia="仿宋_GB2312" w:cs="Times New Roman"/>
          <w:b w:val="0"/>
          <w:bCs w:val="0"/>
          <w:color w:val="000000" w:themeColor="text1"/>
          <w:sz w:val="32"/>
          <w:szCs w:val="32"/>
          <w:lang w:val="en-US" w:eastAsia="zh-CN"/>
        </w:rPr>
        <w:t>。继续抓好通过调研发现涉及20家市直单位存在的体制机制问题整改落实。</w:t>
      </w:r>
    </w:p>
    <w:p>
      <w:pPr>
        <w:overflowPunct w:val="0"/>
        <w:adjustRightInd w:val="0"/>
        <w:snapToGrid w:val="0"/>
        <w:spacing w:line="584" w:lineRule="exact"/>
        <w:ind w:firstLine="643" w:firstLineChars="200"/>
        <w:rPr>
          <w:rFonts w:eastAsia="仿宋_GB2312"/>
          <w:color w:val="000000" w:themeColor="text1"/>
          <w:kern w:val="32"/>
          <w:sz w:val="32"/>
          <w:szCs w:val="32"/>
        </w:rPr>
      </w:pPr>
      <w:r>
        <w:rPr>
          <w:rFonts w:eastAsia="仿宋_GB2312"/>
          <w:b/>
          <w:color w:val="000000" w:themeColor="text1"/>
          <w:kern w:val="32"/>
          <w:sz w:val="32"/>
          <w:szCs w:val="32"/>
        </w:rPr>
        <w:t>绩效指标：</w:t>
      </w:r>
      <w:r>
        <w:rPr>
          <w:rFonts w:hint="eastAsia" w:eastAsia="仿宋_GB2312"/>
          <w:color w:val="000000" w:themeColor="text1"/>
          <w:kern w:val="32"/>
          <w:sz w:val="32"/>
          <w:szCs w:val="32"/>
          <w:lang w:eastAsia="zh-CN"/>
        </w:rPr>
        <w:t>按照上级有关政策要求和实际工作需要，</w:t>
      </w:r>
      <w:r>
        <w:rPr>
          <w:rFonts w:hint="eastAsia" w:eastAsia="仿宋_GB2312"/>
          <w:color w:val="000000" w:themeColor="text1"/>
          <w:kern w:val="32"/>
          <w:sz w:val="32"/>
          <w:szCs w:val="32"/>
          <w:lang w:val="en-US" w:eastAsia="zh-CN"/>
        </w:rPr>
        <w:t>100%完成</w:t>
      </w:r>
      <w:r>
        <w:rPr>
          <w:rFonts w:hint="eastAsia" w:eastAsia="仿宋_GB2312"/>
          <w:color w:val="000000" w:themeColor="text1"/>
          <w:kern w:val="32"/>
          <w:sz w:val="32"/>
          <w:szCs w:val="32"/>
          <w:lang w:eastAsia="zh-CN"/>
        </w:rPr>
        <w:t>对部分市直相关单位的主要职责、内设机构设置、人员编制、领导职数等机构编制事项进行优化调整</w:t>
      </w:r>
      <w:r>
        <w:rPr>
          <w:rFonts w:eastAsia="仿宋_GB2312"/>
          <w:color w:val="000000" w:themeColor="text1"/>
          <w:kern w:val="32"/>
          <w:sz w:val="32"/>
          <w:szCs w:val="32"/>
        </w:rPr>
        <w:t>。</w:t>
      </w:r>
    </w:p>
    <w:p>
      <w:pPr>
        <w:overflowPunct w:val="0"/>
        <w:adjustRightInd w:val="0"/>
        <w:snapToGrid w:val="0"/>
        <w:spacing w:line="584" w:lineRule="exact"/>
        <w:ind w:firstLine="643" w:firstLineChars="200"/>
        <w:rPr>
          <w:rFonts w:eastAsia="楷体_GB2312"/>
          <w:b/>
          <w:color w:val="000000" w:themeColor="text1"/>
          <w:kern w:val="32"/>
          <w:sz w:val="32"/>
          <w:szCs w:val="32"/>
        </w:rPr>
      </w:pPr>
      <w:r>
        <w:rPr>
          <w:rFonts w:eastAsia="楷体_GB2312"/>
          <w:b/>
          <w:color w:val="000000" w:themeColor="text1"/>
          <w:kern w:val="32"/>
          <w:sz w:val="32"/>
          <w:szCs w:val="32"/>
        </w:rPr>
        <w:t>（二）</w:t>
      </w:r>
      <w:r>
        <w:rPr>
          <w:rFonts w:hint="eastAsia" w:eastAsia="楷体_GB2312"/>
          <w:b/>
          <w:color w:val="000000" w:themeColor="text1"/>
          <w:kern w:val="32"/>
          <w:sz w:val="32"/>
          <w:szCs w:val="32"/>
        </w:rPr>
        <w:t>推进重点领域体制机制改革创新</w:t>
      </w:r>
    </w:p>
    <w:p>
      <w:pPr>
        <w:overflowPunct w:val="0"/>
        <w:adjustRightInd w:val="0"/>
        <w:snapToGrid w:val="0"/>
        <w:spacing w:line="584" w:lineRule="exact"/>
        <w:ind w:firstLine="643" w:firstLineChars="200"/>
        <w:rPr>
          <w:rFonts w:eastAsia="仿宋_GB2312"/>
          <w:color w:val="000000" w:themeColor="text1"/>
          <w:kern w:val="32"/>
          <w:sz w:val="32"/>
          <w:szCs w:val="32"/>
        </w:rPr>
      </w:pPr>
      <w:r>
        <w:rPr>
          <w:rFonts w:eastAsia="仿宋_GB2312"/>
          <w:b/>
          <w:color w:val="000000" w:themeColor="text1"/>
          <w:kern w:val="32"/>
          <w:sz w:val="32"/>
          <w:szCs w:val="32"/>
        </w:rPr>
        <w:t>绩效目标：</w:t>
      </w:r>
      <w:r>
        <w:rPr>
          <w:rFonts w:eastAsia="仿宋_GB2312"/>
          <w:color w:val="000000" w:themeColor="text1"/>
          <w:kern w:val="32"/>
          <w:sz w:val="32"/>
          <w:szCs w:val="32"/>
        </w:rPr>
        <w:t>按中央</w:t>
      </w:r>
      <w:r>
        <w:rPr>
          <w:rFonts w:hint="eastAsia" w:eastAsia="仿宋_GB2312"/>
          <w:color w:val="000000" w:themeColor="text1"/>
          <w:kern w:val="32"/>
          <w:sz w:val="32"/>
          <w:szCs w:val="32"/>
          <w:lang w:eastAsia="zh-CN"/>
        </w:rPr>
        <w:t>和</w:t>
      </w:r>
      <w:r>
        <w:rPr>
          <w:rFonts w:eastAsia="仿宋_GB2312"/>
          <w:color w:val="000000" w:themeColor="text1"/>
          <w:kern w:val="32"/>
          <w:sz w:val="32"/>
          <w:szCs w:val="32"/>
        </w:rPr>
        <w:t>省</w:t>
      </w:r>
      <w:r>
        <w:rPr>
          <w:rFonts w:hint="eastAsia" w:eastAsia="仿宋_GB2312"/>
          <w:color w:val="000000" w:themeColor="text1"/>
          <w:kern w:val="32"/>
          <w:sz w:val="32"/>
          <w:szCs w:val="32"/>
          <w:lang w:eastAsia="zh-CN"/>
        </w:rPr>
        <w:t>、</w:t>
      </w:r>
      <w:r>
        <w:rPr>
          <w:rFonts w:eastAsia="仿宋_GB2312"/>
          <w:color w:val="000000" w:themeColor="text1"/>
          <w:kern w:val="32"/>
          <w:sz w:val="32"/>
          <w:szCs w:val="32"/>
        </w:rPr>
        <w:t>市</w:t>
      </w:r>
      <w:r>
        <w:rPr>
          <w:rFonts w:hint="eastAsia" w:eastAsia="仿宋_GB2312"/>
          <w:color w:val="000000" w:themeColor="text1"/>
          <w:kern w:val="32"/>
          <w:sz w:val="32"/>
          <w:szCs w:val="32"/>
          <w:lang w:eastAsia="zh-CN"/>
        </w:rPr>
        <w:t>委</w:t>
      </w:r>
      <w:r>
        <w:rPr>
          <w:rFonts w:eastAsia="仿宋_GB2312"/>
          <w:color w:val="000000" w:themeColor="text1"/>
          <w:kern w:val="32"/>
          <w:sz w:val="32"/>
          <w:szCs w:val="32"/>
        </w:rPr>
        <w:t>部署要求，</w:t>
      </w:r>
      <w:r>
        <w:rPr>
          <w:rFonts w:hint="eastAsia" w:eastAsia="仿宋_GB2312"/>
          <w:color w:val="000000" w:themeColor="text1"/>
          <w:kern w:val="32"/>
          <w:sz w:val="32"/>
          <w:szCs w:val="32"/>
        </w:rPr>
        <w:t>主动适应全市经济社会发展面临的新形势</w:t>
      </w:r>
      <w:r>
        <w:rPr>
          <w:rFonts w:hint="eastAsia" w:eastAsia="仿宋_GB2312"/>
          <w:color w:val="000000" w:themeColor="text1"/>
          <w:kern w:val="32"/>
          <w:sz w:val="32"/>
          <w:szCs w:val="32"/>
          <w:lang w:eastAsia="zh-CN"/>
        </w:rPr>
        <w:t>、</w:t>
      </w:r>
      <w:r>
        <w:rPr>
          <w:rFonts w:hint="eastAsia" w:eastAsia="仿宋_GB2312"/>
          <w:color w:val="000000" w:themeColor="text1"/>
          <w:kern w:val="32"/>
          <w:sz w:val="32"/>
          <w:szCs w:val="32"/>
        </w:rPr>
        <w:t>新任务</w:t>
      </w:r>
      <w:r>
        <w:rPr>
          <w:rFonts w:hint="eastAsia" w:eastAsia="仿宋_GB2312"/>
          <w:color w:val="000000" w:themeColor="text1"/>
          <w:kern w:val="32"/>
          <w:sz w:val="32"/>
          <w:szCs w:val="32"/>
          <w:lang w:eastAsia="zh-CN"/>
        </w:rPr>
        <w:t>、</w:t>
      </w:r>
      <w:r>
        <w:rPr>
          <w:rFonts w:hint="eastAsia" w:eastAsia="仿宋_GB2312"/>
          <w:color w:val="000000" w:themeColor="text1"/>
          <w:kern w:val="32"/>
          <w:sz w:val="32"/>
          <w:szCs w:val="32"/>
        </w:rPr>
        <w:t>新要求，配合做好网络信息安全、应急管理、医疗保障、群团机关、涉军维稳等重点领域或行业体制机制改革</w:t>
      </w:r>
      <w:r>
        <w:rPr>
          <w:rFonts w:hint="eastAsia" w:eastAsia="仿宋_GB2312"/>
          <w:color w:val="000000" w:themeColor="text1"/>
          <w:kern w:val="32"/>
          <w:sz w:val="32"/>
          <w:szCs w:val="32"/>
          <w:lang w:eastAsia="zh-CN"/>
        </w:rPr>
        <w:t>创新</w:t>
      </w:r>
      <w:r>
        <w:rPr>
          <w:rFonts w:hint="eastAsia" w:eastAsia="仿宋_GB2312"/>
          <w:color w:val="000000" w:themeColor="text1"/>
          <w:kern w:val="32"/>
          <w:sz w:val="32"/>
          <w:szCs w:val="32"/>
        </w:rPr>
        <w:t>工作。</w:t>
      </w:r>
    </w:p>
    <w:p>
      <w:pPr>
        <w:overflowPunct w:val="0"/>
        <w:adjustRightInd w:val="0"/>
        <w:snapToGrid w:val="0"/>
        <w:spacing w:line="584" w:lineRule="exact"/>
        <w:ind w:firstLine="643" w:firstLineChars="200"/>
        <w:rPr>
          <w:rFonts w:hint="eastAsia" w:ascii="Times New Roman" w:hAnsi="Times New Roman" w:eastAsia="仿宋_GB2312" w:cs="Times New Roman"/>
          <w:color w:val="000000" w:themeColor="text1"/>
          <w:kern w:val="32"/>
          <w:sz w:val="32"/>
          <w:szCs w:val="32"/>
        </w:rPr>
      </w:pPr>
      <w:r>
        <w:rPr>
          <w:rFonts w:eastAsia="仿宋_GB2312"/>
          <w:b/>
          <w:color w:val="000000" w:themeColor="text1"/>
          <w:kern w:val="32"/>
          <w:sz w:val="32"/>
          <w:szCs w:val="32"/>
        </w:rPr>
        <w:t>绩效指标：</w:t>
      </w:r>
      <w:r>
        <w:rPr>
          <w:rFonts w:hint="eastAsia" w:ascii="Times New Roman" w:hAnsi="Times New Roman" w:eastAsia="仿宋_GB2312" w:cs="Times New Roman"/>
          <w:color w:val="000000" w:themeColor="text1"/>
          <w:kern w:val="32"/>
          <w:sz w:val="32"/>
          <w:szCs w:val="32"/>
          <w:lang w:eastAsia="zh-CN"/>
        </w:rPr>
        <w:t>按照</w:t>
      </w:r>
      <w:r>
        <w:rPr>
          <w:rFonts w:hint="eastAsia" w:ascii="Times New Roman" w:hAnsi="Times New Roman" w:eastAsia="仿宋_GB2312" w:cs="Times New Roman"/>
          <w:color w:val="000000" w:themeColor="text1"/>
          <w:kern w:val="32"/>
          <w:sz w:val="32"/>
          <w:szCs w:val="32"/>
        </w:rPr>
        <w:t>上级相关文件规定要求</w:t>
      </w:r>
      <w:r>
        <w:rPr>
          <w:rFonts w:hint="eastAsia" w:ascii="Times New Roman" w:hAnsi="Times New Roman" w:eastAsia="仿宋_GB2312" w:cs="Times New Roman"/>
          <w:color w:val="000000" w:themeColor="text1"/>
          <w:kern w:val="32"/>
          <w:sz w:val="32"/>
          <w:szCs w:val="32"/>
          <w:lang w:eastAsia="zh-CN"/>
        </w:rPr>
        <w:t>，</w:t>
      </w:r>
      <w:r>
        <w:rPr>
          <w:rFonts w:hint="eastAsia" w:eastAsia="仿宋_GB2312" w:cs="Times New Roman"/>
          <w:color w:val="000000" w:themeColor="text1"/>
          <w:kern w:val="32"/>
          <w:sz w:val="32"/>
          <w:szCs w:val="32"/>
          <w:lang w:val="en-US" w:eastAsia="zh-CN"/>
        </w:rPr>
        <w:t>100%</w:t>
      </w:r>
      <w:r>
        <w:rPr>
          <w:rFonts w:hint="eastAsia" w:ascii="Times New Roman" w:hAnsi="Times New Roman" w:eastAsia="仿宋_GB2312" w:cs="Times New Roman"/>
          <w:color w:val="000000" w:themeColor="text1"/>
          <w:kern w:val="32"/>
          <w:sz w:val="32"/>
          <w:szCs w:val="32"/>
          <w:lang w:eastAsia="zh-CN"/>
        </w:rPr>
        <w:t>开展并完成相关体制机制改革创新工作</w:t>
      </w:r>
      <w:r>
        <w:rPr>
          <w:rFonts w:hint="eastAsia" w:ascii="Times New Roman" w:hAnsi="Times New Roman" w:eastAsia="仿宋_GB2312" w:cs="Times New Roman"/>
          <w:color w:val="000000" w:themeColor="text1"/>
          <w:kern w:val="32"/>
          <w:sz w:val="32"/>
          <w:szCs w:val="32"/>
        </w:rPr>
        <w:t>。</w:t>
      </w:r>
    </w:p>
    <w:p>
      <w:pPr>
        <w:overflowPunct w:val="0"/>
        <w:adjustRightInd w:val="0"/>
        <w:snapToGrid w:val="0"/>
        <w:spacing w:line="584" w:lineRule="exact"/>
        <w:ind w:firstLine="643" w:firstLineChars="200"/>
        <w:rPr>
          <w:rFonts w:eastAsia="楷体_GB2312"/>
          <w:b/>
          <w:color w:val="000000" w:themeColor="text1"/>
          <w:kern w:val="32"/>
          <w:sz w:val="32"/>
          <w:szCs w:val="32"/>
        </w:rPr>
      </w:pPr>
      <w:r>
        <w:rPr>
          <w:rFonts w:eastAsia="楷体_GB2312"/>
          <w:b/>
          <w:color w:val="000000" w:themeColor="text1"/>
          <w:kern w:val="32"/>
          <w:sz w:val="32"/>
          <w:szCs w:val="32"/>
        </w:rPr>
        <w:t>（三）</w:t>
      </w:r>
      <w:r>
        <w:rPr>
          <w:rFonts w:hint="eastAsia" w:eastAsia="楷体_GB2312"/>
          <w:b/>
          <w:color w:val="000000" w:themeColor="text1"/>
          <w:kern w:val="32"/>
          <w:sz w:val="32"/>
          <w:szCs w:val="32"/>
        </w:rPr>
        <w:t>促进公益服务事业平衡充分发展</w:t>
      </w:r>
    </w:p>
    <w:p>
      <w:pPr>
        <w:overflowPunct w:val="0"/>
        <w:adjustRightInd w:val="0"/>
        <w:snapToGrid w:val="0"/>
        <w:spacing w:line="584" w:lineRule="exact"/>
        <w:ind w:firstLine="643" w:firstLineChars="200"/>
        <w:rPr>
          <w:rFonts w:eastAsia="仿宋_GB2312"/>
          <w:color w:val="000000" w:themeColor="text1"/>
          <w:kern w:val="32"/>
          <w:sz w:val="32"/>
          <w:szCs w:val="32"/>
        </w:rPr>
      </w:pPr>
      <w:r>
        <w:rPr>
          <w:rFonts w:eastAsia="仿宋_GB2312"/>
          <w:b/>
          <w:color w:val="000000" w:themeColor="text1"/>
          <w:kern w:val="32"/>
          <w:sz w:val="32"/>
          <w:szCs w:val="32"/>
        </w:rPr>
        <w:t>绩效目标：</w:t>
      </w:r>
      <w:r>
        <w:rPr>
          <w:rFonts w:hint="eastAsia" w:eastAsia="仿宋_GB2312"/>
          <w:color w:val="000000" w:themeColor="text1"/>
          <w:kern w:val="32"/>
          <w:sz w:val="32"/>
          <w:szCs w:val="32"/>
        </w:rPr>
        <w:t>从促进经济社会发展的角度出发，着眼于满足人民群众对美好生活的新需要，紧盯市委中心工作，紧盯重大民生工程、民心工程，在教育、文化、卫生健康、生态环保、公正司法等公共服务领域，着力优化机构编制资源配置，科学调整事业单位机构设置，推进基本公共服务均等化、普惠化、便捷化，促进公共资源向农村、基层倾斜，向困难群众倾斜，不断增强人民群众获得感、幸福感、安全感。</w:t>
      </w:r>
    </w:p>
    <w:p>
      <w:pPr>
        <w:overflowPunct w:val="0"/>
        <w:adjustRightInd w:val="0"/>
        <w:snapToGrid w:val="0"/>
        <w:spacing w:line="584" w:lineRule="exact"/>
        <w:ind w:firstLine="643" w:firstLineChars="200"/>
        <w:rPr>
          <w:rFonts w:hint="eastAsia" w:eastAsia="仿宋_GB2312"/>
          <w:color w:val="000000" w:themeColor="text1"/>
          <w:kern w:val="32"/>
          <w:sz w:val="32"/>
          <w:szCs w:val="32"/>
          <w:lang w:eastAsia="zh-CN"/>
        </w:rPr>
      </w:pPr>
      <w:r>
        <w:rPr>
          <w:rFonts w:eastAsia="仿宋_GB2312"/>
          <w:b/>
          <w:color w:val="000000" w:themeColor="text1"/>
          <w:kern w:val="32"/>
          <w:sz w:val="32"/>
          <w:szCs w:val="32"/>
        </w:rPr>
        <w:t>绩效指标：</w:t>
      </w:r>
      <w:r>
        <w:rPr>
          <w:rFonts w:hint="eastAsia" w:eastAsia="仿宋_GB2312"/>
          <w:color w:val="000000" w:themeColor="text1"/>
          <w:kern w:val="32"/>
          <w:sz w:val="32"/>
          <w:szCs w:val="32"/>
        </w:rPr>
        <w:t>着力优化机构编制资源配置，科学调整</w:t>
      </w:r>
      <w:r>
        <w:rPr>
          <w:rFonts w:hint="eastAsia" w:eastAsia="仿宋_GB2312"/>
          <w:color w:val="000000" w:themeColor="text1"/>
          <w:kern w:val="32"/>
          <w:sz w:val="32"/>
          <w:szCs w:val="32"/>
          <w:lang w:eastAsia="zh-CN"/>
        </w:rPr>
        <w:t>部分</w:t>
      </w:r>
      <w:r>
        <w:rPr>
          <w:rFonts w:hint="eastAsia" w:eastAsia="仿宋_GB2312"/>
          <w:color w:val="000000" w:themeColor="text1"/>
          <w:kern w:val="32"/>
          <w:sz w:val="32"/>
          <w:szCs w:val="32"/>
        </w:rPr>
        <w:t>事业单位机构设置</w:t>
      </w:r>
      <w:r>
        <w:rPr>
          <w:rFonts w:hint="eastAsia" w:eastAsia="仿宋_GB2312"/>
          <w:color w:val="000000" w:themeColor="text1"/>
          <w:kern w:val="32"/>
          <w:sz w:val="32"/>
          <w:szCs w:val="32"/>
          <w:lang w:eastAsia="zh-CN"/>
        </w:rPr>
        <w:t>和职能配置</w:t>
      </w:r>
      <w:r>
        <w:rPr>
          <w:rFonts w:hint="eastAsia" w:eastAsia="仿宋_GB2312"/>
          <w:color w:val="000000" w:themeColor="text1"/>
          <w:kern w:val="32"/>
          <w:sz w:val="32"/>
          <w:szCs w:val="32"/>
        </w:rPr>
        <w:t>，推进基本公共服务均等化、普惠化、便捷化</w:t>
      </w:r>
      <w:r>
        <w:rPr>
          <w:rFonts w:hint="eastAsia" w:eastAsia="仿宋_GB2312"/>
          <w:color w:val="000000" w:themeColor="text1"/>
          <w:kern w:val="32"/>
          <w:sz w:val="32"/>
          <w:szCs w:val="32"/>
          <w:lang w:eastAsia="zh-CN"/>
        </w:rPr>
        <w:t>。</w:t>
      </w:r>
      <w:r>
        <w:rPr>
          <w:rFonts w:hint="eastAsia" w:ascii="Times New Roman" w:hAnsi="Times New Roman" w:eastAsia="仿宋_GB2312" w:cs="Times New Roman"/>
          <w:color w:val="000000" w:themeColor="text1"/>
          <w:kern w:val="32"/>
          <w:sz w:val="32"/>
          <w:szCs w:val="32"/>
          <w:lang w:eastAsia="zh-CN"/>
        </w:rPr>
        <w:t>按照</w:t>
      </w:r>
      <w:r>
        <w:rPr>
          <w:rFonts w:hint="eastAsia" w:ascii="Times New Roman" w:hAnsi="Times New Roman" w:eastAsia="仿宋_GB2312" w:cs="Times New Roman"/>
          <w:color w:val="000000" w:themeColor="text1"/>
          <w:kern w:val="32"/>
          <w:sz w:val="32"/>
          <w:szCs w:val="32"/>
        </w:rPr>
        <w:t>上级相关文件规定要求</w:t>
      </w:r>
      <w:r>
        <w:rPr>
          <w:rFonts w:hint="eastAsia" w:ascii="Times New Roman" w:hAnsi="Times New Roman" w:eastAsia="仿宋_GB2312" w:cs="Times New Roman"/>
          <w:color w:val="000000" w:themeColor="text1"/>
          <w:kern w:val="32"/>
          <w:sz w:val="32"/>
          <w:szCs w:val="32"/>
          <w:lang w:eastAsia="zh-CN"/>
        </w:rPr>
        <w:t>，</w:t>
      </w:r>
      <w:r>
        <w:rPr>
          <w:rFonts w:hint="eastAsia" w:eastAsia="仿宋_GB2312" w:cs="Times New Roman"/>
          <w:color w:val="000000" w:themeColor="text1"/>
          <w:kern w:val="32"/>
          <w:sz w:val="32"/>
          <w:szCs w:val="32"/>
          <w:lang w:val="en-US" w:eastAsia="zh-CN"/>
        </w:rPr>
        <w:t>100%完成。</w:t>
      </w:r>
    </w:p>
    <w:p>
      <w:pPr>
        <w:overflowPunct w:val="0"/>
        <w:adjustRightInd w:val="0"/>
        <w:snapToGrid w:val="0"/>
        <w:spacing w:line="584" w:lineRule="exact"/>
        <w:ind w:firstLine="643" w:firstLineChars="200"/>
        <w:rPr>
          <w:rFonts w:eastAsia="楷体_GB2312"/>
          <w:b/>
          <w:color w:val="000000" w:themeColor="text1"/>
          <w:kern w:val="32"/>
          <w:sz w:val="32"/>
          <w:szCs w:val="32"/>
        </w:rPr>
      </w:pPr>
      <w:r>
        <w:rPr>
          <w:rFonts w:eastAsia="楷体_GB2312"/>
          <w:b/>
          <w:color w:val="000000" w:themeColor="text1"/>
          <w:kern w:val="32"/>
          <w:sz w:val="32"/>
          <w:szCs w:val="32"/>
        </w:rPr>
        <w:t>（四）机构编制管理科学规范</w:t>
      </w:r>
    </w:p>
    <w:p>
      <w:pPr>
        <w:overflowPunct w:val="0"/>
        <w:adjustRightInd w:val="0"/>
        <w:snapToGrid w:val="0"/>
        <w:spacing w:line="584" w:lineRule="exact"/>
        <w:ind w:firstLine="643" w:firstLineChars="200"/>
        <w:rPr>
          <w:rFonts w:eastAsia="仿宋_GB2312"/>
          <w:color w:val="000000" w:themeColor="text1"/>
          <w:kern w:val="32"/>
          <w:sz w:val="32"/>
          <w:szCs w:val="32"/>
        </w:rPr>
      </w:pPr>
      <w:r>
        <w:rPr>
          <w:rFonts w:eastAsia="仿宋_GB2312"/>
          <w:b/>
          <w:color w:val="000000" w:themeColor="text1"/>
          <w:kern w:val="32"/>
          <w:sz w:val="32"/>
          <w:szCs w:val="32"/>
        </w:rPr>
        <w:t>绩效目标：</w:t>
      </w:r>
      <w:r>
        <w:rPr>
          <w:rFonts w:eastAsia="仿宋_GB2312"/>
          <w:color w:val="000000" w:themeColor="text1"/>
          <w:kern w:val="32"/>
          <w:sz w:val="32"/>
          <w:szCs w:val="32"/>
        </w:rPr>
        <w:t>健全机构编制实名制管理，严格编制使用核准制度。统筹使用各类编制资源，加大机构编制动态调整力度，切实提高编制资源使用效益。着力抓好条例、规定等机构编制法律法规贯彻落实，加强市直机关事业单位机构编制管理，规范强化机关事业单位中文域名管理，全面提升机构编制管理各项工作。</w:t>
      </w:r>
    </w:p>
    <w:p>
      <w:pPr>
        <w:overflowPunct w:val="0"/>
        <w:adjustRightInd w:val="0"/>
        <w:snapToGrid w:val="0"/>
        <w:spacing w:line="584" w:lineRule="exact"/>
        <w:ind w:firstLine="643" w:firstLineChars="200"/>
        <w:rPr>
          <w:rFonts w:eastAsia="仿宋_GB2312"/>
          <w:color w:val="000000" w:themeColor="text1"/>
          <w:kern w:val="32"/>
          <w:sz w:val="32"/>
          <w:szCs w:val="32"/>
        </w:rPr>
      </w:pPr>
      <w:r>
        <w:rPr>
          <w:rFonts w:eastAsia="仿宋_GB2312"/>
          <w:b/>
          <w:color w:val="000000" w:themeColor="text1"/>
          <w:kern w:val="32"/>
          <w:sz w:val="32"/>
          <w:szCs w:val="32"/>
        </w:rPr>
        <w:t>绩效指标：</w:t>
      </w:r>
      <w:r>
        <w:rPr>
          <w:rFonts w:eastAsia="仿宋_GB2312"/>
          <w:color w:val="000000" w:themeColor="text1"/>
          <w:kern w:val="32"/>
          <w:sz w:val="32"/>
          <w:szCs w:val="32"/>
        </w:rPr>
        <w:t>严格控制全市财政供养人员增长，确保只减不增率达100%。及时缴纳</w:t>
      </w:r>
      <w:r>
        <w:rPr>
          <w:rFonts w:hint="eastAsia" w:eastAsia="仿宋_GB2312"/>
          <w:color w:val="000000" w:themeColor="text1"/>
          <w:kern w:val="32"/>
          <w:sz w:val="32"/>
          <w:szCs w:val="32"/>
          <w:lang w:eastAsia="zh-CN"/>
        </w:rPr>
        <w:t>市直</w:t>
      </w:r>
      <w:r>
        <w:rPr>
          <w:rFonts w:hint="eastAsia" w:ascii="仿宋_GB2312" w:hAnsi="仿宋_GB2312" w:eastAsia="仿宋_GB2312" w:cs="仿宋_GB2312"/>
          <w:sz w:val="32"/>
          <w:szCs w:val="32"/>
          <w:lang w:val="en-US" w:eastAsia="zh-CN"/>
        </w:rPr>
        <w:t>568家机关事业单位</w:t>
      </w:r>
      <w:r>
        <w:rPr>
          <w:rFonts w:eastAsia="仿宋_GB2312"/>
          <w:color w:val="000000" w:themeColor="text1"/>
          <w:kern w:val="32"/>
          <w:sz w:val="32"/>
          <w:szCs w:val="32"/>
        </w:rPr>
        <w:t>中文域名管理服务费用，确保市直机关事业单位中文域名100%顺利运行。</w:t>
      </w:r>
    </w:p>
    <w:p>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w:t>
      </w:r>
      <w:r>
        <w:rPr>
          <w:rFonts w:hint="eastAsia" w:ascii="楷体_GB2312" w:eastAsia="楷体_GB2312" w:cs="Times New Roman"/>
          <w:b/>
          <w:sz w:val="32"/>
          <w:szCs w:val="32"/>
          <w:lang w:eastAsia="zh-CN"/>
        </w:rPr>
        <w:t>、</w:t>
      </w:r>
      <w:r>
        <w:rPr>
          <w:rFonts w:hint="eastAsia" w:ascii="楷体_GB2312" w:eastAsia="楷体_GB2312" w:cs="Times New Roman"/>
          <w:b/>
          <w:sz w:val="32"/>
          <w:szCs w:val="32"/>
        </w:rPr>
        <w:t>工作保障措施</w:t>
      </w:r>
    </w:p>
    <w:p>
      <w:pPr>
        <w:spacing w:line="584" w:lineRule="exact"/>
        <w:ind w:firstLine="630"/>
        <w:rPr>
          <w:rFonts w:ascii="Times New Roman" w:hAnsi="Times New Roman" w:eastAsia="仿宋_GB2312" w:cs="Times New Roman"/>
          <w:color w:val="000000" w:themeColor="text1"/>
          <w:sz w:val="32"/>
          <w:szCs w:val="32"/>
        </w:rPr>
      </w:pPr>
      <w:r>
        <w:rPr>
          <w:rFonts w:eastAsia="楷体_GB2312"/>
          <w:b/>
          <w:bCs/>
          <w:color w:val="000000" w:themeColor="text1"/>
          <w:kern w:val="32"/>
          <w:sz w:val="32"/>
          <w:szCs w:val="32"/>
        </w:rPr>
        <w:t>（一）完善制度建设。</w:t>
      </w:r>
      <w:r>
        <w:rPr>
          <w:rFonts w:ascii="Times New Roman" w:hAnsi="Times New Roman" w:eastAsia="仿宋_GB2312" w:cs="Times New Roman"/>
          <w:color w:val="000000" w:themeColor="text1"/>
          <w:sz w:val="32"/>
          <w:szCs w:val="32"/>
        </w:rPr>
        <w:t>制定完善预算绩效管理制度、资金管理办法、工作保障制度等，</w:t>
      </w:r>
      <w:r>
        <w:rPr>
          <w:rFonts w:eastAsia="仿宋_GB2312"/>
          <w:color w:val="000000" w:themeColor="text1"/>
          <w:sz w:val="32"/>
          <w:szCs w:val="32"/>
        </w:rPr>
        <w:t>严格落实《财务管理</w:t>
      </w:r>
      <w:r>
        <w:rPr>
          <w:rFonts w:hint="eastAsia" w:eastAsia="仿宋_GB2312"/>
          <w:color w:val="000000" w:themeColor="text1"/>
          <w:sz w:val="32"/>
          <w:szCs w:val="32"/>
          <w:lang w:eastAsia="zh-CN"/>
        </w:rPr>
        <w:t>制度</w:t>
      </w:r>
      <w:r>
        <w:rPr>
          <w:rFonts w:eastAsia="仿宋_GB2312"/>
          <w:color w:val="000000" w:themeColor="text1"/>
          <w:sz w:val="32"/>
          <w:szCs w:val="32"/>
        </w:rPr>
        <w:t>》、《资产管理办法》，以及差旅费、培训费、会议费等具体管理办法，严格执行审批制度，为全年预算绩效目标的实现奠定制度基础。</w:t>
      </w:r>
    </w:p>
    <w:p>
      <w:pPr>
        <w:spacing w:line="584" w:lineRule="exact"/>
        <w:ind w:firstLine="630"/>
        <w:rPr>
          <w:rFonts w:eastAsia="仿宋_GB2312"/>
          <w:bCs/>
          <w:color w:val="000000" w:themeColor="text1"/>
          <w:kern w:val="32"/>
          <w:sz w:val="32"/>
          <w:szCs w:val="32"/>
        </w:rPr>
      </w:pPr>
      <w:r>
        <w:rPr>
          <w:rFonts w:eastAsia="楷体_GB2312"/>
          <w:b/>
          <w:bCs/>
          <w:color w:val="000000" w:themeColor="text1"/>
          <w:kern w:val="32"/>
          <w:sz w:val="32"/>
          <w:szCs w:val="32"/>
        </w:rPr>
        <w:t>（二）加强支出管理。</w:t>
      </w:r>
      <w:r>
        <w:rPr>
          <w:rFonts w:ascii="Times New Roman" w:hAnsi="Times New Roman" w:eastAsia="仿宋_GB2312" w:cs="Times New Roman"/>
          <w:color w:val="000000" w:themeColor="text1"/>
          <w:sz w:val="32"/>
          <w:szCs w:val="32"/>
        </w:rPr>
        <w:t>通过优化支出结构、编细编实预算、加快履行政府采购手续、尽快启动项目、及时支付资金、6月底前细化代编预算、按规定及时下达资金等多种措施，确保支出进度达标</w:t>
      </w:r>
      <w:r>
        <w:rPr>
          <w:rFonts w:hint="eastAsia" w:eastAsia="仿宋_GB2312" w:cs="Times New Roman"/>
          <w:color w:val="000000" w:themeColor="text1"/>
          <w:sz w:val="32"/>
          <w:szCs w:val="32"/>
          <w:lang w:eastAsia="zh-CN"/>
        </w:rPr>
        <w:t>，</w:t>
      </w:r>
      <w:r>
        <w:rPr>
          <w:rFonts w:eastAsia="仿宋_GB2312"/>
          <w:bCs/>
          <w:color w:val="000000" w:themeColor="text1"/>
          <w:kern w:val="32"/>
          <w:sz w:val="32"/>
          <w:szCs w:val="32"/>
        </w:rPr>
        <w:t>确保资金使用的科学性、安全性和有效性。</w:t>
      </w:r>
    </w:p>
    <w:p>
      <w:pPr>
        <w:overflowPunct w:val="0"/>
        <w:adjustRightInd w:val="0"/>
        <w:snapToGrid w:val="0"/>
        <w:spacing w:line="584" w:lineRule="exact"/>
        <w:ind w:firstLine="643" w:firstLineChars="200"/>
        <w:rPr>
          <w:rFonts w:eastAsia="仿宋_GB2312"/>
          <w:color w:val="000000" w:themeColor="text1"/>
          <w:kern w:val="32"/>
          <w:sz w:val="32"/>
          <w:szCs w:val="32"/>
        </w:rPr>
      </w:pPr>
      <w:r>
        <w:rPr>
          <w:rFonts w:eastAsia="楷体_GB2312"/>
          <w:b/>
          <w:bCs/>
          <w:color w:val="000000" w:themeColor="text1"/>
          <w:kern w:val="32"/>
          <w:sz w:val="32"/>
          <w:szCs w:val="32"/>
        </w:rPr>
        <w:t>（三）加强绩效运行监控。</w:t>
      </w:r>
      <w:r>
        <w:rPr>
          <w:rFonts w:ascii="Times New Roman" w:hAnsi="Times New Roman" w:eastAsia="仿宋_GB2312" w:cs="Times New Roman"/>
          <w:color w:val="000000" w:themeColor="text1"/>
          <w:sz w:val="32"/>
          <w:szCs w:val="32"/>
        </w:rPr>
        <w:t>按要求开展绩效运行监控，发现问题及时采取措施，确保绩效目标如期保质实现。</w:t>
      </w:r>
      <w:r>
        <w:rPr>
          <w:rFonts w:eastAsia="仿宋_GB2312"/>
          <w:color w:val="000000" w:themeColor="text1"/>
          <w:kern w:val="32"/>
          <w:sz w:val="32"/>
          <w:szCs w:val="32"/>
        </w:rPr>
        <w:t>根据</w:t>
      </w:r>
      <w:r>
        <w:rPr>
          <w:rFonts w:hint="eastAsia" w:eastAsia="仿宋_GB2312"/>
          <w:color w:val="000000" w:themeColor="text1"/>
          <w:kern w:val="32"/>
          <w:sz w:val="32"/>
          <w:szCs w:val="32"/>
          <w:lang w:eastAsia="zh-CN"/>
        </w:rPr>
        <w:t>单位</w:t>
      </w:r>
      <w:r>
        <w:rPr>
          <w:rFonts w:eastAsia="仿宋_GB2312"/>
          <w:color w:val="000000" w:themeColor="text1"/>
          <w:kern w:val="32"/>
          <w:sz w:val="32"/>
          <w:szCs w:val="32"/>
        </w:rPr>
        <w:t>绩效管理制度，对实施的重点项目依照年初制定的绩效目标进行过程监控，根据项目内容和资金额度等，制定实施月度、季度监控，及时纠偏，保障资金使用的安全有效性。</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ascii="Times New Roman" w:hAnsi="Times New Roman" w:eastAsia="仿宋_GB2312" w:cs="Times New Roman"/>
          <w:color w:val="000000" w:themeColor="text1"/>
          <w:sz w:val="32"/>
          <w:szCs w:val="32"/>
        </w:rPr>
      </w:pPr>
      <w:r>
        <w:rPr>
          <w:rFonts w:eastAsia="楷体_GB2312"/>
          <w:b/>
          <w:bCs/>
          <w:color w:val="000000" w:themeColor="text1"/>
          <w:kern w:val="32"/>
          <w:sz w:val="32"/>
          <w:szCs w:val="32"/>
        </w:rPr>
        <w:t>（四）做好绩效自评。</w:t>
      </w:r>
      <w:r>
        <w:rPr>
          <w:rFonts w:hint="eastAsia" w:ascii="Times New Roman" w:hAnsi="Times New Roman" w:eastAsia="仿宋_GB2312"/>
          <w:sz w:val="32"/>
          <w:szCs w:val="32"/>
          <w:lang w:bidi="ar"/>
        </w:rPr>
        <w:t>预算执行结束后，及时对预算资金的产出和结果进行绩效自我评价，编写绩效自评报告。根据实际取得的绩效与绩效目标进行对比，如未实现绩效目标，须说明理由。认真分析研究评价结果所反映的问题，努力查找资金使用和管理中的薄弱环节，制定改进和提高绩效管理工作的措施。</w:t>
      </w:r>
    </w:p>
    <w:p>
      <w:pPr>
        <w:overflowPunct w:val="0"/>
        <w:adjustRightInd w:val="0"/>
        <w:snapToGrid w:val="0"/>
        <w:spacing w:line="584" w:lineRule="exact"/>
        <w:ind w:firstLine="643" w:firstLineChars="200"/>
        <w:rPr>
          <w:rFonts w:eastAsia="仿宋_GB2312"/>
          <w:color w:val="000000" w:themeColor="text1"/>
          <w:kern w:val="32"/>
          <w:sz w:val="32"/>
          <w:szCs w:val="32"/>
        </w:rPr>
      </w:pPr>
      <w:r>
        <w:rPr>
          <w:rFonts w:eastAsia="楷体_GB2312"/>
          <w:b/>
          <w:bCs/>
          <w:color w:val="000000" w:themeColor="text1"/>
          <w:kern w:val="32"/>
          <w:sz w:val="32"/>
          <w:szCs w:val="32"/>
        </w:rPr>
        <w:t>（五）规范财务资产管理。</w:t>
      </w:r>
      <w:r>
        <w:rPr>
          <w:rFonts w:ascii="Times New Roman" w:hAnsi="Times New Roman" w:eastAsia="仿宋_GB2312" w:cs="Times New Roman"/>
          <w:color w:val="000000" w:themeColor="text1"/>
          <w:sz w:val="32"/>
          <w:szCs w:val="32"/>
        </w:rPr>
        <w:t>完善财务管理制度，严格审批程序，加强固定资产登记、使用和报废处置管理，做到支出合理，物尽其用。</w:t>
      </w:r>
    </w:p>
    <w:p>
      <w:pPr>
        <w:overflowPunct w:val="0"/>
        <w:adjustRightInd w:val="0"/>
        <w:snapToGrid w:val="0"/>
        <w:spacing w:line="584" w:lineRule="exact"/>
        <w:ind w:firstLine="643" w:firstLineChars="200"/>
        <w:rPr>
          <w:rFonts w:ascii="Times New Roman" w:hAnsi="Times New Roman" w:eastAsia="仿宋_GB2312" w:cs="Times New Roman"/>
          <w:color w:val="000000" w:themeColor="text1"/>
          <w:sz w:val="32"/>
          <w:szCs w:val="32"/>
        </w:rPr>
      </w:pPr>
      <w:r>
        <w:rPr>
          <w:rFonts w:eastAsia="楷体_GB2312"/>
          <w:b/>
          <w:bCs/>
          <w:color w:val="000000" w:themeColor="text1"/>
          <w:kern w:val="32"/>
          <w:sz w:val="32"/>
          <w:szCs w:val="32"/>
        </w:rPr>
        <w:t>（六）加强内部监督。</w:t>
      </w:r>
      <w:r>
        <w:rPr>
          <w:rFonts w:ascii="Times New Roman" w:hAnsi="Times New Roman" w:eastAsia="仿宋_GB2312" w:cs="Times New Roman"/>
          <w:color w:val="000000" w:themeColor="text1"/>
          <w:sz w:val="32"/>
          <w:szCs w:val="32"/>
        </w:rPr>
        <w:t>加强内部监督制度建设，对绩效运行情况、重大支出决策、对外投资、资产处置及其他重要经济业务事项的决策和执行进行督导，</w:t>
      </w:r>
      <w:r>
        <w:rPr>
          <w:rFonts w:eastAsia="仿宋_GB2312"/>
          <w:color w:val="000000" w:themeColor="text1"/>
          <w:sz w:val="32"/>
          <w:szCs w:val="32"/>
        </w:rPr>
        <w:t>由机关</w:t>
      </w:r>
      <w:r>
        <w:rPr>
          <w:rFonts w:hint="eastAsia" w:eastAsia="仿宋_GB2312"/>
          <w:color w:val="000000" w:themeColor="text1"/>
          <w:sz w:val="32"/>
          <w:szCs w:val="32"/>
          <w:lang w:eastAsia="zh-CN"/>
        </w:rPr>
        <w:t>党建</w:t>
      </w:r>
      <w:r>
        <w:rPr>
          <w:rFonts w:eastAsia="仿宋_GB2312"/>
          <w:color w:val="000000" w:themeColor="text1"/>
          <w:sz w:val="32"/>
          <w:szCs w:val="32"/>
        </w:rPr>
        <w:t>担负内审机构工作职责</w:t>
      </w:r>
      <w:r>
        <w:rPr>
          <w:rFonts w:ascii="Times New Roman" w:hAnsi="Times New Roman" w:eastAsia="仿宋_GB2312" w:cs="Times New Roman"/>
          <w:color w:val="000000" w:themeColor="text1"/>
          <w:sz w:val="32"/>
          <w:szCs w:val="32"/>
        </w:rPr>
        <w:t>对会计资料进行内部审计，并配合做好审计、财政监督等外部监督工作，确保财政资金安全有效。</w:t>
      </w:r>
    </w:p>
    <w:p>
      <w:pPr>
        <w:spacing w:line="584" w:lineRule="exact"/>
        <w:ind w:firstLine="630"/>
        <w:rPr>
          <w:rFonts w:ascii="Times New Roman" w:hAnsi="Times New Roman" w:eastAsia="仿宋_GB2312" w:cs="Times New Roman"/>
          <w:color w:val="000000" w:themeColor="text1"/>
          <w:sz w:val="32"/>
          <w:szCs w:val="32"/>
        </w:rPr>
      </w:pPr>
      <w:r>
        <w:rPr>
          <w:rFonts w:eastAsia="楷体_GB2312"/>
          <w:b/>
          <w:bCs/>
          <w:color w:val="000000" w:themeColor="text1"/>
          <w:kern w:val="32"/>
          <w:sz w:val="32"/>
          <w:szCs w:val="32"/>
        </w:rPr>
        <w:t>（七）加强宣传培训调研等。</w:t>
      </w:r>
      <w:r>
        <w:rPr>
          <w:rFonts w:ascii="Times New Roman" w:hAnsi="Times New Roman" w:eastAsia="仿宋_GB2312" w:cs="Times New Roman"/>
          <w:color w:val="000000" w:themeColor="text1"/>
          <w:sz w:val="32"/>
          <w:szCs w:val="32"/>
        </w:rPr>
        <w:t>加强人员培训，提高本</w:t>
      </w:r>
      <w:r>
        <w:rPr>
          <w:rFonts w:hint="eastAsia" w:ascii="Times New Roman" w:hAnsi="Times New Roman" w:eastAsia="仿宋_GB2312" w:cs="Times New Roman"/>
          <w:color w:val="000000" w:themeColor="text1"/>
          <w:sz w:val="32"/>
          <w:szCs w:val="32"/>
          <w:lang w:eastAsia="zh-CN"/>
        </w:rPr>
        <w:t>单位</w:t>
      </w:r>
      <w:r>
        <w:rPr>
          <w:rFonts w:ascii="Times New Roman" w:hAnsi="Times New Roman" w:eastAsia="仿宋_GB2312" w:cs="Times New Roman"/>
          <w:color w:val="000000" w:themeColor="text1"/>
          <w:sz w:val="32"/>
          <w:szCs w:val="32"/>
        </w:rPr>
        <w:t>职工业务素质；加强调研，提出优化财政资金配置、提高资金使用效益的意见</w:t>
      </w:r>
      <w:r>
        <w:rPr>
          <w:rFonts w:hint="eastAsia" w:eastAsia="仿宋_GB2312" w:cs="Times New Roman"/>
          <w:color w:val="000000" w:themeColor="text1"/>
          <w:sz w:val="32"/>
          <w:szCs w:val="32"/>
          <w:lang w:eastAsia="zh-CN"/>
        </w:rPr>
        <w:t>建议</w:t>
      </w:r>
      <w:r>
        <w:rPr>
          <w:rFonts w:ascii="Times New Roman" w:hAnsi="Times New Roman" w:eastAsia="仿宋_GB2312" w:cs="Times New Roman"/>
          <w:color w:val="000000" w:themeColor="text1"/>
          <w:sz w:val="32"/>
          <w:szCs w:val="32"/>
        </w:rPr>
        <w:t>；加大宣传力度，强化预算绩效管理意识，促进预算绩效管理水平进一步提升。</w:t>
      </w:r>
    </w:p>
    <w:p>
      <w:pPr>
        <w:overflowPunct w:val="0"/>
        <w:adjustRightInd w:val="0"/>
        <w:snapToGrid w:val="0"/>
        <w:spacing w:after="156" w:afterLines="50" w:line="580" w:lineRule="exact"/>
        <w:ind w:firstLine="630" w:firstLineChars="196"/>
        <w:jc w:val="left"/>
        <w:rPr>
          <w:rFonts w:ascii="楷体_GB2312" w:eastAsia="楷体_GB2312" w:cs="Times New Roman"/>
          <w:b/>
          <w:sz w:val="32"/>
          <w:szCs w:val="32"/>
        </w:rPr>
      </w:pPr>
      <w:r>
        <w:rPr>
          <w:rFonts w:hint="eastAsia" w:ascii="楷体_GB2312" w:eastAsia="楷体_GB2312" w:cs="Times New Roman"/>
          <w:b/>
          <w:sz w:val="32"/>
          <w:szCs w:val="32"/>
        </w:rPr>
        <w:t>四</w:t>
      </w:r>
      <w:r>
        <w:rPr>
          <w:rFonts w:hint="eastAsia" w:ascii="楷体_GB2312" w:eastAsia="楷体_GB2312" w:cs="Times New Roman"/>
          <w:b/>
          <w:sz w:val="32"/>
          <w:szCs w:val="32"/>
          <w:lang w:eastAsia="zh-CN"/>
        </w:rPr>
        <w:t>、单位</w:t>
      </w:r>
      <w:r>
        <w:rPr>
          <w:rFonts w:hint="eastAsia" w:ascii="楷体_GB2312" w:eastAsia="楷体_GB2312" w:cs="Times New Roman"/>
          <w:b/>
          <w:sz w:val="32"/>
          <w:szCs w:val="32"/>
        </w:rPr>
        <w:t>整体支出绩效指标</w:t>
      </w:r>
    </w:p>
    <w:tbl>
      <w:tblPr>
        <w:tblStyle w:val="9"/>
        <w:tblW w:w="88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975"/>
        <w:gridCol w:w="1191"/>
        <w:gridCol w:w="1399"/>
        <w:gridCol w:w="1302"/>
        <w:gridCol w:w="1187"/>
        <w:gridCol w:w="535"/>
        <w:gridCol w:w="428"/>
        <w:gridCol w:w="442"/>
        <w:gridCol w:w="1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75" w:type="dxa"/>
            <w:vMerge w:val="restart"/>
            <w:shd w:val="clear" w:color="auto" w:fill="auto"/>
            <w:vAlign w:val="center"/>
          </w:tcPr>
          <w:p>
            <w:pPr>
              <w:overflowPunct w:val="0"/>
              <w:adjustRightInd w:val="0"/>
              <w:snapToGrid w:val="0"/>
              <w:jc w:val="center"/>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一级指标</w:t>
            </w:r>
          </w:p>
        </w:tc>
        <w:tc>
          <w:tcPr>
            <w:tcW w:w="1191" w:type="dxa"/>
            <w:vMerge w:val="restart"/>
            <w:shd w:val="clear" w:color="auto" w:fill="auto"/>
            <w:vAlign w:val="center"/>
          </w:tcPr>
          <w:p>
            <w:pPr>
              <w:overflowPunct w:val="0"/>
              <w:adjustRightInd w:val="0"/>
              <w:snapToGrid w:val="0"/>
              <w:jc w:val="center"/>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二级指标</w:t>
            </w:r>
          </w:p>
        </w:tc>
        <w:tc>
          <w:tcPr>
            <w:tcW w:w="1399" w:type="dxa"/>
            <w:vMerge w:val="restart"/>
            <w:shd w:val="clear" w:color="auto" w:fill="auto"/>
            <w:vAlign w:val="center"/>
          </w:tcPr>
          <w:p>
            <w:pPr>
              <w:overflowPunct w:val="0"/>
              <w:adjustRightInd w:val="0"/>
              <w:snapToGrid w:val="0"/>
              <w:jc w:val="center"/>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三级指标</w:t>
            </w:r>
          </w:p>
        </w:tc>
        <w:tc>
          <w:tcPr>
            <w:tcW w:w="1302" w:type="dxa"/>
            <w:vMerge w:val="restart"/>
            <w:shd w:val="clear" w:color="auto" w:fill="auto"/>
            <w:vAlign w:val="center"/>
          </w:tcPr>
          <w:p>
            <w:pPr>
              <w:overflowPunct w:val="0"/>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评（扣）分标准</w:t>
            </w:r>
          </w:p>
        </w:tc>
        <w:tc>
          <w:tcPr>
            <w:tcW w:w="1187" w:type="dxa"/>
            <w:vMerge w:val="restart"/>
            <w:shd w:val="clear" w:color="auto" w:fill="auto"/>
            <w:vAlign w:val="center"/>
          </w:tcPr>
          <w:p>
            <w:pPr>
              <w:overflowPunct w:val="0"/>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绩效指标描述</w:t>
            </w:r>
          </w:p>
        </w:tc>
        <w:tc>
          <w:tcPr>
            <w:tcW w:w="1405" w:type="dxa"/>
            <w:gridSpan w:val="3"/>
            <w:shd w:val="clear" w:color="auto" w:fill="auto"/>
            <w:vAlign w:val="center"/>
          </w:tcPr>
          <w:p>
            <w:pPr>
              <w:overflowPunct w:val="0"/>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指标值</w:t>
            </w:r>
          </w:p>
        </w:tc>
        <w:tc>
          <w:tcPr>
            <w:tcW w:w="1375" w:type="dxa"/>
            <w:vMerge w:val="restart"/>
            <w:shd w:val="clear" w:color="auto" w:fill="auto"/>
            <w:vAlign w:val="center"/>
          </w:tcPr>
          <w:p>
            <w:pPr>
              <w:overflowPunct w:val="0"/>
              <w:adjustRightInd w:val="0"/>
              <w:snapToGrid w:val="0"/>
              <w:jc w:val="left"/>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指标值确定依据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75" w:type="dxa"/>
            <w:vMerge w:val="continue"/>
            <w:shd w:val="clear" w:color="auto" w:fill="auto"/>
            <w:vAlign w:val="center"/>
          </w:tcPr>
          <w:p>
            <w:pPr>
              <w:overflowPunct w:val="0"/>
              <w:rPr>
                <w:rFonts w:hint="default" w:ascii="Times New Roman" w:hAnsi="Times New Roman" w:cs="Times New Roman"/>
              </w:rPr>
            </w:pPr>
          </w:p>
        </w:tc>
        <w:tc>
          <w:tcPr>
            <w:tcW w:w="1191" w:type="dxa"/>
            <w:vMerge w:val="continue"/>
            <w:shd w:val="clear" w:color="auto" w:fill="auto"/>
            <w:vAlign w:val="center"/>
          </w:tcPr>
          <w:p>
            <w:pPr>
              <w:overflowPunct w:val="0"/>
              <w:rPr>
                <w:rFonts w:hint="default" w:ascii="Times New Roman" w:hAnsi="Times New Roman" w:cs="Times New Roman"/>
              </w:rPr>
            </w:pPr>
          </w:p>
        </w:tc>
        <w:tc>
          <w:tcPr>
            <w:tcW w:w="1399" w:type="dxa"/>
            <w:vMerge w:val="continue"/>
            <w:shd w:val="clear" w:color="auto" w:fill="auto"/>
            <w:vAlign w:val="center"/>
          </w:tcPr>
          <w:p>
            <w:pPr>
              <w:overflowPunct w:val="0"/>
              <w:rPr>
                <w:rFonts w:hint="default" w:ascii="Times New Roman" w:hAnsi="Times New Roman" w:cs="Times New Roman"/>
              </w:rPr>
            </w:pPr>
          </w:p>
        </w:tc>
        <w:tc>
          <w:tcPr>
            <w:tcW w:w="1302" w:type="dxa"/>
            <w:vMerge w:val="continue"/>
            <w:shd w:val="clear" w:color="auto" w:fill="auto"/>
            <w:vAlign w:val="center"/>
          </w:tcPr>
          <w:p>
            <w:pPr>
              <w:overflowPunct w:val="0"/>
              <w:rPr>
                <w:rFonts w:hint="default" w:ascii="Times New Roman" w:hAnsi="Times New Roman" w:cs="Times New Roman"/>
              </w:rPr>
            </w:pPr>
          </w:p>
        </w:tc>
        <w:tc>
          <w:tcPr>
            <w:tcW w:w="1187" w:type="dxa"/>
            <w:vMerge w:val="continue"/>
            <w:shd w:val="clear" w:color="auto" w:fill="auto"/>
            <w:vAlign w:val="center"/>
          </w:tcPr>
          <w:p>
            <w:pPr>
              <w:overflowPunct w:val="0"/>
              <w:rPr>
                <w:rFonts w:hint="default" w:ascii="Times New Roman" w:hAnsi="Times New Roman" w:cs="Times New Roman"/>
              </w:rPr>
            </w:pPr>
          </w:p>
        </w:tc>
        <w:tc>
          <w:tcPr>
            <w:tcW w:w="535" w:type="dxa"/>
            <w:shd w:val="clear" w:color="auto" w:fill="auto"/>
            <w:vAlign w:val="center"/>
          </w:tcPr>
          <w:p>
            <w:pPr>
              <w:overflowPunct w:val="0"/>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符号</w:t>
            </w:r>
          </w:p>
        </w:tc>
        <w:tc>
          <w:tcPr>
            <w:tcW w:w="428" w:type="dxa"/>
            <w:shd w:val="clear" w:color="auto" w:fill="auto"/>
            <w:vAlign w:val="center"/>
          </w:tcPr>
          <w:p>
            <w:pPr>
              <w:overflowPunct w:val="0"/>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值</w:t>
            </w:r>
          </w:p>
        </w:tc>
        <w:tc>
          <w:tcPr>
            <w:tcW w:w="442" w:type="dxa"/>
            <w:shd w:val="clear" w:color="auto" w:fill="auto"/>
            <w:vAlign w:val="center"/>
          </w:tcPr>
          <w:p>
            <w:pPr>
              <w:overflowPunct w:val="0"/>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单位</w:t>
            </w:r>
          </w:p>
        </w:tc>
        <w:tc>
          <w:tcPr>
            <w:tcW w:w="1375" w:type="dxa"/>
            <w:vMerge w:val="continue"/>
            <w:shd w:val="clear" w:color="auto" w:fill="auto"/>
            <w:vAlign w:val="center"/>
          </w:tcPr>
          <w:p>
            <w:pPr>
              <w:overflowPunct w:val="0"/>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75" w:type="dxa"/>
            <w:vMerge w:val="restart"/>
            <w:shd w:val="clear" w:color="auto" w:fill="auto"/>
            <w:vAlign w:val="center"/>
          </w:tcPr>
          <w:p>
            <w:pPr>
              <w:overflowPunct w:val="0"/>
              <w:adjustRightInd w:val="0"/>
              <w:snapToGrid w:val="0"/>
              <w:jc w:val="center"/>
              <w:rPr>
                <w:rFonts w:hint="default" w:ascii="Times New Roman" w:hAnsi="Times New Roman" w:eastAsia="仿宋_GB2312" w:cs="Times New Roman"/>
                <w:kern w:val="0"/>
                <w:szCs w:val="21"/>
              </w:rPr>
            </w:pPr>
            <w:r>
              <w:rPr>
                <w:rFonts w:hint="eastAsia" w:ascii="Times New Roman" w:hAnsi="Times New Roman" w:eastAsia="仿宋_GB2312" w:cs="Times New Roman"/>
                <w:kern w:val="0"/>
                <w:szCs w:val="21"/>
                <w:lang w:eastAsia="zh-CN"/>
              </w:rPr>
              <w:t>单位</w:t>
            </w:r>
            <w:r>
              <w:rPr>
                <w:rFonts w:hint="default" w:ascii="Times New Roman" w:hAnsi="Times New Roman" w:eastAsia="仿宋_GB2312" w:cs="Times New Roman"/>
                <w:kern w:val="0"/>
                <w:szCs w:val="21"/>
              </w:rPr>
              <w:t>产出</w:t>
            </w:r>
          </w:p>
        </w:tc>
        <w:tc>
          <w:tcPr>
            <w:tcW w:w="1191" w:type="dxa"/>
            <w:vMerge w:val="restart"/>
            <w:shd w:val="clear" w:color="auto" w:fill="auto"/>
            <w:vAlign w:val="center"/>
          </w:tcPr>
          <w:p>
            <w:pPr>
              <w:overflowPunct w:val="0"/>
              <w:adjustRightInd w:val="0"/>
              <w:snapToGrid w:val="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数量</w:t>
            </w:r>
          </w:p>
        </w:tc>
        <w:tc>
          <w:tcPr>
            <w:tcW w:w="1399" w:type="dxa"/>
            <w:shd w:val="clear" w:color="auto" w:fill="auto"/>
            <w:vAlign w:val="center"/>
          </w:tcPr>
          <w:p>
            <w:pPr>
              <w:adjustRightInd w:val="0"/>
              <w:snapToGrid w:val="0"/>
              <w:jc w:val="center"/>
              <w:rPr>
                <w:rFonts w:hint="default" w:ascii="Times New Roman" w:hAnsi="Times New Roman" w:eastAsia="仿宋_GB2312" w:cs="Times New Roman"/>
                <w:kern w:val="0"/>
                <w:sz w:val="18"/>
                <w:szCs w:val="18"/>
              </w:rPr>
            </w:pPr>
            <w:r>
              <w:rPr>
                <w:rStyle w:val="20"/>
                <w:rFonts w:hint="default" w:ascii="Times New Roman" w:hAnsi="Times New Roman" w:cs="Times New Roman"/>
                <w:color w:val="000000" w:themeColor="text1"/>
                <w:sz w:val="21"/>
                <w:szCs w:val="21"/>
              </w:rPr>
              <w:t>机关事业单位中文域名</w:t>
            </w:r>
            <w:r>
              <w:rPr>
                <w:rStyle w:val="20"/>
                <w:rFonts w:hint="default" w:ascii="Times New Roman" w:hAnsi="Times New Roman" w:eastAsia="仿宋_GB2312" w:cs="Times New Roman"/>
                <w:color w:val="000000" w:themeColor="text1"/>
                <w:sz w:val="21"/>
                <w:szCs w:val="21"/>
                <w:lang w:eastAsia="zh-CN"/>
              </w:rPr>
              <w:t>使用</w:t>
            </w:r>
            <w:r>
              <w:rPr>
                <w:rStyle w:val="20"/>
                <w:rFonts w:hint="default" w:ascii="Times New Roman" w:hAnsi="Times New Roman" w:cs="Times New Roman"/>
                <w:color w:val="000000" w:themeColor="text1"/>
                <w:sz w:val="21"/>
                <w:szCs w:val="21"/>
              </w:rPr>
              <w:t>数量</w:t>
            </w:r>
          </w:p>
        </w:tc>
        <w:tc>
          <w:tcPr>
            <w:tcW w:w="1302" w:type="dxa"/>
            <w:shd w:val="clear" w:color="auto" w:fill="auto"/>
            <w:vAlign w:val="center"/>
          </w:tcPr>
          <w:p>
            <w:pPr>
              <w:adjustRightInd w:val="0"/>
              <w:snapToGrid w:val="0"/>
              <w:jc w:val="left"/>
              <w:rPr>
                <w:rFonts w:hint="default" w:ascii="Times New Roman" w:hAnsi="Times New Roman" w:eastAsia="仿宋_GB2312" w:cs="Times New Roman"/>
                <w:color w:val="0000FF"/>
                <w:kern w:val="0"/>
                <w:sz w:val="18"/>
                <w:szCs w:val="18"/>
              </w:rPr>
            </w:pPr>
            <w:r>
              <w:rPr>
                <w:rFonts w:ascii="Times New Roman" w:hAnsi="Times New Roman" w:eastAsia="仿宋_GB2312" w:cs="Times New Roman"/>
                <w:color w:val="000000" w:themeColor="text1"/>
                <w:kern w:val="0"/>
                <w:sz w:val="18"/>
                <w:szCs w:val="18"/>
              </w:rPr>
              <w:t>　</w:t>
            </w:r>
            <w:r>
              <w:rPr>
                <w:rFonts w:hint="eastAsia" w:ascii="仿宋_GB2312" w:hAnsi="仿宋_GB2312" w:eastAsia="仿宋_GB2312" w:cs="仿宋_GB2312"/>
                <w:color w:val="000000"/>
                <w:sz w:val="21"/>
                <w:szCs w:val="21"/>
              </w:rPr>
              <w:t>达到目标值得满分，否则不得分。</w:t>
            </w:r>
          </w:p>
        </w:tc>
        <w:tc>
          <w:tcPr>
            <w:tcW w:w="1187" w:type="dxa"/>
            <w:shd w:val="clear" w:color="auto" w:fill="auto"/>
            <w:vAlign w:val="center"/>
          </w:tcPr>
          <w:p>
            <w:pPr>
              <w:overflowPunct w:val="0"/>
              <w:adjustRightInd w:val="0"/>
              <w:snapToGrid w:val="0"/>
              <w:jc w:val="left"/>
              <w:rPr>
                <w:rFonts w:hint="default" w:ascii="Times New Roman" w:hAnsi="Times New Roman" w:eastAsia="仿宋_GB2312" w:cs="Times New Roman"/>
                <w:kern w:val="0"/>
                <w:sz w:val="18"/>
                <w:szCs w:val="18"/>
              </w:rPr>
            </w:pPr>
            <w:r>
              <w:rPr>
                <w:rFonts w:eastAsia="仿宋_GB2312"/>
                <w:kern w:val="0"/>
                <w:sz w:val="18"/>
                <w:szCs w:val="18"/>
              </w:rPr>
              <w:t>　</w:t>
            </w:r>
            <w:r>
              <w:rPr>
                <w:rStyle w:val="20"/>
                <w:rFonts w:ascii="Times New Roman" w:cs="Times New Roman"/>
                <w:color w:val="000000" w:themeColor="text1"/>
                <w:sz w:val="21"/>
                <w:szCs w:val="21"/>
              </w:rPr>
              <w:t>机关事业单位中文域名</w:t>
            </w:r>
            <w:r>
              <w:rPr>
                <w:rStyle w:val="20"/>
                <w:rFonts w:hint="eastAsia" w:eastAsia="仿宋_GB2312" w:cs="Times New Roman"/>
                <w:color w:val="000000" w:themeColor="text1"/>
                <w:sz w:val="21"/>
                <w:szCs w:val="21"/>
                <w:lang w:eastAsia="zh-CN"/>
              </w:rPr>
              <w:t>本年度继续使用</w:t>
            </w:r>
            <w:r>
              <w:rPr>
                <w:rStyle w:val="20"/>
                <w:rFonts w:ascii="Times New Roman" w:cs="Times New Roman"/>
                <w:color w:val="000000" w:themeColor="text1"/>
                <w:sz w:val="21"/>
                <w:szCs w:val="21"/>
              </w:rPr>
              <w:t>数量</w:t>
            </w:r>
          </w:p>
        </w:tc>
        <w:tc>
          <w:tcPr>
            <w:tcW w:w="535" w:type="dxa"/>
            <w:shd w:val="clear" w:color="auto" w:fill="auto"/>
            <w:vAlign w:val="top"/>
          </w:tcPr>
          <w:p>
            <w:pPr>
              <w:adjustRightInd w:val="0"/>
              <w:snapToGrid w:val="0"/>
              <w:jc w:val="center"/>
              <w:rPr>
                <w:rFonts w:hint="eastAsia" w:eastAsia="仿宋_GB2312" w:cs="Times New Roman"/>
                <w:color w:val="000000" w:themeColor="text1"/>
                <w:kern w:val="0"/>
                <w:sz w:val="18"/>
                <w:szCs w:val="18"/>
                <w:lang w:val="en-US" w:eastAsia="zh-CN"/>
              </w:rPr>
            </w:pPr>
          </w:p>
          <w:p>
            <w:pPr>
              <w:adjustRightInd w:val="0"/>
              <w:snapToGrid w:val="0"/>
              <w:jc w:val="center"/>
              <w:rPr>
                <w:rFonts w:hint="eastAsia" w:eastAsia="仿宋_GB2312" w:cs="Times New Roman"/>
                <w:color w:val="000000" w:themeColor="text1"/>
                <w:kern w:val="0"/>
                <w:sz w:val="18"/>
                <w:szCs w:val="18"/>
                <w:lang w:val="en-US" w:eastAsia="zh-CN"/>
              </w:rPr>
            </w:pPr>
          </w:p>
          <w:p>
            <w:pPr>
              <w:adjustRightInd w:val="0"/>
              <w:snapToGrid w:val="0"/>
              <w:jc w:val="center"/>
              <w:rPr>
                <w:rFonts w:hint="default" w:ascii="Times New Roman" w:hAnsi="Times New Roman" w:eastAsia="仿宋_GB2312" w:cs="Times New Roman"/>
                <w:kern w:val="0"/>
                <w:sz w:val="18"/>
                <w:szCs w:val="18"/>
              </w:rPr>
            </w:pPr>
            <w:r>
              <w:rPr>
                <w:rFonts w:hint="eastAsia" w:eastAsia="仿宋_GB2312" w:cs="Times New Roman"/>
                <w:color w:val="000000" w:themeColor="text1"/>
                <w:kern w:val="0"/>
                <w:sz w:val="18"/>
                <w:szCs w:val="18"/>
                <w:lang w:val="en-US" w:eastAsia="zh-CN"/>
              </w:rPr>
              <w:t>=</w:t>
            </w:r>
          </w:p>
        </w:tc>
        <w:tc>
          <w:tcPr>
            <w:tcW w:w="428" w:type="dxa"/>
            <w:shd w:val="clear" w:color="auto" w:fill="auto"/>
            <w:vAlign w:val="top"/>
          </w:tcPr>
          <w:p>
            <w:pPr>
              <w:adjustRightInd w:val="0"/>
              <w:snapToGrid w:val="0"/>
              <w:jc w:val="center"/>
              <w:rPr>
                <w:rFonts w:hint="eastAsia" w:eastAsia="仿宋_GB2312" w:cs="Times New Roman"/>
                <w:color w:val="000000" w:themeColor="text1"/>
                <w:kern w:val="0"/>
                <w:sz w:val="18"/>
                <w:szCs w:val="18"/>
                <w:lang w:eastAsia="zh-CN"/>
              </w:rPr>
            </w:pPr>
          </w:p>
          <w:p>
            <w:pPr>
              <w:adjustRightInd w:val="0"/>
              <w:snapToGrid w:val="0"/>
              <w:jc w:val="center"/>
              <w:rPr>
                <w:rFonts w:hint="eastAsia" w:eastAsia="仿宋_GB2312" w:cs="Times New Roman"/>
                <w:color w:val="000000" w:themeColor="text1"/>
                <w:kern w:val="0"/>
                <w:sz w:val="18"/>
                <w:szCs w:val="18"/>
                <w:lang w:eastAsia="zh-CN"/>
              </w:rPr>
            </w:pPr>
          </w:p>
          <w:p>
            <w:pPr>
              <w:adjustRightInd w:val="0"/>
              <w:snapToGrid w:val="0"/>
              <w:jc w:val="center"/>
              <w:rPr>
                <w:rFonts w:hint="default" w:ascii="Times New Roman" w:hAnsi="Times New Roman" w:eastAsia="仿宋_GB2312" w:cs="Times New Roman"/>
                <w:kern w:val="0"/>
                <w:sz w:val="18"/>
                <w:szCs w:val="18"/>
              </w:rPr>
            </w:pPr>
            <w:r>
              <w:rPr>
                <w:rFonts w:hint="eastAsia" w:eastAsia="仿宋_GB2312" w:cs="Times New Roman"/>
                <w:color w:val="000000" w:themeColor="text1"/>
                <w:kern w:val="0"/>
                <w:sz w:val="18"/>
                <w:szCs w:val="18"/>
                <w:lang w:val="en-US" w:eastAsia="zh-CN"/>
              </w:rPr>
              <w:t>568</w:t>
            </w:r>
          </w:p>
        </w:tc>
        <w:tc>
          <w:tcPr>
            <w:tcW w:w="442" w:type="dxa"/>
            <w:shd w:val="clear" w:color="auto" w:fill="auto"/>
            <w:vAlign w:val="top"/>
          </w:tcPr>
          <w:p>
            <w:pPr>
              <w:adjustRightInd w:val="0"/>
              <w:snapToGrid w:val="0"/>
              <w:jc w:val="center"/>
              <w:rPr>
                <w:rFonts w:hint="eastAsia" w:eastAsia="仿宋_GB2312" w:cs="Times New Roman"/>
                <w:color w:val="000000" w:themeColor="text1"/>
                <w:kern w:val="0"/>
                <w:sz w:val="18"/>
                <w:szCs w:val="18"/>
                <w:lang w:val="en-US" w:eastAsia="zh-CN"/>
              </w:rPr>
            </w:pPr>
          </w:p>
          <w:p>
            <w:pPr>
              <w:adjustRightInd w:val="0"/>
              <w:snapToGrid w:val="0"/>
              <w:jc w:val="center"/>
              <w:rPr>
                <w:rFonts w:hint="eastAsia" w:eastAsia="仿宋_GB2312" w:cs="Times New Roman"/>
                <w:color w:val="000000" w:themeColor="text1"/>
                <w:kern w:val="0"/>
                <w:sz w:val="18"/>
                <w:szCs w:val="18"/>
                <w:lang w:val="en-US" w:eastAsia="zh-CN"/>
              </w:rPr>
            </w:pPr>
          </w:p>
          <w:p>
            <w:pPr>
              <w:adjustRightInd w:val="0"/>
              <w:snapToGrid w:val="0"/>
              <w:jc w:val="center"/>
              <w:rPr>
                <w:rFonts w:hint="default" w:ascii="Times New Roman" w:hAnsi="Times New Roman" w:eastAsia="仿宋_GB2312" w:cs="Times New Roman"/>
                <w:kern w:val="0"/>
                <w:sz w:val="18"/>
                <w:szCs w:val="18"/>
              </w:rPr>
            </w:pPr>
            <w:r>
              <w:rPr>
                <w:rFonts w:hint="eastAsia" w:eastAsia="仿宋_GB2312"/>
                <w:kern w:val="0"/>
                <w:sz w:val="18"/>
                <w:szCs w:val="18"/>
                <w:lang w:val="en-US" w:eastAsia="zh-CN"/>
              </w:rPr>
              <w:t>个</w:t>
            </w:r>
          </w:p>
        </w:tc>
        <w:tc>
          <w:tcPr>
            <w:tcW w:w="1375"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hint="eastAsia" w:eastAsia="仿宋_GB2312" w:cs="Times New Roman"/>
                <w:color w:val="000000" w:themeColor="text1"/>
                <w:kern w:val="0"/>
                <w:szCs w:val="21"/>
                <w:lang w:eastAsia="zh-CN"/>
              </w:rPr>
              <w:t>财务支出凭证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75" w:type="dxa"/>
            <w:vMerge w:val="continue"/>
            <w:vAlign w:val="center"/>
          </w:tcPr>
          <w:p>
            <w:pPr>
              <w:overflowPunct w:val="0"/>
              <w:rPr>
                <w:rFonts w:hint="default" w:ascii="Times New Roman" w:hAnsi="Times New Roman" w:cs="Times New Roman"/>
              </w:rPr>
            </w:pPr>
          </w:p>
        </w:tc>
        <w:tc>
          <w:tcPr>
            <w:tcW w:w="1191" w:type="dxa"/>
            <w:vMerge w:val="continue"/>
            <w:vAlign w:val="center"/>
          </w:tcPr>
          <w:p>
            <w:pPr>
              <w:overflowPunct w:val="0"/>
              <w:rPr>
                <w:rFonts w:hint="default" w:ascii="Times New Roman" w:hAnsi="Times New Roman" w:cs="Times New Roman"/>
              </w:rPr>
            </w:pPr>
          </w:p>
        </w:tc>
        <w:tc>
          <w:tcPr>
            <w:tcW w:w="1399"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Style w:val="20"/>
                <w:rFonts w:hint="default" w:ascii="Times New Roman" w:hAnsi="Times New Roman" w:cs="Times New Roman"/>
                <w:color w:val="000000" w:themeColor="text1"/>
                <w:sz w:val="21"/>
                <w:szCs w:val="21"/>
              </w:rPr>
              <w:t>业务培训</w:t>
            </w:r>
            <w:r>
              <w:rPr>
                <w:rStyle w:val="20"/>
                <w:rFonts w:hint="default" w:ascii="Times New Roman" w:hAnsi="Times New Roman" w:eastAsia="仿宋_GB2312" w:cs="Times New Roman"/>
                <w:color w:val="000000" w:themeColor="text1"/>
                <w:sz w:val="21"/>
                <w:szCs w:val="21"/>
                <w:lang w:eastAsia="zh-CN"/>
              </w:rPr>
              <w:t>人</w:t>
            </w:r>
            <w:r>
              <w:rPr>
                <w:rStyle w:val="20"/>
                <w:rFonts w:hint="default" w:ascii="Times New Roman" w:hAnsi="Times New Roman" w:cs="Times New Roman"/>
                <w:color w:val="000000" w:themeColor="text1"/>
                <w:sz w:val="21"/>
                <w:szCs w:val="21"/>
              </w:rPr>
              <w:t>数</w:t>
            </w:r>
          </w:p>
        </w:tc>
        <w:tc>
          <w:tcPr>
            <w:tcW w:w="1302" w:type="dxa"/>
            <w:shd w:val="clear" w:color="auto" w:fill="auto"/>
            <w:vAlign w:val="center"/>
          </w:tcPr>
          <w:p>
            <w:pPr>
              <w:adjustRightInd w:val="0"/>
              <w:snapToGrid w:val="0"/>
              <w:jc w:val="left"/>
              <w:rPr>
                <w:rFonts w:hint="default" w:ascii="Times New Roman" w:hAnsi="Times New Roman" w:eastAsia="仿宋_GB2312" w:cs="Times New Roman"/>
                <w:color w:val="0000FF"/>
                <w:kern w:val="0"/>
                <w:szCs w:val="21"/>
              </w:rPr>
            </w:pPr>
            <w:r>
              <w:rPr>
                <w:rFonts w:hint="eastAsia" w:ascii="仿宋_GB2312" w:hAnsi="仿宋_GB2312" w:eastAsia="仿宋_GB2312" w:cs="仿宋_GB2312"/>
                <w:color w:val="000000"/>
                <w:sz w:val="21"/>
                <w:szCs w:val="21"/>
              </w:rPr>
              <w:t>达到目标值得满分，否则不得分。</w:t>
            </w:r>
          </w:p>
        </w:tc>
        <w:tc>
          <w:tcPr>
            <w:tcW w:w="1187" w:type="dxa"/>
            <w:shd w:val="clear" w:color="auto" w:fill="auto"/>
            <w:vAlign w:val="center"/>
          </w:tcPr>
          <w:p>
            <w:pPr>
              <w:overflowPunct w:val="0"/>
              <w:adjustRightInd w:val="0"/>
              <w:snapToGrid w:val="0"/>
              <w:jc w:val="left"/>
              <w:rPr>
                <w:rFonts w:hint="default" w:ascii="Times New Roman" w:hAnsi="Times New Roman" w:eastAsia="仿宋_GB2312" w:cs="Times New Roman"/>
                <w:kern w:val="0"/>
                <w:szCs w:val="21"/>
              </w:rPr>
            </w:pPr>
            <w:r>
              <w:rPr>
                <w:rStyle w:val="20"/>
                <w:rFonts w:hint="eastAsia" w:eastAsia="仿宋_GB2312" w:cs="Times New Roman"/>
                <w:color w:val="000000" w:themeColor="text1"/>
                <w:sz w:val="21"/>
                <w:szCs w:val="21"/>
                <w:lang w:eastAsia="zh-CN"/>
              </w:rPr>
              <w:t>参加</w:t>
            </w:r>
            <w:r>
              <w:rPr>
                <w:rStyle w:val="20"/>
                <w:rFonts w:ascii="Times New Roman" w:cs="Times New Roman"/>
                <w:color w:val="000000" w:themeColor="text1"/>
                <w:sz w:val="21"/>
                <w:szCs w:val="21"/>
              </w:rPr>
              <w:t>业务培训</w:t>
            </w:r>
            <w:r>
              <w:rPr>
                <w:rStyle w:val="20"/>
                <w:rFonts w:hint="eastAsia" w:eastAsia="仿宋_GB2312" w:cs="Times New Roman"/>
                <w:color w:val="000000" w:themeColor="text1"/>
                <w:sz w:val="21"/>
                <w:szCs w:val="21"/>
                <w:lang w:eastAsia="zh-CN"/>
              </w:rPr>
              <w:t>的人数</w:t>
            </w:r>
          </w:p>
        </w:tc>
        <w:tc>
          <w:tcPr>
            <w:tcW w:w="535" w:type="dxa"/>
            <w:shd w:val="clear" w:color="auto" w:fill="auto"/>
            <w:vAlign w:val="top"/>
          </w:tcPr>
          <w:p>
            <w:pPr>
              <w:adjustRightInd w:val="0"/>
              <w:snapToGrid w:val="0"/>
              <w:jc w:val="center"/>
              <w:rPr>
                <w:rFonts w:eastAsia="仿宋_GB2312"/>
                <w:color w:val="000000" w:themeColor="text1"/>
                <w:kern w:val="0"/>
                <w:szCs w:val="21"/>
              </w:rPr>
            </w:pPr>
          </w:p>
          <w:p>
            <w:pPr>
              <w:adjustRightInd w:val="0"/>
              <w:snapToGrid w:val="0"/>
              <w:jc w:val="center"/>
              <w:rPr>
                <w:rFonts w:hint="default" w:ascii="Times New Roman" w:hAnsi="Times New Roman" w:eastAsia="仿宋_GB2312" w:cs="Times New Roman"/>
                <w:kern w:val="0"/>
                <w:szCs w:val="21"/>
              </w:rPr>
            </w:pPr>
            <w:r>
              <w:rPr>
                <w:rFonts w:eastAsia="仿宋_GB2312"/>
                <w:color w:val="000000" w:themeColor="text1"/>
                <w:kern w:val="0"/>
                <w:szCs w:val="21"/>
              </w:rPr>
              <w:t>≥</w:t>
            </w:r>
          </w:p>
        </w:tc>
        <w:tc>
          <w:tcPr>
            <w:tcW w:w="428" w:type="dxa"/>
            <w:shd w:val="clear" w:color="auto" w:fill="auto"/>
            <w:vAlign w:val="top"/>
          </w:tcPr>
          <w:p>
            <w:pPr>
              <w:adjustRightInd w:val="0"/>
              <w:snapToGrid w:val="0"/>
              <w:jc w:val="center"/>
              <w:rPr>
                <w:rFonts w:hint="eastAsia" w:eastAsia="仿宋_GB2312" w:cs="Times New Roman"/>
                <w:color w:val="000000" w:themeColor="text1"/>
                <w:kern w:val="0"/>
                <w:sz w:val="18"/>
                <w:szCs w:val="18"/>
                <w:lang w:eastAsia="zh-CN"/>
              </w:rPr>
            </w:pPr>
          </w:p>
          <w:p>
            <w:pPr>
              <w:adjustRightInd w:val="0"/>
              <w:snapToGrid w:val="0"/>
              <w:jc w:val="both"/>
              <w:rPr>
                <w:rFonts w:hint="default" w:ascii="Times New Roman" w:hAnsi="Times New Roman" w:eastAsia="仿宋_GB2312" w:cs="Times New Roman"/>
                <w:kern w:val="0"/>
                <w:szCs w:val="21"/>
              </w:rPr>
            </w:pPr>
            <w:r>
              <w:rPr>
                <w:rFonts w:hint="eastAsia" w:eastAsia="仿宋_GB2312" w:cs="Times New Roman"/>
                <w:color w:val="000000" w:themeColor="text1"/>
                <w:kern w:val="0"/>
                <w:sz w:val="18"/>
                <w:szCs w:val="18"/>
                <w:lang w:val="en-US" w:eastAsia="zh-CN"/>
              </w:rPr>
              <w:t>60</w:t>
            </w:r>
          </w:p>
        </w:tc>
        <w:tc>
          <w:tcPr>
            <w:tcW w:w="442" w:type="dxa"/>
            <w:shd w:val="clear" w:color="auto" w:fill="auto"/>
            <w:vAlign w:val="top"/>
          </w:tcPr>
          <w:p>
            <w:pPr>
              <w:adjustRightInd w:val="0"/>
              <w:snapToGrid w:val="0"/>
              <w:jc w:val="center"/>
              <w:rPr>
                <w:rFonts w:hint="eastAsia" w:eastAsia="仿宋_GB2312" w:cs="Times New Roman"/>
                <w:color w:val="000000" w:themeColor="text1"/>
                <w:kern w:val="0"/>
                <w:sz w:val="18"/>
                <w:szCs w:val="18"/>
                <w:lang w:val="en-US" w:eastAsia="zh-CN"/>
              </w:rPr>
            </w:pPr>
          </w:p>
          <w:p>
            <w:pPr>
              <w:adjustRightInd w:val="0"/>
              <w:snapToGrid w:val="0"/>
              <w:jc w:val="center"/>
              <w:rPr>
                <w:rFonts w:hint="default" w:ascii="Times New Roman" w:hAnsi="Times New Roman" w:eastAsia="仿宋_GB2312" w:cs="Times New Roman"/>
                <w:kern w:val="0"/>
                <w:szCs w:val="21"/>
              </w:rPr>
            </w:pPr>
            <w:r>
              <w:rPr>
                <w:rFonts w:hint="eastAsia" w:eastAsia="仿宋_GB2312" w:cs="Times New Roman"/>
                <w:color w:val="000000" w:themeColor="text1"/>
                <w:kern w:val="0"/>
                <w:sz w:val="18"/>
                <w:szCs w:val="18"/>
                <w:lang w:val="en-US" w:eastAsia="zh-CN"/>
              </w:rPr>
              <w:t>人</w:t>
            </w:r>
          </w:p>
        </w:tc>
        <w:tc>
          <w:tcPr>
            <w:tcW w:w="1375"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eastAsia="仿宋_GB2312"/>
                <w:color w:val="000000" w:themeColor="text1"/>
                <w:szCs w:val="21"/>
              </w:rPr>
              <w:t>年度计划和实际完成情况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75" w:type="dxa"/>
            <w:vMerge w:val="continue"/>
            <w:vAlign w:val="center"/>
          </w:tcPr>
          <w:p>
            <w:pPr>
              <w:overflowPunct w:val="0"/>
              <w:rPr>
                <w:rFonts w:hint="default" w:ascii="Times New Roman" w:hAnsi="Times New Roman" w:cs="Times New Roman"/>
              </w:rPr>
            </w:pPr>
          </w:p>
        </w:tc>
        <w:tc>
          <w:tcPr>
            <w:tcW w:w="1191" w:type="dxa"/>
            <w:vMerge w:val="continue"/>
            <w:vAlign w:val="center"/>
          </w:tcPr>
          <w:p>
            <w:pPr>
              <w:overflowPunct w:val="0"/>
              <w:rPr>
                <w:rFonts w:hint="default" w:ascii="Times New Roman" w:hAnsi="Times New Roman" w:cs="Times New Roman"/>
              </w:rPr>
            </w:pPr>
          </w:p>
        </w:tc>
        <w:tc>
          <w:tcPr>
            <w:tcW w:w="1399" w:type="dxa"/>
            <w:shd w:val="clear" w:color="auto" w:fill="auto"/>
            <w:vAlign w:val="center"/>
          </w:tcPr>
          <w:p>
            <w:pPr>
              <w:adjustRightInd w:val="0"/>
              <w:snapToGrid w:val="0"/>
              <w:jc w:val="center"/>
              <w:rPr>
                <w:rFonts w:hint="default" w:ascii="Times New Roman" w:hAnsi="Times New Roman" w:eastAsia="仿宋_GB2312" w:cs="Times New Roman"/>
                <w:kern w:val="0"/>
                <w:szCs w:val="21"/>
                <w:lang w:val="en-US" w:eastAsia="zh-CN"/>
              </w:rPr>
            </w:pPr>
            <w:r>
              <w:rPr>
                <w:rStyle w:val="20"/>
                <w:rFonts w:hint="default" w:ascii="Times New Roman" w:hAnsi="Times New Roman" w:cs="Times New Roman"/>
                <w:color w:val="000000" w:themeColor="text1"/>
                <w:sz w:val="21"/>
                <w:szCs w:val="21"/>
              </w:rPr>
              <w:t>重点工作完成</w:t>
            </w:r>
            <w:r>
              <w:rPr>
                <w:rStyle w:val="20"/>
                <w:rFonts w:hint="default" w:ascii="Times New Roman" w:hAnsi="Times New Roman" w:eastAsia="仿宋_GB2312" w:cs="Times New Roman"/>
                <w:color w:val="000000" w:themeColor="text1"/>
                <w:sz w:val="21"/>
                <w:szCs w:val="21"/>
                <w:lang w:eastAsia="zh-CN"/>
              </w:rPr>
              <w:t>率</w:t>
            </w:r>
          </w:p>
        </w:tc>
        <w:tc>
          <w:tcPr>
            <w:tcW w:w="130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kern w:val="0"/>
                <w:szCs w:val="21"/>
              </w:rPr>
            </w:pPr>
            <w:r>
              <w:rPr>
                <w:rFonts w:hint="eastAsia" w:ascii="仿宋_GB2312" w:hAnsi="仿宋_GB2312" w:eastAsia="仿宋_GB2312" w:cs="仿宋_GB2312"/>
                <w:color w:val="000000"/>
                <w:sz w:val="21"/>
                <w:szCs w:val="21"/>
              </w:rPr>
              <w:t>达到目标值得满分，每减少</w:t>
            </w:r>
            <w:r>
              <w:rPr>
                <w:rFonts w:hint="eastAsia" w:ascii="仿宋_GB2312" w:hAnsi="仿宋_GB2312" w:eastAsia="仿宋_GB2312" w:cs="仿宋_GB2312"/>
                <w:color w:val="000000"/>
                <w:sz w:val="21"/>
                <w:szCs w:val="21"/>
                <w:lang w:val="en-US" w:eastAsia="zh-CN"/>
              </w:rPr>
              <w:t>10%</w:t>
            </w:r>
            <w:r>
              <w:rPr>
                <w:rFonts w:hint="eastAsia" w:ascii="仿宋_GB2312" w:hAnsi="仿宋_GB2312" w:eastAsia="仿宋_GB2312" w:cs="仿宋_GB2312"/>
                <w:color w:val="000000"/>
                <w:sz w:val="21"/>
                <w:szCs w:val="21"/>
              </w:rPr>
              <w:t>扣</w:t>
            </w:r>
            <w:r>
              <w:rPr>
                <w:rFonts w:hint="eastAsia" w:ascii="仿宋_GB2312" w:hAnsi="仿宋_GB2312" w:eastAsia="仿宋_GB2312" w:cs="仿宋_GB2312"/>
                <w:color w:val="000000"/>
                <w:sz w:val="21"/>
                <w:szCs w:val="21"/>
                <w:lang w:val="en-US" w:eastAsia="zh-CN"/>
              </w:rPr>
              <w:t>10</w:t>
            </w:r>
            <w:r>
              <w:rPr>
                <w:rFonts w:hint="eastAsia" w:ascii="仿宋_GB2312" w:hAnsi="仿宋_GB2312" w:eastAsia="仿宋_GB2312" w:cs="仿宋_GB2312"/>
                <w:color w:val="000000"/>
                <w:sz w:val="21"/>
                <w:szCs w:val="21"/>
              </w:rPr>
              <w:t>%权重分</w:t>
            </w:r>
            <w:r>
              <w:rPr>
                <w:rFonts w:hint="eastAsia" w:ascii="仿宋_GB2312" w:hAnsi="仿宋_GB2312" w:eastAsia="仿宋_GB2312" w:cs="仿宋_GB2312"/>
                <w:color w:val="000000"/>
                <w:sz w:val="21"/>
                <w:szCs w:val="21"/>
                <w:lang w:eastAsia="zh-CN"/>
              </w:rPr>
              <w:t>，</w:t>
            </w:r>
            <w:r>
              <w:rPr>
                <w:rFonts w:eastAsia="仿宋_GB2312"/>
                <w:color w:val="000000" w:themeColor="text1"/>
                <w:szCs w:val="21"/>
              </w:rPr>
              <w:t>低于60%不得分</w:t>
            </w:r>
          </w:p>
        </w:tc>
        <w:tc>
          <w:tcPr>
            <w:tcW w:w="1187" w:type="dxa"/>
            <w:shd w:val="clear" w:color="auto" w:fill="auto"/>
            <w:vAlign w:val="center"/>
          </w:tcPr>
          <w:p>
            <w:pPr>
              <w:overflowPunct w:val="0"/>
              <w:adjustRightInd w:val="0"/>
              <w:snapToGrid w:val="0"/>
              <w:jc w:val="left"/>
              <w:rPr>
                <w:rFonts w:hint="default" w:ascii="Times New Roman" w:hAnsi="Times New Roman" w:eastAsia="仿宋_GB2312" w:cs="Times New Roman"/>
                <w:kern w:val="0"/>
                <w:szCs w:val="21"/>
              </w:rPr>
            </w:pPr>
            <w:r>
              <w:rPr>
                <w:rFonts w:eastAsia="仿宋_GB2312"/>
                <w:kern w:val="0"/>
                <w:szCs w:val="21"/>
              </w:rPr>
              <w:t>　</w:t>
            </w:r>
            <w:r>
              <w:rPr>
                <w:rFonts w:hint="eastAsia" w:eastAsia="仿宋_GB2312" w:cs="Times New Roman"/>
                <w:color w:val="000000" w:themeColor="text1"/>
                <w:kern w:val="0"/>
                <w:szCs w:val="21"/>
                <w:lang w:eastAsia="zh-CN"/>
              </w:rPr>
              <w:t>年初确定的</w:t>
            </w:r>
            <w:r>
              <w:rPr>
                <w:rStyle w:val="20"/>
                <w:rFonts w:ascii="Times New Roman" w:cs="Times New Roman"/>
                <w:color w:val="000000" w:themeColor="text1"/>
                <w:sz w:val="21"/>
                <w:szCs w:val="21"/>
              </w:rPr>
              <w:t>重点工作完成</w:t>
            </w:r>
            <w:r>
              <w:rPr>
                <w:rStyle w:val="20"/>
                <w:rFonts w:hint="eastAsia" w:eastAsia="仿宋_GB2312" w:cs="Times New Roman"/>
                <w:color w:val="000000" w:themeColor="text1"/>
                <w:sz w:val="21"/>
                <w:szCs w:val="21"/>
                <w:lang w:eastAsia="zh-CN"/>
              </w:rPr>
              <w:t>率</w:t>
            </w:r>
          </w:p>
        </w:tc>
        <w:tc>
          <w:tcPr>
            <w:tcW w:w="535"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eastAsia="仿宋_GB2312"/>
                <w:color w:val="000000" w:themeColor="text1"/>
                <w:kern w:val="0"/>
                <w:szCs w:val="21"/>
              </w:rPr>
              <w:t>≥</w:t>
            </w:r>
          </w:p>
        </w:tc>
        <w:tc>
          <w:tcPr>
            <w:tcW w:w="428"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hint="eastAsia" w:eastAsia="仿宋_GB2312" w:cs="Times New Roman"/>
                <w:color w:val="000000" w:themeColor="text1"/>
                <w:kern w:val="0"/>
                <w:szCs w:val="21"/>
                <w:lang w:val="en-US" w:eastAsia="zh-CN"/>
              </w:rPr>
              <w:t>100</w:t>
            </w:r>
          </w:p>
        </w:tc>
        <w:tc>
          <w:tcPr>
            <w:tcW w:w="442"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hint="eastAsia" w:eastAsia="仿宋_GB2312" w:cs="Times New Roman"/>
                <w:color w:val="000000" w:themeColor="text1"/>
                <w:kern w:val="0"/>
                <w:szCs w:val="21"/>
                <w:lang w:val="en-US" w:eastAsia="zh-CN"/>
              </w:rPr>
              <w:t>%</w:t>
            </w:r>
          </w:p>
        </w:tc>
        <w:tc>
          <w:tcPr>
            <w:tcW w:w="1375" w:type="dxa"/>
            <w:shd w:val="clear" w:color="auto" w:fill="auto"/>
            <w:vAlign w:val="top"/>
          </w:tcPr>
          <w:p>
            <w:pPr>
              <w:adjustRightInd w:val="0"/>
              <w:snapToGrid w:val="0"/>
              <w:jc w:val="center"/>
              <w:rPr>
                <w:rFonts w:hint="eastAsia" w:eastAsia="仿宋_GB2312" w:cs="Times New Roman"/>
                <w:color w:val="000000" w:themeColor="text1"/>
                <w:kern w:val="0"/>
                <w:szCs w:val="21"/>
                <w:lang w:eastAsia="zh-CN"/>
              </w:rPr>
            </w:pPr>
          </w:p>
          <w:p>
            <w:pPr>
              <w:adjustRightInd w:val="0"/>
              <w:snapToGrid w:val="0"/>
              <w:jc w:val="center"/>
              <w:rPr>
                <w:rFonts w:hint="default" w:ascii="Times New Roman" w:hAnsi="Times New Roman" w:eastAsia="仿宋_GB2312" w:cs="Times New Roman"/>
                <w:kern w:val="0"/>
                <w:szCs w:val="21"/>
              </w:rPr>
            </w:pPr>
            <w:r>
              <w:rPr>
                <w:rFonts w:hint="eastAsia" w:eastAsia="仿宋_GB2312"/>
                <w:color w:val="000000" w:themeColor="text1"/>
                <w:szCs w:val="21"/>
              </w:rPr>
              <w:t>年度计划及省级文件要求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75" w:type="dxa"/>
            <w:vMerge w:val="continue"/>
            <w:vAlign w:val="center"/>
          </w:tcPr>
          <w:p>
            <w:pPr>
              <w:overflowPunct w:val="0"/>
              <w:rPr>
                <w:rFonts w:hint="default" w:ascii="Times New Roman" w:hAnsi="Times New Roman" w:cs="Times New Roman"/>
              </w:rPr>
            </w:pPr>
          </w:p>
        </w:tc>
        <w:tc>
          <w:tcPr>
            <w:tcW w:w="1191" w:type="dxa"/>
            <w:vMerge w:val="restart"/>
            <w:shd w:val="clear" w:color="auto" w:fill="auto"/>
            <w:vAlign w:val="center"/>
          </w:tcPr>
          <w:p>
            <w:pPr>
              <w:overflowPunct w:val="0"/>
              <w:adjustRightInd w:val="0"/>
              <w:snapToGrid w:val="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质量</w:t>
            </w: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Style w:val="20"/>
                <w:rFonts w:hint="default" w:ascii="Times New Roman" w:hAnsi="Times New Roman" w:cs="Times New Roman"/>
                <w:color w:val="000000" w:themeColor="text1"/>
                <w:sz w:val="21"/>
                <w:szCs w:val="21"/>
              </w:rPr>
              <w:t>机关事业单位中文域名正常使用率</w:t>
            </w:r>
            <w:r>
              <w:rPr>
                <w:rFonts w:hint="default" w:ascii="Times New Roman" w:hAnsi="Times New Roman" w:eastAsia="仿宋_GB2312" w:cs="Times New Roman"/>
                <w:color w:val="000000" w:themeColor="text1"/>
                <w:kern w:val="0"/>
                <w:szCs w:val="21"/>
              </w:rPr>
              <w:t>　</w:t>
            </w:r>
          </w:p>
        </w:tc>
        <w:tc>
          <w:tcPr>
            <w:tcW w:w="1302" w:type="dxa"/>
            <w:shd w:val="clear" w:color="auto" w:fill="auto"/>
            <w:vAlign w:val="center"/>
          </w:tcPr>
          <w:p>
            <w:pPr>
              <w:overflowPunct w:val="0"/>
              <w:adjustRightInd w:val="0"/>
              <w:snapToGrid w:val="0"/>
              <w:jc w:val="left"/>
              <w:rPr>
                <w:rFonts w:hint="default" w:ascii="Times New Roman" w:hAnsi="Times New Roman" w:eastAsia="仿宋_GB2312" w:cs="Times New Roman"/>
                <w:kern w:val="0"/>
                <w:szCs w:val="21"/>
              </w:rPr>
            </w:pPr>
            <w:r>
              <w:rPr>
                <w:rFonts w:hint="eastAsia" w:ascii="仿宋_GB2312" w:hAnsi="仿宋_GB2312" w:eastAsia="仿宋_GB2312" w:cs="仿宋_GB2312"/>
                <w:color w:val="000000"/>
                <w:sz w:val="21"/>
                <w:szCs w:val="21"/>
              </w:rPr>
              <w:t>达到目标值得满分，否则不得分。</w:t>
            </w:r>
          </w:p>
        </w:tc>
        <w:tc>
          <w:tcPr>
            <w:tcW w:w="1187" w:type="dxa"/>
            <w:shd w:val="clear" w:color="auto" w:fill="auto"/>
            <w:vAlign w:val="center"/>
          </w:tcPr>
          <w:p>
            <w:pPr>
              <w:adjustRightInd w:val="0"/>
              <w:snapToGrid w:val="0"/>
              <w:jc w:val="left"/>
              <w:rPr>
                <w:rFonts w:hint="default" w:ascii="Times New Roman" w:hAnsi="Times New Roman" w:eastAsia="仿宋_GB2312" w:cs="Times New Roman"/>
                <w:kern w:val="0"/>
                <w:szCs w:val="21"/>
              </w:rPr>
            </w:pPr>
            <w:r>
              <w:rPr>
                <w:rStyle w:val="20"/>
                <w:rFonts w:ascii="Times New Roman" w:cs="Times New Roman"/>
                <w:color w:val="000000" w:themeColor="text1"/>
                <w:sz w:val="21"/>
                <w:szCs w:val="21"/>
              </w:rPr>
              <w:t>机关事业单位中文域名正常使用率</w:t>
            </w:r>
          </w:p>
        </w:tc>
        <w:tc>
          <w:tcPr>
            <w:tcW w:w="535"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eastAsia="仿宋_GB2312"/>
                <w:color w:val="000000" w:themeColor="text1"/>
                <w:kern w:val="0"/>
                <w:szCs w:val="21"/>
              </w:rPr>
              <w:t>≥</w:t>
            </w:r>
          </w:p>
        </w:tc>
        <w:tc>
          <w:tcPr>
            <w:tcW w:w="428"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hint="eastAsia" w:eastAsia="仿宋_GB2312" w:cs="Times New Roman"/>
                <w:color w:val="000000" w:themeColor="text1"/>
                <w:kern w:val="0"/>
                <w:szCs w:val="21"/>
                <w:lang w:val="en-US" w:eastAsia="zh-CN"/>
              </w:rPr>
              <w:t>100</w:t>
            </w:r>
          </w:p>
        </w:tc>
        <w:tc>
          <w:tcPr>
            <w:tcW w:w="442"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hint="eastAsia" w:eastAsia="仿宋_GB2312" w:cs="Times New Roman"/>
                <w:color w:val="000000" w:themeColor="text1"/>
                <w:kern w:val="0"/>
                <w:szCs w:val="21"/>
                <w:lang w:val="en-US" w:eastAsia="zh-CN"/>
              </w:rPr>
              <w:t>%</w:t>
            </w:r>
          </w:p>
        </w:tc>
        <w:tc>
          <w:tcPr>
            <w:tcW w:w="1375"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hint="eastAsia" w:eastAsia="仿宋_GB2312" w:cs="Times New Roman"/>
                <w:color w:val="000000" w:themeColor="text1"/>
                <w:kern w:val="0"/>
                <w:szCs w:val="21"/>
                <w:lang w:eastAsia="zh-CN"/>
              </w:rPr>
              <w:t>随机抽查情况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75" w:type="dxa"/>
            <w:vMerge w:val="continue"/>
            <w:vAlign w:val="center"/>
          </w:tcPr>
          <w:p>
            <w:pPr>
              <w:overflowPunct w:val="0"/>
              <w:rPr>
                <w:rFonts w:hint="default" w:ascii="Times New Roman" w:hAnsi="Times New Roman" w:cs="Times New Roman"/>
              </w:rPr>
            </w:pPr>
          </w:p>
        </w:tc>
        <w:tc>
          <w:tcPr>
            <w:tcW w:w="1191" w:type="dxa"/>
            <w:vMerge w:val="continue"/>
            <w:vAlign w:val="center"/>
          </w:tcPr>
          <w:p>
            <w:pPr>
              <w:overflowPunct w:val="0"/>
              <w:rPr>
                <w:rFonts w:hint="default" w:ascii="Times New Roman" w:hAnsi="Times New Roman" w:cs="Times New Roman"/>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b w:val="0"/>
                <w:bCs w:val="0"/>
                <w:color w:val="000000"/>
                <w:sz w:val="21"/>
                <w:szCs w:val="21"/>
              </w:rPr>
              <w:t>重点工作质量达标率</w:t>
            </w:r>
          </w:p>
        </w:tc>
        <w:tc>
          <w:tcPr>
            <w:tcW w:w="1302" w:type="dxa"/>
            <w:shd w:val="clear" w:color="auto" w:fill="auto"/>
            <w:vAlign w:val="center"/>
          </w:tcPr>
          <w:p>
            <w:pPr>
              <w:overflowPunct w:val="0"/>
              <w:adjustRightInd w:val="0"/>
              <w:snapToGrid w:val="0"/>
              <w:jc w:val="left"/>
              <w:rPr>
                <w:rFonts w:hint="default" w:ascii="Times New Roman" w:hAnsi="Times New Roman" w:eastAsia="仿宋_GB2312" w:cs="Times New Roman"/>
                <w:kern w:val="0"/>
                <w:szCs w:val="21"/>
              </w:rPr>
            </w:pPr>
            <w:r>
              <w:rPr>
                <w:rFonts w:hint="eastAsia" w:ascii="仿宋_GB2312" w:hAnsi="仿宋_GB2312" w:eastAsia="仿宋_GB2312" w:cs="仿宋_GB2312"/>
                <w:color w:val="000000"/>
                <w:sz w:val="21"/>
                <w:szCs w:val="21"/>
              </w:rPr>
              <w:t>达到目标值得满分，每减少</w:t>
            </w:r>
            <w:r>
              <w:rPr>
                <w:rFonts w:hint="eastAsia" w:ascii="仿宋_GB2312" w:hAnsi="仿宋_GB2312" w:eastAsia="仿宋_GB2312" w:cs="仿宋_GB2312"/>
                <w:color w:val="000000"/>
                <w:sz w:val="21"/>
                <w:szCs w:val="21"/>
                <w:lang w:val="en-US" w:eastAsia="zh-CN"/>
              </w:rPr>
              <w:t>10%</w:t>
            </w:r>
            <w:r>
              <w:rPr>
                <w:rFonts w:hint="eastAsia" w:ascii="仿宋_GB2312" w:hAnsi="仿宋_GB2312" w:eastAsia="仿宋_GB2312" w:cs="仿宋_GB2312"/>
                <w:color w:val="000000"/>
                <w:sz w:val="21"/>
                <w:szCs w:val="21"/>
              </w:rPr>
              <w:t>扣</w:t>
            </w:r>
            <w:r>
              <w:rPr>
                <w:rFonts w:hint="eastAsia" w:ascii="仿宋_GB2312" w:hAnsi="仿宋_GB2312" w:eastAsia="仿宋_GB2312" w:cs="仿宋_GB2312"/>
                <w:color w:val="000000"/>
                <w:sz w:val="21"/>
                <w:szCs w:val="21"/>
                <w:lang w:val="en-US" w:eastAsia="zh-CN"/>
              </w:rPr>
              <w:t>10</w:t>
            </w:r>
            <w:r>
              <w:rPr>
                <w:rFonts w:hint="eastAsia" w:ascii="仿宋_GB2312" w:hAnsi="仿宋_GB2312" w:eastAsia="仿宋_GB2312" w:cs="仿宋_GB2312"/>
                <w:color w:val="000000"/>
                <w:sz w:val="21"/>
                <w:szCs w:val="21"/>
              </w:rPr>
              <w:t>%权重分</w:t>
            </w:r>
            <w:r>
              <w:rPr>
                <w:rFonts w:hint="eastAsia" w:ascii="仿宋_GB2312" w:hAnsi="仿宋_GB2312" w:eastAsia="仿宋_GB2312" w:cs="仿宋_GB2312"/>
                <w:color w:val="000000"/>
                <w:sz w:val="21"/>
                <w:szCs w:val="21"/>
                <w:lang w:eastAsia="zh-CN"/>
              </w:rPr>
              <w:t>，</w:t>
            </w:r>
            <w:r>
              <w:rPr>
                <w:rFonts w:eastAsia="仿宋_GB2312"/>
                <w:color w:val="000000" w:themeColor="text1"/>
                <w:szCs w:val="21"/>
              </w:rPr>
              <w:t>低于60%不得分</w:t>
            </w:r>
          </w:p>
        </w:tc>
        <w:tc>
          <w:tcPr>
            <w:tcW w:w="1187" w:type="dxa"/>
            <w:shd w:val="clear" w:color="auto" w:fill="auto"/>
            <w:vAlign w:val="center"/>
          </w:tcPr>
          <w:p>
            <w:pPr>
              <w:adjustRightInd w:val="0"/>
              <w:snapToGrid w:val="0"/>
              <w:jc w:val="left"/>
              <w:rPr>
                <w:rFonts w:hint="default" w:ascii="Times New Roman" w:hAnsi="Times New Roman" w:eastAsia="仿宋_GB2312" w:cs="Times New Roman"/>
                <w:kern w:val="0"/>
                <w:szCs w:val="21"/>
              </w:rPr>
            </w:pPr>
            <w:r>
              <w:rPr>
                <w:rStyle w:val="20"/>
                <w:rFonts w:ascii="Times New Roman" w:cs="Times New Roman"/>
                <w:color w:val="000000" w:themeColor="text1"/>
                <w:sz w:val="21"/>
                <w:szCs w:val="21"/>
              </w:rPr>
              <w:t>重点工作完成</w:t>
            </w:r>
            <w:r>
              <w:rPr>
                <w:rFonts w:eastAsia="仿宋_GB2312"/>
                <w:b w:val="0"/>
                <w:bCs w:val="0"/>
                <w:color w:val="000000"/>
                <w:sz w:val="21"/>
                <w:szCs w:val="21"/>
              </w:rPr>
              <w:t>达标率</w:t>
            </w:r>
          </w:p>
        </w:tc>
        <w:tc>
          <w:tcPr>
            <w:tcW w:w="535"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eastAsia="仿宋_GB2312"/>
                <w:color w:val="000000" w:themeColor="text1"/>
                <w:kern w:val="0"/>
                <w:szCs w:val="21"/>
              </w:rPr>
              <w:t>≥</w:t>
            </w:r>
          </w:p>
        </w:tc>
        <w:tc>
          <w:tcPr>
            <w:tcW w:w="428"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hint="eastAsia" w:eastAsia="仿宋_GB2312" w:cs="Times New Roman"/>
                <w:color w:val="000000" w:themeColor="text1"/>
                <w:kern w:val="0"/>
                <w:szCs w:val="21"/>
                <w:lang w:val="en-US" w:eastAsia="zh-CN"/>
              </w:rPr>
              <w:t>100</w:t>
            </w:r>
          </w:p>
        </w:tc>
        <w:tc>
          <w:tcPr>
            <w:tcW w:w="442"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hint="eastAsia" w:eastAsia="仿宋_GB2312" w:cs="Times New Roman"/>
                <w:color w:val="000000" w:themeColor="text1"/>
                <w:kern w:val="0"/>
                <w:szCs w:val="21"/>
                <w:lang w:val="en-US" w:eastAsia="zh-CN"/>
              </w:rPr>
              <w:t>%</w:t>
            </w:r>
          </w:p>
        </w:tc>
        <w:tc>
          <w:tcPr>
            <w:tcW w:w="1375"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hint="eastAsia" w:eastAsia="仿宋_GB2312" w:cs="Times New Roman"/>
                <w:color w:val="000000" w:themeColor="text1"/>
                <w:kern w:val="0"/>
                <w:szCs w:val="21"/>
                <w:lang w:eastAsia="zh-CN"/>
              </w:rPr>
              <w:t>工作总结或上级检查情况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75" w:type="dxa"/>
            <w:vMerge w:val="continue"/>
            <w:vAlign w:val="center"/>
          </w:tcPr>
          <w:p>
            <w:pPr>
              <w:overflowPunct w:val="0"/>
              <w:rPr>
                <w:rFonts w:hint="default" w:ascii="Times New Roman" w:hAnsi="Times New Roman" w:cs="Times New Roman"/>
              </w:rPr>
            </w:pPr>
          </w:p>
        </w:tc>
        <w:tc>
          <w:tcPr>
            <w:tcW w:w="1191" w:type="dxa"/>
            <w:vMerge w:val="continue"/>
            <w:vAlign w:val="center"/>
          </w:tcPr>
          <w:p>
            <w:pPr>
              <w:overflowPunct w:val="0"/>
              <w:rPr>
                <w:rFonts w:hint="default" w:ascii="Times New Roman" w:hAnsi="Times New Roman" w:cs="Times New Roman"/>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Style w:val="20"/>
                <w:rFonts w:hint="default" w:ascii="Times New Roman" w:hAnsi="Times New Roman" w:eastAsia="仿宋_GB2312" w:cs="Times New Roman"/>
                <w:color w:val="000000" w:themeColor="text1"/>
                <w:sz w:val="21"/>
                <w:szCs w:val="21"/>
                <w:lang w:eastAsia="zh-CN"/>
              </w:rPr>
              <w:t>文件整理合格率</w:t>
            </w:r>
          </w:p>
        </w:tc>
        <w:tc>
          <w:tcPr>
            <w:tcW w:w="1302" w:type="dxa"/>
            <w:shd w:val="clear" w:color="auto" w:fill="auto"/>
            <w:vAlign w:val="center"/>
          </w:tcPr>
          <w:p>
            <w:pPr>
              <w:overflowPunct w:val="0"/>
              <w:adjustRightInd w:val="0"/>
              <w:snapToGrid w:val="0"/>
              <w:jc w:val="left"/>
              <w:rPr>
                <w:rFonts w:hint="default" w:ascii="Times New Roman" w:hAnsi="Times New Roman" w:eastAsia="仿宋_GB2312" w:cs="Times New Roman"/>
                <w:kern w:val="0"/>
                <w:szCs w:val="21"/>
              </w:rPr>
            </w:pPr>
            <w:r>
              <w:rPr>
                <w:rFonts w:hint="eastAsia" w:ascii="仿宋_GB2312" w:hAnsi="仿宋_GB2312" w:eastAsia="仿宋_GB2312" w:cs="仿宋_GB2312"/>
                <w:color w:val="000000"/>
                <w:sz w:val="21"/>
                <w:szCs w:val="21"/>
              </w:rPr>
              <w:t>达到目标值得满分，否则不得分。</w:t>
            </w:r>
          </w:p>
        </w:tc>
        <w:tc>
          <w:tcPr>
            <w:tcW w:w="1187" w:type="dxa"/>
            <w:shd w:val="clear" w:color="auto" w:fill="auto"/>
            <w:vAlign w:val="center"/>
          </w:tcPr>
          <w:p>
            <w:pPr>
              <w:adjustRightInd w:val="0"/>
              <w:snapToGrid w:val="0"/>
              <w:jc w:val="left"/>
              <w:rPr>
                <w:rFonts w:hint="default" w:ascii="Times New Roman" w:hAnsi="Times New Roman" w:eastAsia="仿宋_GB2312" w:cs="Times New Roman"/>
                <w:kern w:val="0"/>
                <w:szCs w:val="21"/>
              </w:rPr>
            </w:pPr>
            <w:r>
              <w:rPr>
                <w:rStyle w:val="20"/>
                <w:rFonts w:hint="eastAsia" w:ascii="Times New Roman" w:eastAsia="仿宋_GB2312" w:cs="Times New Roman"/>
                <w:color w:val="000000" w:themeColor="text1"/>
                <w:sz w:val="21"/>
                <w:szCs w:val="21"/>
                <w:lang w:eastAsia="zh-CN"/>
              </w:rPr>
              <w:t>文件整理合格率</w:t>
            </w:r>
          </w:p>
        </w:tc>
        <w:tc>
          <w:tcPr>
            <w:tcW w:w="535"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eastAsia="仿宋_GB2312"/>
                <w:color w:val="000000" w:themeColor="text1"/>
                <w:kern w:val="0"/>
                <w:szCs w:val="21"/>
              </w:rPr>
              <w:t>≥</w:t>
            </w:r>
          </w:p>
        </w:tc>
        <w:tc>
          <w:tcPr>
            <w:tcW w:w="428"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hint="eastAsia" w:eastAsia="仿宋_GB2312"/>
                <w:kern w:val="0"/>
                <w:szCs w:val="21"/>
                <w:lang w:val="en-US" w:eastAsia="zh-CN"/>
              </w:rPr>
              <w:t>100</w:t>
            </w:r>
          </w:p>
        </w:tc>
        <w:tc>
          <w:tcPr>
            <w:tcW w:w="442"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hint="eastAsia" w:eastAsia="仿宋_GB2312" w:cs="Times New Roman"/>
                <w:color w:val="000000" w:themeColor="text1"/>
                <w:kern w:val="0"/>
                <w:szCs w:val="21"/>
                <w:lang w:val="en-US" w:eastAsia="zh-CN"/>
              </w:rPr>
              <w:t>%</w:t>
            </w:r>
          </w:p>
        </w:tc>
        <w:tc>
          <w:tcPr>
            <w:tcW w:w="1375"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hint="eastAsia" w:eastAsia="仿宋_GB2312" w:cs="Times New Roman"/>
                <w:color w:val="000000" w:themeColor="text1"/>
                <w:kern w:val="0"/>
                <w:szCs w:val="21"/>
                <w:lang w:eastAsia="zh-CN"/>
              </w:rPr>
              <w:t>验收资料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75" w:type="dxa"/>
            <w:vMerge w:val="continue"/>
            <w:vAlign w:val="center"/>
          </w:tcPr>
          <w:p>
            <w:pPr>
              <w:overflowPunct w:val="0"/>
              <w:rPr>
                <w:rFonts w:hint="default" w:ascii="Times New Roman" w:hAnsi="Times New Roman" w:cs="Times New Roman"/>
              </w:rPr>
            </w:pPr>
          </w:p>
        </w:tc>
        <w:tc>
          <w:tcPr>
            <w:tcW w:w="1191" w:type="dxa"/>
            <w:vMerge w:val="continue"/>
            <w:vAlign w:val="center"/>
          </w:tcPr>
          <w:p>
            <w:pPr>
              <w:overflowPunct w:val="0"/>
              <w:rPr>
                <w:rFonts w:hint="default" w:ascii="Times New Roman" w:hAnsi="Times New Roman" w:cs="Times New Roman"/>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Style w:val="20"/>
                <w:rFonts w:hint="eastAsia" w:ascii="Times New Roman" w:eastAsia="仿宋_GB2312" w:cs="Times New Roman"/>
                <w:color w:val="000000" w:themeColor="text1"/>
                <w:sz w:val="21"/>
                <w:szCs w:val="21"/>
                <w:lang w:eastAsia="zh-CN"/>
              </w:rPr>
              <w:t>办公系统及网络安全运行率</w:t>
            </w:r>
          </w:p>
        </w:tc>
        <w:tc>
          <w:tcPr>
            <w:tcW w:w="1302" w:type="dxa"/>
            <w:shd w:val="clear" w:color="auto" w:fill="auto"/>
            <w:vAlign w:val="center"/>
          </w:tcPr>
          <w:p>
            <w:pPr>
              <w:overflowPunct w:val="0"/>
              <w:adjustRightInd w:val="0"/>
              <w:snapToGrid w:val="0"/>
              <w:jc w:val="left"/>
              <w:rPr>
                <w:rFonts w:hint="default" w:ascii="Times New Roman" w:hAnsi="Times New Roman" w:eastAsia="仿宋_GB2312" w:cs="Times New Roman"/>
                <w:kern w:val="0"/>
                <w:szCs w:val="21"/>
              </w:rPr>
            </w:pPr>
            <w:r>
              <w:rPr>
                <w:rFonts w:hint="eastAsia" w:ascii="仿宋_GB2312" w:hAnsi="仿宋_GB2312" w:eastAsia="仿宋_GB2312" w:cs="仿宋_GB2312"/>
                <w:color w:val="000000"/>
                <w:sz w:val="21"/>
                <w:szCs w:val="21"/>
              </w:rPr>
              <w:t>达到目标值得满分，否则不得分。</w:t>
            </w:r>
          </w:p>
        </w:tc>
        <w:tc>
          <w:tcPr>
            <w:tcW w:w="1187" w:type="dxa"/>
            <w:shd w:val="clear" w:color="auto" w:fill="auto"/>
            <w:vAlign w:val="center"/>
          </w:tcPr>
          <w:p>
            <w:pPr>
              <w:adjustRightInd w:val="0"/>
              <w:snapToGrid w:val="0"/>
              <w:jc w:val="left"/>
              <w:rPr>
                <w:rFonts w:hint="default" w:ascii="Times New Roman" w:hAnsi="Times New Roman" w:eastAsia="仿宋_GB2312" w:cs="Times New Roman"/>
                <w:kern w:val="0"/>
                <w:szCs w:val="21"/>
              </w:rPr>
            </w:pPr>
            <w:r>
              <w:rPr>
                <w:rStyle w:val="20"/>
                <w:rFonts w:hint="eastAsia" w:ascii="Times New Roman" w:eastAsia="仿宋_GB2312" w:cs="Times New Roman"/>
                <w:color w:val="000000" w:themeColor="text1"/>
                <w:sz w:val="21"/>
                <w:szCs w:val="21"/>
                <w:lang w:eastAsia="zh-CN"/>
              </w:rPr>
              <w:t>办公系统及网络安全运行率</w:t>
            </w:r>
          </w:p>
        </w:tc>
        <w:tc>
          <w:tcPr>
            <w:tcW w:w="535"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eastAsia="仿宋_GB2312"/>
                <w:color w:val="000000" w:themeColor="text1"/>
                <w:kern w:val="0"/>
                <w:szCs w:val="21"/>
              </w:rPr>
              <w:t>≥</w:t>
            </w:r>
          </w:p>
        </w:tc>
        <w:tc>
          <w:tcPr>
            <w:tcW w:w="428"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hint="eastAsia" w:eastAsia="仿宋_GB2312"/>
                <w:kern w:val="0"/>
                <w:szCs w:val="21"/>
                <w:lang w:val="en-US" w:eastAsia="zh-CN"/>
              </w:rPr>
              <w:t>100</w:t>
            </w:r>
          </w:p>
        </w:tc>
        <w:tc>
          <w:tcPr>
            <w:tcW w:w="442"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hint="eastAsia" w:eastAsia="仿宋_GB2312" w:cs="Times New Roman"/>
                <w:color w:val="000000" w:themeColor="text1"/>
                <w:kern w:val="0"/>
                <w:szCs w:val="21"/>
                <w:lang w:val="en-US" w:eastAsia="zh-CN"/>
              </w:rPr>
              <w:t>%</w:t>
            </w:r>
          </w:p>
        </w:tc>
        <w:tc>
          <w:tcPr>
            <w:tcW w:w="1375"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hint="eastAsia" w:eastAsia="仿宋_GB2312" w:cs="Times New Roman"/>
                <w:color w:val="000000" w:themeColor="text1"/>
                <w:kern w:val="0"/>
                <w:szCs w:val="21"/>
                <w:lang w:eastAsia="zh-CN"/>
              </w:rPr>
              <w:t>相关资料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75" w:type="dxa"/>
            <w:vMerge w:val="continue"/>
            <w:vAlign w:val="center"/>
          </w:tcPr>
          <w:p>
            <w:pPr>
              <w:overflowPunct w:val="0"/>
              <w:rPr>
                <w:rFonts w:hint="default" w:ascii="Times New Roman" w:hAnsi="Times New Roman" w:cs="Times New Roman"/>
              </w:rPr>
            </w:pPr>
          </w:p>
        </w:tc>
        <w:tc>
          <w:tcPr>
            <w:tcW w:w="1191" w:type="dxa"/>
            <w:vMerge w:val="restart"/>
            <w:shd w:val="clear" w:color="auto" w:fill="auto"/>
            <w:vAlign w:val="center"/>
          </w:tcPr>
          <w:p>
            <w:pPr>
              <w:overflowPunct w:val="0"/>
              <w:adjustRightInd w:val="0"/>
              <w:snapToGrid w:val="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时效</w:t>
            </w: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default" w:ascii="Times New Roman" w:hAnsi="Times New Roman" w:eastAsia="仿宋_GB2312" w:cs="Times New Roman"/>
                <w:kern w:val="0"/>
                <w:szCs w:val="21"/>
                <w:highlight w:val="none"/>
              </w:rPr>
            </w:pPr>
            <w:r>
              <w:rPr>
                <w:rStyle w:val="20"/>
                <w:rFonts w:ascii="Times New Roman" w:cs="Times New Roman"/>
                <w:color w:val="000000" w:themeColor="text1"/>
                <w:sz w:val="21"/>
                <w:szCs w:val="21"/>
              </w:rPr>
              <w:t>重点工作完成</w:t>
            </w:r>
            <w:r>
              <w:rPr>
                <w:rStyle w:val="20"/>
                <w:rFonts w:hint="eastAsia" w:eastAsia="仿宋_GB2312" w:cs="Times New Roman"/>
                <w:color w:val="000000" w:themeColor="text1"/>
                <w:sz w:val="21"/>
                <w:szCs w:val="21"/>
                <w:lang w:eastAsia="zh-CN"/>
              </w:rPr>
              <w:t>及时性</w:t>
            </w:r>
            <w:r>
              <w:rPr>
                <w:rFonts w:ascii="Times New Roman" w:hAnsi="Times New Roman" w:eastAsia="仿宋_GB2312" w:cs="Times New Roman"/>
                <w:color w:val="000000" w:themeColor="text1"/>
                <w:kern w:val="0"/>
                <w:szCs w:val="21"/>
              </w:rPr>
              <w:t>　</w:t>
            </w:r>
          </w:p>
        </w:tc>
        <w:tc>
          <w:tcPr>
            <w:tcW w:w="1302" w:type="dxa"/>
            <w:shd w:val="clear" w:color="auto" w:fill="auto"/>
            <w:vAlign w:val="center"/>
          </w:tcPr>
          <w:p>
            <w:pPr>
              <w:overflowPunct w:val="0"/>
              <w:adjustRightInd w:val="0"/>
              <w:snapToGrid w:val="0"/>
              <w:jc w:val="left"/>
              <w:rPr>
                <w:rFonts w:hint="default" w:ascii="Times New Roman" w:hAnsi="Times New Roman" w:eastAsia="仿宋_GB2312" w:cs="Times New Roman"/>
                <w:kern w:val="0"/>
                <w:szCs w:val="21"/>
                <w:highlight w:val="none"/>
              </w:rPr>
            </w:pPr>
            <w:r>
              <w:rPr>
                <w:rFonts w:hint="eastAsia" w:ascii="仿宋_GB2312" w:hAnsi="仿宋_GB2312" w:eastAsia="仿宋_GB2312" w:cs="仿宋_GB2312"/>
                <w:color w:val="000000"/>
                <w:sz w:val="21"/>
                <w:szCs w:val="21"/>
              </w:rPr>
              <w:t>达到目标值得满分，否则不得分。</w:t>
            </w:r>
          </w:p>
        </w:tc>
        <w:tc>
          <w:tcPr>
            <w:tcW w:w="1187" w:type="dxa"/>
            <w:shd w:val="clear" w:color="auto" w:fill="auto"/>
            <w:vAlign w:val="center"/>
          </w:tcPr>
          <w:p>
            <w:pPr>
              <w:adjustRightInd w:val="0"/>
              <w:snapToGrid w:val="0"/>
              <w:jc w:val="left"/>
              <w:rPr>
                <w:rFonts w:hint="default" w:ascii="Times New Roman" w:hAnsi="Times New Roman" w:eastAsia="仿宋_GB2312" w:cs="Times New Roman"/>
                <w:kern w:val="0"/>
                <w:szCs w:val="21"/>
                <w:highlight w:val="none"/>
              </w:rPr>
            </w:pPr>
            <w:r>
              <w:rPr>
                <w:rStyle w:val="20"/>
                <w:rFonts w:ascii="Times New Roman" w:cs="Times New Roman"/>
                <w:color w:val="000000" w:themeColor="text1"/>
                <w:sz w:val="21"/>
                <w:szCs w:val="21"/>
              </w:rPr>
              <w:t>重点工作</w:t>
            </w:r>
            <w:r>
              <w:rPr>
                <w:rFonts w:hint="eastAsia" w:eastAsia="仿宋_GB2312" w:cs="Times New Roman"/>
                <w:color w:val="000000" w:themeColor="text1"/>
                <w:kern w:val="0"/>
                <w:szCs w:val="21"/>
                <w:lang w:eastAsia="zh-CN"/>
              </w:rPr>
              <w:t>按要求时限</w:t>
            </w:r>
            <w:r>
              <w:rPr>
                <w:rStyle w:val="20"/>
                <w:rFonts w:ascii="Times New Roman" w:cs="Times New Roman"/>
                <w:color w:val="000000" w:themeColor="text1"/>
                <w:sz w:val="21"/>
                <w:szCs w:val="21"/>
              </w:rPr>
              <w:t>完成</w:t>
            </w:r>
            <w:r>
              <w:rPr>
                <w:rFonts w:ascii="Times New Roman" w:hAnsi="Times New Roman" w:eastAsia="仿宋_GB2312" w:cs="Times New Roman"/>
                <w:color w:val="000000" w:themeColor="text1"/>
                <w:kern w:val="0"/>
                <w:szCs w:val="21"/>
              </w:rPr>
              <w:t>　</w:t>
            </w:r>
          </w:p>
        </w:tc>
        <w:tc>
          <w:tcPr>
            <w:tcW w:w="535" w:type="dxa"/>
            <w:shd w:val="clear" w:color="auto" w:fill="auto"/>
            <w:vAlign w:val="center"/>
          </w:tcPr>
          <w:p>
            <w:pPr>
              <w:adjustRightInd w:val="0"/>
              <w:snapToGrid w:val="0"/>
              <w:jc w:val="center"/>
              <w:rPr>
                <w:rFonts w:hint="default" w:ascii="Times New Roman" w:hAnsi="Times New Roman" w:eastAsia="仿宋_GB2312" w:cs="Times New Roman"/>
                <w:kern w:val="0"/>
                <w:szCs w:val="21"/>
                <w:highlight w:val="none"/>
              </w:rPr>
            </w:pPr>
          </w:p>
        </w:tc>
        <w:tc>
          <w:tcPr>
            <w:tcW w:w="428" w:type="dxa"/>
            <w:shd w:val="clear" w:color="auto" w:fill="auto"/>
            <w:vAlign w:val="center"/>
          </w:tcPr>
          <w:p>
            <w:pPr>
              <w:adjustRightInd w:val="0"/>
              <w:snapToGrid w:val="0"/>
              <w:jc w:val="center"/>
              <w:rPr>
                <w:rFonts w:hint="default" w:ascii="Times New Roman" w:hAnsi="Times New Roman" w:eastAsia="仿宋_GB2312" w:cs="Times New Roman"/>
                <w:kern w:val="0"/>
                <w:szCs w:val="21"/>
                <w:highlight w:val="none"/>
              </w:rPr>
            </w:pPr>
            <w:r>
              <w:rPr>
                <w:rFonts w:hint="eastAsia" w:eastAsia="仿宋_GB2312" w:cs="Times New Roman"/>
                <w:color w:val="000000" w:themeColor="text1"/>
                <w:kern w:val="0"/>
                <w:szCs w:val="21"/>
                <w:lang w:eastAsia="zh-CN"/>
              </w:rPr>
              <w:t>及时</w:t>
            </w:r>
          </w:p>
        </w:tc>
        <w:tc>
          <w:tcPr>
            <w:tcW w:w="442" w:type="dxa"/>
            <w:shd w:val="clear" w:color="auto" w:fill="auto"/>
            <w:vAlign w:val="center"/>
          </w:tcPr>
          <w:p>
            <w:pPr>
              <w:adjustRightInd w:val="0"/>
              <w:snapToGrid w:val="0"/>
              <w:jc w:val="center"/>
              <w:rPr>
                <w:rFonts w:hint="default" w:ascii="Times New Roman" w:hAnsi="Times New Roman" w:eastAsia="仿宋_GB2312" w:cs="Times New Roman"/>
                <w:kern w:val="0"/>
                <w:szCs w:val="21"/>
                <w:highlight w:val="none"/>
              </w:rPr>
            </w:pPr>
          </w:p>
        </w:tc>
        <w:tc>
          <w:tcPr>
            <w:tcW w:w="1375" w:type="dxa"/>
            <w:shd w:val="clear" w:color="auto" w:fill="auto"/>
            <w:vAlign w:val="center"/>
          </w:tcPr>
          <w:p>
            <w:pPr>
              <w:adjustRightInd w:val="0"/>
              <w:snapToGrid w:val="0"/>
              <w:jc w:val="center"/>
              <w:rPr>
                <w:rFonts w:hint="default" w:ascii="Times New Roman" w:hAnsi="Times New Roman" w:eastAsia="仿宋_GB2312" w:cs="Times New Roman"/>
                <w:kern w:val="0"/>
                <w:szCs w:val="21"/>
                <w:highlight w:val="none"/>
              </w:rPr>
            </w:pPr>
            <w:r>
              <w:rPr>
                <w:rFonts w:hint="eastAsia" w:eastAsia="仿宋_GB2312" w:cs="Times New Roman"/>
                <w:color w:val="000000" w:themeColor="text1"/>
                <w:kern w:val="0"/>
                <w:szCs w:val="21"/>
                <w:lang w:eastAsia="zh-CN"/>
              </w:rPr>
              <w:t>工作总结或上级检查情况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75" w:type="dxa"/>
            <w:vMerge w:val="continue"/>
            <w:vAlign w:val="center"/>
          </w:tcPr>
          <w:p>
            <w:pPr>
              <w:overflowPunct w:val="0"/>
              <w:rPr>
                <w:rFonts w:hint="default" w:ascii="Times New Roman" w:hAnsi="Times New Roman" w:cs="Times New Roman"/>
              </w:rPr>
            </w:pPr>
          </w:p>
        </w:tc>
        <w:tc>
          <w:tcPr>
            <w:tcW w:w="1191" w:type="dxa"/>
            <w:vMerge w:val="continue"/>
            <w:vAlign w:val="center"/>
          </w:tcPr>
          <w:p>
            <w:pPr>
              <w:overflowPunct w:val="0"/>
              <w:rPr>
                <w:rFonts w:hint="default" w:ascii="Times New Roman" w:hAnsi="Times New Roman" w:cs="Times New Roman"/>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default" w:ascii="Times New Roman" w:hAnsi="Times New Roman" w:eastAsia="仿宋_GB2312" w:cs="Times New Roman"/>
                <w:kern w:val="0"/>
                <w:szCs w:val="21"/>
                <w:highlight w:val="none"/>
              </w:rPr>
            </w:pPr>
            <w:r>
              <w:rPr>
                <w:rStyle w:val="20"/>
                <w:rFonts w:ascii="Times New Roman" w:cs="Times New Roman"/>
                <w:color w:val="000000" w:themeColor="text1"/>
                <w:sz w:val="21"/>
                <w:szCs w:val="21"/>
              </w:rPr>
              <w:t>机关事业单位中文域名</w:t>
            </w:r>
            <w:r>
              <w:rPr>
                <w:rStyle w:val="20"/>
                <w:rFonts w:hint="eastAsia" w:ascii="Times New Roman" w:eastAsia="仿宋_GB2312" w:cs="Times New Roman"/>
                <w:color w:val="000000" w:themeColor="text1"/>
                <w:sz w:val="21"/>
                <w:szCs w:val="21"/>
                <w:lang w:eastAsia="zh-CN"/>
              </w:rPr>
              <w:t>费</w:t>
            </w:r>
            <w:r>
              <w:rPr>
                <w:rStyle w:val="20"/>
                <w:rFonts w:hint="eastAsia" w:eastAsia="仿宋_GB2312" w:cs="Times New Roman"/>
                <w:color w:val="000000" w:themeColor="text1"/>
                <w:sz w:val="21"/>
                <w:szCs w:val="21"/>
                <w:lang w:eastAsia="zh-CN"/>
              </w:rPr>
              <w:t>按时支付</w:t>
            </w:r>
          </w:p>
        </w:tc>
        <w:tc>
          <w:tcPr>
            <w:tcW w:w="1302" w:type="dxa"/>
            <w:shd w:val="clear" w:color="auto" w:fill="auto"/>
            <w:vAlign w:val="center"/>
          </w:tcPr>
          <w:p>
            <w:pPr>
              <w:overflowPunct w:val="0"/>
              <w:adjustRightInd w:val="0"/>
              <w:snapToGrid w:val="0"/>
              <w:jc w:val="left"/>
              <w:rPr>
                <w:rFonts w:hint="default" w:ascii="Times New Roman" w:hAnsi="Times New Roman" w:eastAsia="仿宋_GB2312" w:cs="Times New Roman"/>
                <w:kern w:val="0"/>
                <w:szCs w:val="21"/>
                <w:highlight w:val="none"/>
              </w:rPr>
            </w:pPr>
            <w:r>
              <w:rPr>
                <w:rFonts w:hint="eastAsia" w:ascii="仿宋_GB2312" w:hAnsi="仿宋_GB2312" w:eastAsia="仿宋_GB2312" w:cs="仿宋_GB2312"/>
                <w:color w:val="000000"/>
                <w:sz w:val="21"/>
                <w:szCs w:val="21"/>
              </w:rPr>
              <w:t>达到目标值得满分，否则不得分。</w:t>
            </w:r>
          </w:p>
        </w:tc>
        <w:tc>
          <w:tcPr>
            <w:tcW w:w="1187" w:type="dxa"/>
            <w:shd w:val="clear" w:color="auto" w:fill="auto"/>
            <w:vAlign w:val="center"/>
          </w:tcPr>
          <w:p>
            <w:pPr>
              <w:adjustRightInd w:val="0"/>
              <w:snapToGrid w:val="0"/>
              <w:jc w:val="left"/>
              <w:rPr>
                <w:rFonts w:hint="default" w:ascii="Times New Roman" w:hAnsi="Times New Roman" w:eastAsia="仿宋_GB2312" w:cs="Times New Roman"/>
                <w:kern w:val="0"/>
                <w:szCs w:val="21"/>
                <w:highlight w:val="none"/>
              </w:rPr>
            </w:pPr>
            <w:r>
              <w:rPr>
                <w:rStyle w:val="20"/>
                <w:rFonts w:ascii="Times New Roman" w:cs="Times New Roman"/>
                <w:color w:val="000000" w:themeColor="text1"/>
                <w:sz w:val="21"/>
                <w:szCs w:val="21"/>
              </w:rPr>
              <w:t>机关事业单位中文域名</w:t>
            </w:r>
            <w:r>
              <w:rPr>
                <w:rStyle w:val="20"/>
                <w:rFonts w:hint="eastAsia" w:ascii="Times New Roman" w:eastAsia="仿宋_GB2312" w:cs="Times New Roman"/>
                <w:color w:val="000000" w:themeColor="text1"/>
                <w:sz w:val="21"/>
                <w:szCs w:val="21"/>
                <w:lang w:eastAsia="zh-CN"/>
              </w:rPr>
              <w:t>支付</w:t>
            </w:r>
            <w:r>
              <w:rPr>
                <w:rStyle w:val="20"/>
                <w:rFonts w:hint="eastAsia" w:eastAsia="仿宋_GB2312" w:cs="Times New Roman"/>
                <w:color w:val="000000" w:themeColor="text1"/>
                <w:sz w:val="21"/>
                <w:szCs w:val="21"/>
                <w:lang w:eastAsia="zh-CN"/>
              </w:rPr>
              <w:t>时间</w:t>
            </w:r>
          </w:p>
        </w:tc>
        <w:tc>
          <w:tcPr>
            <w:tcW w:w="535" w:type="dxa"/>
            <w:shd w:val="clear" w:color="auto" w:fill="auto"/>
            <w:vAlign w:val="center"/>
          </w:tcPr>
          <w:p>
            <w:pPr>
              <w:adjustRightInd w:val="0"/>
              <w:snapToGrid w:val="0"/>
              <w:jc w:val="center"/>
              <w:rPr>
                <w:rFonts w:hint="default" w:ascii="Times New Roman" w:hAnsi="Times New Roman" w:eastAsia="仿宋_GB2312" w:cs="Times New Roman"/>
                <w:kern w:val="0"/>
                <w:szCs w:val="21"/>
                <w:highlight w:val="none"/>
              </w:rPr>
            </w:pPr>
            <w:r>
              <w:rPr>
                <w:rFonts w:hint="eastAsia" w:eastAsia="仿宋_GB2312" w:cs="Times New Roman"/>
                <w:color w:val="000000" w:themeColor="text1"/>
                <w:kern w:val="0"/>
                <w:szCs w:val="21"/>
                <w:lang w:eastAsia="zh-CN"/>
              </w:rPr>
              <w:t>之前</w:t>
            </w:r>
          </w:p>
        </w:tc>
        <w:tc>
          <w:tcPr>
            <w:tcW w:w="428" w:type="dxa"/>
            <w:shd w:val="clear" w:color="auto" w:fill="auto"/>
            <w:vAlign w:val="center"/>
          </w:tcPr>
          <w:p>
            <w:pPr>
              <w:adjustRightInd w:val="0"/>
              <w:snapToGrid w:val="0"/>
              <w:jc w:val="center"/>
              <w:rPr>
                <w:rFonts w:hint="default" w:ascii="Times New Roman" w:hAnsi="Times New Roman" w:eastAsia="仿宋_GB2312" w:cs="Times New Roman"/>
                <w:kern w:val="0"/>
                <w:szCs w:val="21"/>
                <w:highlight w:val="none"/>
              </w:rPr>
            </w:pPr>
            <w:r>
              <w:rPr>
                <w:rFonts w:hint="eastAsia" w:eastAsia="仿宋_GB2312" w:cs="Times New Roman"/>
                <w:color w:val="000000" w:themeColor="text1"/>
                <w:kern w:val="0"/>
                <w:szCs w:val="21"/>
                <w:lang w:val="en-US" w:eastAsia="zh-CN"/>
              </w:rPr>
              <w:t>6月30日</w:t>
            </w:r>
            <w:r>
              <w:rPr>
                <w:rFonts w:hint="eastAsia" w:eastAsia="仿宋_GB2312" w:cs="Times New Roman"/>
                <w:color w:val="000000" w:themeColor="text1"/>
                <w:kern w:val="0"/>
                <w:szCs w:val="21"/>
                <w:lang w:eastAsia="zh-CN"/>
              </w:rPr>
              <w:t>前</w:t>
            </w:r>
          </w:p>
        </w:tc>
        <w:tc>
          <w:tcPr>
            <w:tcW w:w="442" w:type="dxa"/>
            <w:shd w:val="clear" w:color="auto" w:fill="auto"/>
            <w:vAlign w:val="center"/>
          </w:tcPr>
          <w:p>
            <w:pPr>
              <w:adjustRightInd w:val="0"/>
              <w:snapToGrid w:val="0"/>
              <w:jc w:val="center"/>
              <w:rPr>
                <w:rFonts w:hint="default" w:ascii="Times New Roman" w:hAnsi="Times New Roman" w:eastAsia="仿宋_GB2312" w:cs="Times New Roman"/>
                <w:kern w:val="0"/>
                <w:szCs w:val="21"/>
                <w:highlight w:val="none"/>
              </w:rPr>
            </w:pPr>
            <w:r>
              <w:rPr>
                <w:rFonts w:hint="eastAsia" w:eastAsia="仿宋_GB2312" w:cs="Times New Roman"/>
                <w:color w:val="000000" w:themeColor="text1"/>
                <w:kern w:val="0"/>
                <w:szCs w:val="21"/>
                <w:lang w:val="en-US" w:eastAsia="zh-CN"/>
              </w:rPr>
              <w:t>6月30日</w:t>
            </w:r>
            <w:r>
              <w:rPr>
                <w:rFonts w:hint="eastAsia" w:eastAsia="仿宋_GB2312" w:cs="Times New Roman"/>
                <w:color w:val="000000" w:themeColor="text1"/>
                <w:kern w:val="0"/>
                <w:szCs w:val="21"/>
                <w:lang w:eastAsia="zh-CN"/>
              </w:rPr>
              <w:t>前</w:t>
            </w:r>
          </w:p>
        </w:tc>
        <w:tc>
          <w:tcPr>
            <w:tcW w:w="1375" w:type="dxa"/>
            <w:shd w:val="clear" w:color="auto" w:fill="auto"/>
            <w:vAlign w:val="center"/>
          </w:tcPr>
          <w:p>
            <w:pPr>
              <w:adjustRightInd w:val="0"/>
              <w:snapToGrid w:val="0"/>
              <w:jc w:val="center"/>
              <w:rPr>
                <w:rFonts w:hint="default" w:ascii="Times New Roman" w:hAnsi="Times New Roman" w:eastAsia="仿宋_GB2312" w:cs="Times New Roman"/>
                <w:kern w:val="0"/>
                <w:szCs w:val="21"/>
                <w:highlight w:val="none"/>
              </w:rPr>
            </w:pPr>
            <w:r>
              <w:rPr>
                <w:rFonts w:hint="eastAsia" w:eastAsia="仿宋_GB2312" w:cs="Times New Roman"/>
                <w:color w:val="000000" w:themeColor="text1"/>
                <w:kern w:val="0"/>
                <w:szCs w:val="21"/>
                <w:lang w:eastAsia="zh-CN"/>
              </w:rPr>
              <w:t>财务支出凭证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75" w:type="dxa"/>
            <w:vMerge w:val="continue"/>
            <w:vAlign w:val="center"/>
          </w:tcPr>
          <w:p>
            <w:pPr>
              <w:overflowPunct w:val="0"/>
              <w:rPr>
                <w:rFonts w:hint="default" w:ascii="Times New Roman" w:hAnsi="Times New Roman" w:cs="Times New Roman"/>
              </w:rPr>
            </w:pPr>
          </w:p>
        </w:tc>
        <w:tc>
          <w:tcPr>
            <w:tcW w:w="1191" w:type="dxa"/>
            <w:vMerge w:val="restart"/>
            <w:shd w:val="clear" w:color="auto" w:fill="auto"/>
            <w:vAlign w:val="center"/>
          </w:tcPr>
          <w:p>
            <w:pPr>
              <w:overflowPunct w:val="0"/>
              <w:adjustRightInd w:val="0"/>
              <w:snapToGrid w:val="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成本</w:t>
            </w: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Style w:val="20"/>
                <w:rFonts w:ascii="Times New Roman" w:cs="Times New Roman"/>
                <w:color w:val="000000" w:themeColor="text1"/>
                <w:sz w:val="21"/>
                <w:szCs w:val="21"/>
              </w:rPr>
              <w:t>成本控制率</w:t>
            </w:r>
            <w:r>
              <w:rPr>
                <w:rFonts w:ascii="Times New Roman" w:hAnsi="Times New Roman" w:eastAsia="仿宋_GB2312" w:cs="Times New Roman"/>
                <w:color w:val="000000" w:themeColor="text1"/>
                <w:kern w:val="0"/>
                <w:szCs w:val="21"/>
              </w:rPr>
              <w:t>　</w:t>
            </w:r>
          </w:p>
        </w:tc>
        <w:tc>
          <w:tcPr>
            <w:tcW w:w="1302" w:type="dxa"/>
            <w:shd w:val="clear" w:color="auto" w:fill="auto"/>
            <w:vAlign w:val="center"/>
          </w:tcPr>
          <w:p>
            <w:pPr>
              <w:overflowPunct w:val="0"/>
              <w:adjustRightInd w:val="0"/>
              <w:snapToGrid w:val="0"/>
              <w:jc w:val="left"/>
              <w:rPr>
                <w:rFonts w:hint="default" w:ascii="Times New Roman" w:hAnsi="Times New Roman" w:eastAsia="仿宋_GB2312" w:cs="Times New Roman"/>
                <w:kern w:val="0"/>
                <w:sz w:val="21"/>
                <w:szCs w:val="21"/>
              </w:rPr>
            </w:pPr>
            <w:r>
              <w:rPr>
                <w:rFonts w:hint="eastAsia" w:ascii="仿宋_GB2312" w:hAnsi="仿宋_GB2312" w:eastAsia="仿宋_GB2312" w:cs="仿宋_GB2312"/>
                <w:color w:val="000000"/>
                <w:sz w:val="21"/>
                <w:szCs w:val="21"/>
                <w:lang w:eastAsia="zh-CN"/>
              </w:rPr>
              <w:t>达</w:t>
            </w:r>
            <w:r>
              <w:rPr>
                <w:rFonts w:hint="eastAsia" w:ascii="仿宋_GB2312" w:hAnsi="仿宋_GB2312" w:eastAsia="仿宋_GB2312" w:cs="仿宋_GB2312"/>
                <w:color w:val="000000"/>
                <w:sz w:val="21"/>
                <w:szCs w:val="21"/>
              </w:rPr>
              <w:t>到目标值得满分，每</w:t>
            </w:r>
            <w:r>
              <w:rPr>
                <w:rFonts w:hint="eastAsia" w:ascii="仿宋_GB2312" w:hAnsi="仿宋_GB2312" w:eastAsia="仿宋_GB2312" w:cs="仿宋_GB2312"/>
                <w:color w:val="000000"/>
                <w:sz w:val="21"/>
                <w:szCs w:val="21"/>
                <w:lang w:eastAsia="zh-CN"/>
              </w:rPr>
              <w:t>增加</w:t>
            </w:r>
            <w:r>
              <w:rPr>
                <w:rFonts w:hint="eastAsia" w:ascii="仿宋_GB2312" w:hAnsi="仿宋_GB2312" w:eastAsia="仿宋_GB2312" w:cs="仿宋_GB2312"/>
                <w:color w:val="000000"/>
                <w:sz w:val="21"/>
                <w:szCs w:val="21"/>
              </w:rPr>
              <w:t>10%扣减10%权重分</w:t>
            </w:r>
            <w:r>
              <w:rPr>
                <w:rFonts w:hint="eastAsia" w:ascii="仿宋_GB2312" w:hAnsi="仿宋_GB2312" w:eastAsia="仿宋_GB2312" w:cs="仿宋_GB2312"/>
                <w:color w:val="000000"/>
                <w:sz w:val="21"/>
                <w:szCs w:val="21"/>
                <w:lang w:eastAsia="zh-CN"/>
              </w:rPr>
              <w:t>，</w:t>
            </w:r>
            <w:r>
              <w:rPr>
                <w:rFonts w:eastAsia="仿宋_GB2312"/>
                <w:color w:val="000000" w:themeColor="text1"/>
                <w:szCs w:val="21"/>
              </w:rPr>
              <w:t>低于60%不得分</w:t>
            </w:r>
            <w:r>
              <w:rPr>
                <w:rFonts w:hint="eastAsia" w:ascii="仿宋_GB2312" w:hAnsi="仿宋_GB2312" w:eastAsia="仿宋_GB2312" w:cs="仿宋_GB2312"/>
                <w:color w:val="000000"/>
                <w:sz w:val="21"/>
                <w:szCs w:val="21"/>
              </w:rPr>
              <w:t>。</w:t>
            </w:r>
          </w:p>
        </w:tc>
        <w:tc>
          <w:tcPr>
            <w:tcW w:w="1187" w:type="dxa"/>
            <w:shd w:val="clear" w:color="auto" w:fill="auto"/>
            <w:vAlign w:val="center"/>
          </w:tcPr>
          <w:p>
            <w:pPr>
              <w:widowControl/>
              <w:adjustRightInd w:val="0"/>
              <w:snapToGrid w:val="0"/>
              <w:rPr>
                <w:rFonts w:hint="default" w:ascii="Times New Roman" w:hAnsi="Times New Roman" w:eastAsia="仿宋_GB2312" w:cs="Times New Roman"/>
                <w:kern w:val="0"/>
                <w:szCs w:val="21"/>
              </w:rPr>
            </w:pPr>
            <w:r>
              <w:rPr>
                <w:rStyle w:val="20"/>
                <w:rFonts w:ascii="Times New Roman" w:cs="Times New Roman"/>
                <w:color w:val="000000" w:themeColor="text1"/>
                <w:sz w:val="21"/>
                <w:szCs w:val="21"/>
              </w:rPr>
              <w:t>本年度实际支出占预算支出比率</w:t>
            </w:r>
          </w:p>
        </w:tc>
        <w:tc>
          <w:tcPr>
            <w:tcW w:w="535" w:type="dxa"/>
            <w:shd w:val="clear" w:color="auto" w:fill="auto"/>
            <w:vAlign w:val="center"/>
          </w:tcPr>
          <w:p>
            <w:pPr>
              <w:adjustRightInd w:val="0"/>
              <w:snapToGrid w:val="0"/>
              <w:jc w:val="center"/>
              <w:textAlignment w:val="center"/>
              <w:rPr>
                <w:rFonts w:hint="default" w:ascii="Times New Roman" w:hAnsi="Times New Roman" w:eastAsia="仿宋_GB2312" w:cs="Times New Roman"/>
                <w:kern w:val="0"/>
                <w:szCs w:val="21"/>
              </w:rPr>
            </w:pPr>
            <w:r>
              <w:rPr>
                <w:rFonts w:eastAsia="仿宋_GB2312"/>
                <w:color w:val="000000" w:themeColor="text1"/>
                <w:kern w:val="0"/>
                <w:szCs w:val="21"/>
              </w:rPr>
              <w:t>≤</w:t>
            </w:r>
          </w:p>
        </w:tc>
        <w:tc>
          <w:tcPr>
            <w:tcW w:w="428"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eastAsia="仿宋_GB2312"/>
                <w:color w:val="000000" w:themeColor="text1"/>
                <w:kern w:val="0"/>
                <w:szCs w:val="21"/>
              </w:rPr>
              <w:t>100</w:t>
            </w:r>
          </w:p>
        </w:tc>
        <w:tc>
          <w:tcPr>
            <w:tcW w:w="442" w:type="dxa"/>
            <w:shd w:val="clear" w:color="auto" w:fill="auto"/>
            <w:vAlign w:val="center"/>
          </w:tcPr>
          <w:p>
            <w:pPr>
              <w:widowControl/>
              <w:adjustRightInd w:val="0"/>
              <w:snapToGrid w:val="0"/>
              <w:jc w:val="center"/>
              <w:rPr>
                <w:rFonts w:hint="default" w:ascii="Times New Roman" w:hAnsi="Times New Roman" w:eastAsia="仿宋_GB2312" w:cs="Times New Roman"/>
                <w:kern w:val="0"/>
                <w:szCs w:val="21"/>
              </w:rPr>
            </w:pPr>
            <w:r>
              <w:rPr>
                <w:rFonts w:eastAsia="仿宋_GB2312"/>
                <w:color w:val="000000" w:themeColor="text1"/>
                <w:kern w:val="0"/>
                <w:szCs w:val="21"/>
              </w:rPr>
              <w:t>%</w:t>
            </w:r>
          </w:p>
        </w:tc>
        <w:tc>
          <w:tcPr>
            <w:tcW w:w="1375" w:type="dxa"/>
            <w:shd w:val="clear" w:color="auto" w:fill="auto"/>
            <w:vAlign w:val="center"/>
          </w:tcPr>
          <w:p>
            <w:pPr>
              <w:widowControl/>
              <w:adjustRightInd w:val="0"/>
              <w:snapToGrid w:val="0"/>
              <w:ind w:firstLine="210" w:firstLineChars="100"/>
              <w:rPr>
                <w:rFonts w:hint="default" w:ascii="Times New Roman" w:hAnsi="Times New Roman" w:eastAsia="仿宋_GB2312" w:cs="Times New Roman"/>
                <w:kern w:val="0"/>
                <w:szCs w:val="21"/>
              </w:rPr>
            </w:pPr>
            <w:r>
              <w:rPr>
                <w:rFonts w:hint="eastAsia" w:eastAsia="仿宋_GB2312" w:cs="Times New Roman"/>
                <w:color w:val="000000" w:themeColor="text1"/>
                <w:kern w:val="0"/>
                <w:szCs w:val="21"/>
                <w:lang w:eastAsia="zh-CN"/>
              </w:rPr>
              <w:t>财务资料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75" w:type="dxa"/>
            <w:vMerge w:val="continue"/>
            <w:vAlign w:val="center"/>
          </w:tcPr>
          <w:p>
            <w:pPr>
              <w:overflowPunct w:val="0"/>
              <w:rPr>
                <w:rFonts w:hint="default" w:ascii="Times New Roman" w:hAnsi="Times New Roman" w:cs="Times New Roman"/>
              </w:rPr>
            </w:pPr>
          </w:p>
        </w:tc>
        <w:tc>
          <w:tcPr>
            <w:tcW w:w="1191" w:type="dxa"/>
            <w:vMerge w:val="continue"/>
            <w:vAlign w:val="center"/>
          </w:tcPr>
          <w:p>
            <w:pPr>
              <w:overflowPunct w:val="0"/>
              <w:rPr>
                <w:rFonts w:hint="default" w:ascii="Times New Roman" w:hAnsi="Times New Roman" w:cs="Times New Roman"/>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Style w:val="20"/>
                <w:rFonts w:hint="default" w:ascii="Times New Roman" w:hAnsi="Times New Roman" w:cs="Times New Roman"/>
                <w:color w:val="000000" w:themeColor="text1"/>
                <w:sz w:val="21"/>
                <w:szCs w:val="21"/>
              </w:rPr>
              <w:t>公用经费控制率</w:t>
            </w:r>
            <w:r>
              <w:rPr>
                <w:rFonts w:hint="default" w:ascii="Times New Roman" w:hAnsi="Times New Roman" w:eastAsia="仿宋_GB2312" w:cs="Times New Roman"/>
                <w:color w:val="000000" w:themeColor="text1"/>
                <w:kern w:val="0"/>
                <w:szCs w:val="21"/>
              </w:rPr>
              <w:t>　</w:t>
            </w:r>
          </w:p>
        </w:tc>
        <w:tc>
          <w:tcPr>
            <w:tcW w:w="1302" w:type="dxa"/>
            <w:shd w:val="clear" w:color="auto" w:fill="auto"/>
            <w:vAlign w:val="center"/>
          </w:tcPr>
          <w:p>
            <w:pPr>
              <w:widowControl/>
              <w:adjustRightInd w:val="0"/>
              <w:snapToGrid w:val="0"/>
              <w:spacing w:line="360" w:lineRule="exact"/>
              <w:jc w:val="center"/>
              <w:rPr>
                <w:rStyle w:val="20"/>
                <w:rFonts w:hint="default" w:ascii="Times New Roman" w:hAnsi="Times New Roman" w:cs="Times New Roman"/>
                <w:sz w:val="21"/>
                <w:szCs w:val="21"/>
              </w:rPr>
            </w:pPr>
            <w:r>
              <w:rPr>
                <w:rStyle w:val="20"/>
                <w:rFonts w:hint="default" w:ascii="Times New Roman" w:hAnsi="Times New Roman" w:cs="Times New Roman"/>
                <w:sz w:val="21"/>
                <w:szCs w:val="21"/>
              </w:rPr>
              <w:t>1.三公经费实际支出数≤预算安排的三公经费数，得权重分的50%，否则不得分；</w:t>
            </w:r>
          </w:p>
          <w:p>
            <w:pPr>
              <w:overflowPunct w:val="0"/>
              <w:adjustRightInd w:val="0"/>
              <w:snapToGrid w:val="0"/>
              <w:jc w:val="left"/>
              <w:rPr>
                <w:rFonts w:hint="default" w:ascii="Times New Roman" w:hAnsi="Times New Roman" w:eastAsia="仿宋_GB2312" w:cs="Times New Roman"/>
                <w:kern w:val="0"/>
                <w:sz w:val="21"/>
                <w:szCs w:val="21"/>
                <w:lang w:eastAsia="zh-CN"/>
              </w:rPr>
            </w:pPr>
            <w:r>
              <w:rPr>
                <w:rStyle w:val="20"/>
                <w:rFonts w:hint="default" w:ascii="Times New Roman" w:hAnsi="Times New Roman" w:cs="Times New Roman"/>
                <w:sz w:val="21"/>
                <w:szCs w:val="21"/>
              </w:rPr>
              <w:t>2.日常公用经费决算数≤日常公用经费调整预算数，得权重分的50%，否则不得分</w:t>
            </w:r>
            <w:r>
              <w:rPr>
                <w:rStyle w:val="20"/>
                <w:rFonts w:hint="default" w:ascii="Times New Roman" w:hAnsi="Times New Roman" w:eastAsia="仿宋_GB2312" w:cs="Times New Roman"/>
                <w:sz w:val="21"/>
                <w:szCs w:val="21"/>
                <w:lang w:eastAsia="zh-CN"/>
              </w:rPr>
              <w:t>。</w:t>
            </w:r>
          </w:p>
        </w:tc>
        <w:tc>
          <w:tcPr>
            <w:tcW w:w="1187" w:type="dxa"/>
            <w:shd w:val="clear" w:color="auto" w:fill="auto"/>
            <w:vAlign w:val="center"/>
          </w:tcPr>
          <w:p>
            <w:pPr>
              <w:adjustRightInd w:val="0"/>
              <w:snapToGrid w:val="0"/>
              <w:jc w:val="left"/>
              <w:rPr>
                <w:rFonts w:hint="default" w:ascii="Times New Roman" w:hAnsi="Times New Roman" w:eastAsia="仿宋_GB2312" w:cs="Times New Roman"/>
                <w:kern w:val="0"/>
                <w:szCs w:val="21"/>
              </w:rPr>
            </w:pPr>
            <w:r>
              <w:rPr>
                <w:rStyle w:val="20"/>
                <w:rFonts w:hint="eastAsia" w:ascii="Times New Roman" w:hAnsi="Times New Roman" w:eastAsia="仿宋_GB2312" w:cs="Times New Roman"/>
                <w:color w:val="000000" w:themeColor="text1"/>
                <w:sz w:val="21"/>
                <w:szCs w:val="21"/>
                <w:lang w:eastAsia="zh-CN"/>
              </w:rPr>
              <w:t>单位</w:t>
            </w:r>
            <w:r>
              <w:rPr>
                <w:rStyle w:val="20"/>
                <w:rFonts w:hint="default" w:ascii="Times New Roman" w:hAnsi="Times New Roman" w:cs="Times New Roman"/>
                <w:color w:val="000000" w:themeColor="text1"/>
                <w:sz w:val="21"/>
                <w:szCs w:val="21"/>
              </w:rPr>
              <w:t>本年度实际支出的公用经费总额与预算安排的公用经费总额的比率</w:t>
            </w:r>
          </w:p>
        </w:tc>
        <w:tc>
          <w:tcPr>
            <w:tcW w:w="535" w:type="dxa"/>
            <w:shd w:val="clear" w:color="auto" w:fill="auto"/>
            <w:vAlign w:val="center"/>
          </w:tcPr>
          <w:p>
            <w:pPr>
              <w:adjustRightInd w:val="0"/>
              <w:snapToGrid w:val="0"/>
              <w:jc w:val="center"/>
              <w:textAlignment w:val="center"/>
              <w:rPr>
                <w:rFonts w:hint="default" w:ascii="Times New Roman" w:hAnsi="Times New Roman" w:eastAsia="仿宋_GB2312" w:cs="Times New Roman"/>
                <w:kern w:val="0"/>
                <w:szCs w:val="21"/>
              </w:rPr>
            </w:pPr>
            <w:r>
              <w:rPr>
                <w:rFonts w:hint="default" w:ascii="Times New Roman" w:hAnsi="Times New Roman" w:eastAsia="仿宋_GB2312" w:cs="Times New Roman"/>
                <w:color w:val="000000" w:themeColor="text1"/>
                <w:kern w:val="0"/>
                <w:szCs w:val="21"/>
              </w:rPr>
              <w:t>≤</w:t>
            </w:r>
          </w:p>
        </w:tc>
        <w:tc>
          <w:tcPr>
            <w:tcW w:w="428"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color w:val="000000" w:themeColor="text1"/>
                <w:kern w:val="0"/>
                <w:szCs w:val="21"/>
              </w:rPr>
              <w:t>100</w:t>
            </w:r>
          </w:p>
        </w:tc>
        <w:tc>
          <w:tcPr>
            <w:tcW w:w="442" w:type="dxa"/>
            <w:shd w:val="clear" w:color="auto" w:fill="auto"/>
            <w:vAlign w:val="center"/>
          </w:tcPr>
          <w:p>
            <w:pPr>
              <w:widowControl/>
              <w:adjustRightInd w:val="0"/>
              <w:snapToGrid w:val="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color w:val="000000" w:themeColor="text1"/>
                <w:kern w:val="0"/>
                <w:szCs w:val="21"/>
              </w:rPr>
              <w:t>%</w:t>
            </w:r>
          </w:p>
        </w:tc>
        <w:tc>
          <w:tcPr>
            <w:tcW w:w="1375" w:type="dxa"/>
            <w:shd w:val="clear" w:color="auto" w:fill="auto"/>
            <w:vAlign w:val="center"/>
          </w:tcPr>
          <w:p>
            <w:pPr>
              <w:widowControl/>
              <w:adjustRightInd w:val="0"/>
              <w:snapToGrid w:val="0"/>
              <w:ind w:firstLine="210" w:firstLineChars="100"/>
              <w:rPr>
                <w:rFonts w:hint="default" w:ascii="Times New Roman" w:hAnsi="Times New Roman" w:eastAsia="仿宋_GB2312" w:cs="Times New Roman"/>
                <w:kern w:val="0"/>
                <w:szCs w:val="21"/>
              </w:rPr>
            </w:pPr>
            <w:r>
              <w:rPr>
                <w:rFonts w:hint="eastAsia" w:eastAsia="仿宋_GB2312" w:cs="Times New Roman"/>
                <w:color w:val="000000" w:themeColor="text1"/>
                <w:kern w:val="0"/>
                <w:szCs w:val="21"/>
                <w:lang w:eastAsia="zh-CN"/>
              </w:rPr>
              <w:t>财务</w:t>
            </w:r>
            <w:r>
              <w:rPr>
                <w:rFonts w:hint="default" w:ascii="Times New Roman" w:hAnsi="Times New Roman" w:eastAsia="仿宋_GB2312" w:cs="Times New Roman"/>
                <w:color w:val="000000" w:themeColor="text1"/>
                <w:kern w:val="0"/>
                <w:szCs w:val="21"/>
                <w:lang w:eastAsia="zh-CN"/>
              </w:rPr>
              <w:t>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75" w:type="dxa"/>
            <w:vMerge w:val="restart"/>
            <w:shd w:val="clear" w:color="auto" w:fill="auto"/>
            <w:vAlign w:val="center"/>
          </w:tcPr>
          <w:p>
            <w:pPr>
              <w:overflowPunct w:val="0"/>
              <w:adjustRightInd w:val="0"/>
              <w:snapToGrid w:val="0"/>
              <w:jc w:val="center"/>
              <w:rPr>
                <w:rFonts w:hint="default" w:ascii="Times New Roman" w:hAnsi="Times New Roman" w:eastAsia="仿宋_GB2312" w:cs="Times New Roman"/>
                <w:kern w:val="0"/>
                <w:szCs w:val="21"/>
              </w:rPr>
            </w:pPr>
            <w:r>
              <w:rPr>
                <w:rFonts w:hint="eastAsia" w:ascii="Times New Roman" w:hAnsi="Times New Roman" w:eastAsia="仿宋_GB2312" w:cs="Times New Roman"/>
                <w:kern w:val="0"/>
                <w:szCs w:val="21"/>
                <w:lang w:eastAsia="zh-CN"/>
              </w:rPr>
              <w:t>单位</w:t>
            </w:r>
            <w:r>
              <w:rPr>
                <w:rFonts w:hint="default" w:ascii="Times New Roman" w:hAnsi="Times New Roman" w:eastAsia="仿宋_GB2312" w:cs="Times New Roman"/>
                <w:kern w:val="0"/>
                <w:szCs w:val="21"/>
              </w:rPr>
              <w:t>效果</w:t>
            </w:r>
          </w:p>
        </w:tc>
        <w:tc>
          <w:tcPr>
            <w:tcW w:w="1191" w:type="dxa"/>
            <w:vMerge w:val="restart"/>
            <w:shd w:val="clear" w:color="auto" w:fill="auto"/>
            <w:vAlign w:val="center"/>
          </w:tcPr>
          <w:p>
            <w:pPr>
              <w:overflowPunct w:val="0"/>
              <w:adjustRightInd w:val="0"/>
              <w:snapToGrid w:val="0"/>
              <w:jc w:val="center"/>
              <w:rPr>
                <w:rFonts w:hint="default" w:ascii="Times New Roman" w:hAnsi="Times New Roman" w:eastAsia="仿宋_GB2312" w:cs="Times New Roman"/>
                <w:kern w:val="0"/>
                <w:szCs w:val="21"/>
                <w:lang w:eastAsia="zh-CN"/>
              </w:rPr>
            </w:pPr>
            <w:r>
              <w:rPr>
                <w:rFonts w:hint="default" w:ascii="Times New Roman" w:hAnsi="Times New Roman" w:eastAsia="仿宋_GB2312" w:cs="Times New Roman"/>
                <w:kern w:val="0"/>
                <w:szCs w:val="21"/>
                <w:lang w:eastAsia="zh-CN"/>
              </w:rPr>
              <w:t>社会效益</w:t>
            </w: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adjustRightInd w:val="0"/>
              <w:snapToGrid w:val="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color w:val="000000" w:themeColor="text1"/>
                <w:szCs w:val="21"/>
                <w:shd w:val="clear" w:color="auto" w:fill="FFFFFF"/>
              </w:rPr>
              <w:t>机构编制管理</w:t>
            </w:r>
            <w:r>
              <w:rPr>
                <w:rFonts w:hint="default" w:ascii="Times New Roman" w:hAnsi="Times New Roman" w:eastAsia="仿宋_GB2312" w:cs="Times New Roman"/>
                <w:color w:val="000000" w:themeColor="text1"/>
                <w:szCs w:val="21"/>
                <w:shd w:val="clear" w:color="auto" w:fill="FFFFFF"/>
                <w:lang w:eastAsia="zh-CN"/>
              </w:rPr>
              <w:t>工作有效</w:t>
            </w:r>
            <w:r>
              <w:rPr>
                <w:rFonts w:hint="default" w:ascii="Times New Roman" w:hAnsi="Times New Roman" w:eastAsia="仿宋_GB2312" w:cs="Times New Roman"/>
                <w:color w:val="000000" w:themeColor="text1"/>
                <w:szCs w:val="21"/>
                <w:shd w:val="clear" w:color="auto" w:fill="FFFFFF"/>
              </w:rPr>
              <w:t>强化</w:t>
            </w:r>
          </w:p>
        </w:tc>
        <w:tc>
          <w:tcPr>
            <w:tcW w:w="1302" w:type="dxa"/>
            <w:shd w:val="clear" w:color="auto" w:fill="auto"/>
            <w:vAlign w:val="center"/>
          </w:tcPr>
          <w:p>
            <w:pPr>
              <w:overflowPunct w:val="0"/>
              <w:adjustRightInd w:val="0"/>
              <w:snapToGrid w:val="0"/>
              <w:jc w:val="left"/>
              <w:rPr>
                <w:rFonts w:hint="default" w:ascii="Times New Roman" w:hAnsi="Times New Roman" w:eastAsia="仿宋_GB2312" w:cs="Times New Roman"/>
                <w:kern w:val="0"/>
                <w:szCs w:val="21"/>
              </w:rPr>
            </w:pPr>
            <w:r>
              <w:rPr>
                <w:rFonts w:hint="default" w:ascii="Times New Roman" w:hAnsi="Times New Roman" w:eastAsia="仿宋_GB2312" w:cs="Times New Roman"/>
                <w:color w:val="000000"/>
                <w:sz w:val="21"/>
                <w:szCs w:val="21"/>
                <w:lang w:val="en-US" w:eastAsia="zh-CN" w:bidi="ar"/>
              </w:rPr>
              <w:t>有效得满分，否则不得分。</w:t>
            </w:r>
          </w:p>
        </w:tc>
        <w:tc>
          <w:tcPr>
            <w:tcW w:w="1187" w:type="dxa"/>
            <w:shd w:val="clear" w:color="auto" w:fill="auto"/>
            <w:vAlign w:val="center"/>
          </w:tcPr>
          <w:p>
            <w:pPr>
              <w:adjustRightInd w:val="0"/>
              <w:snapToGrid w:val="0"/>
              <w:jc w:val="left"/>
              <w:rPr>
                <w:rFonts w:hint="default" w:ascii="Times New Roman" w:hAnsi="Times New Roman" w:eastAsia="仿宋_GB2312" w:cs="Times New Roman"/>
                <w:kern w:val="0"/>
                <w:szCs w:val="21"/>
              </w:rPr>
            </w:pPr>
            <w:r>
              <w:rPr>
                <w:rFonts w:hint="default" w:ascii="Times New Roman" w:hAnsi="Times New Roman" w:eastAsia="仿宋_GB2312" w:cs="Times New Roman"/>
                <w:color w:val="000000" w:themeColor="text1"/>
                <w:szCs w:val="21"/>
                <w:shd w:val="clear" w:color="auto" w:fill="FFFFFF"/>
              </w:rPr>
              <w:t>机构编制管理</w:t>
            </w:r>
            <w:r>
              <w:rPr>
                <w:rFonts w:hint="default" w:ascii="Times New Roman" w:hAnsi="Times New Roman" w:eastAsia="仿宋_GB2312" w:cs="Times New Roman"/>
                <w:color w:val="000000" w:themeColor="text1"/>
                <w:szCs w:val="21"/>
                <w:shd w:val="clear" w:color="auto" w:fill="FFFFFF"/>
                <w:lang w:eastAsia="zh-CN"/>
              </w:rPr>
              <w:t>工作</w:t>
            </w:r>
            <w:r>
              <w:rPr>
                <w:rFonts w:hint="default" w:ascii="Times New Roman" w:hAnsi="Times New Roman" w:eastAsia="仿宋_GB2312" w:cs="Times New Roman"/>
                <w:color w:val="000000" w:themeColor="text1"/>
                <w:szCs w:val="21"/>
                <w:shd w:val="clear" w:color="auto" w:fill="FFFFFF"/>
              </w:rPr>
              <w:t>强化</w:t>
            </w:r>
            <w:r>
              <w:rPr>
                <w:rFonts w:hint="default" w:ascii="Times New Roman" w:hAnsi="Times New Roman" w:eastAsia="仿宋_GB2312" w:cs="Times New Roman"/>
                <w:color w:val="000000" w:themeColor="text1"/>
                <w:szCs w:val="21"/>
                <w:shd w:val="clear" w:color="auto" w:fill="FFFFFF"/>
                <w:lang w:eastAsia="zh-CN"/>
              </w:rPr>
              <w:t>情况</w:t>
            </w:r>
          </w:p>
        </w:tc>
        <w:tc>
          <w:tcPr>
            <w:tcW w:w="535"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color w:val="000000" w:themeColor="text1"/>
                <w:kern w:val="0"/>
                <w:szCs w:val="21"/>
                <w:lang w:eastAsia="zh-CN"/>
              </w:rPr>
              <w:t>有效</w:t>
            </w:r>
          </w:p>
        </w:tc>
        <w:tc>
          <w:tcPr>
            <w:tcW w:w="428"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color w:val="000000" w:themeColor="text1"/>
                <w:kern w:val="0"/>
                <w:szCs w:val="21"/>
                <w:lang w:eastAsia="zh-CN"/>
              </w:rPr>
              <w:t>有效</w:t>
            </w:r>
          </w:p>
        </w:tc>
        <w:tc>
          <w:tcPr>
            <w:tcW w:w="442"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color w:val="000000" w:themeColor="text1"/>
                <w:kern w:val="0"/>
                <w:szCs w:val="21"/>
                <w:lang w:eastAsia="zh-CN"/>
              </w:rPr>
              <w:t>有效</w:t>
            </w:r>
          </w:p>
        </w:tc>
        <w:tc>
          <w:tcPr>
            <w:tcW w:w="1375" w:type="dxa"/>
            <w:shd w:val="clear" w:color="auto" w:fill="auto"/>
            <w:vAlign w:val="center"/>
          </w:tcPr>
          <w:p>
            <w:pPr>
              <w:adjustRightInd w:val="0"/>
              <w:snapToGrid w:val="0"/>
              <w:jc w:val="center"/>
              <w:rPr>
                <w:rFonts w:hint="default" w:ascii="Times New Roman" w:hAnsi="Times New Roman" w:eastAsia="仿宋_GB2312" w:cs="Times New Roman"/>
                <w:kern w:val="0"/>
                <w:szCs w:val="21"/>
              </w:rPr>
            </w:pPr>
            <w:r>
              <w:rPr>
                <w:rFonts w:hint="eastAsia" w:eastAsia="仿宋_GB2312"/>
                <w:color w:val="000000"/>
                <w:sz w:val="21"/>
                <w:szCs w:val="21"/>
                <w:lang w:eastAsia="zh-CN" w:bidi="ar"/>
              </w:rPr>
              <w:t>年度工作总结及形成的相关文件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75" w:type="dxa"/>
            <w:vMerge w:val="continue"/>
            <w:shd w:val="clear" w:color="auto" w:fill="auto"/>
            <w:vAlign w:val="center"/>
          </w:tcPr>
          <w:p>
            <w:pPr>
              <w:overflowPunct w:val="0"/>
              <w:adjustRightInd w:val="0"/>
              <w:snapToGrid w:val="0"/>
              <w:jc w:val="center"/>
              <w:rPr>
                <w:rFonts w:hint="default" w:ascii="Times New Roman" w:hAnsi="Times New Roman" w:eastAsia="仿宋_GB2312" w:cs="Times New Roman"/>
                <w:kern w:val="0"/>
                <w:szCs w:val="21"/>
              </w:rPr>
            </w:pPr>
          </w:p>
        </w:tc>
        <w:tc>
          <w:tcPr>
            <w:tcW w:w="1191" w:type="dxa"/>
            <w:vMerge w:val="continue"/>
            <w:shd w:val="clear" w:color="auto" w:fill="auto"/>
            <w:vAlign w:val="center"/>
          </w:tcPr>
          <w:p>
            <w:pPr>
              <w:overflowPunct w:val="0"/>
              <w:adjustRightInd w:val="0"/>
              <w:snapToGrid w:val="0"/>
              <w:jc w:val="center"/>
              <w:rPr>
                <w:rFonts w:hint="default" w:ascii="Times New Roman" w:hAnsi="Times New Roman" w:eastAsia="仿宋_GB2312" w:cs="Times New Roman"/>
                <w:kern w:val="0"/>
                <w:szCs w:val="21"/>
                <w:lang w:eastAsia="zh-CN"/>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adjustRightInd w:val="0"/>
              <w:snapToGrid w:val="0"/>
              <w:jc w:val="center"/>
              <w:rPr>
                <w:rFonts w:hint="default" w:ascii="Times New Roman" w:hAnsi="Times New Roman" w:eastAsia="仿宋_GB2312" w:cs="Times New Roman"/>
                <w:color w:val="000000" w:themeColor="text1"/>
                <w:szCs w:val="21"/>
                <w:shd w:val="clear" w:color="auto" w:fill="FFFFFF"/>
              </w:rPr>
            </w:pPr>
            <w:r>
              <w:rPr>
                <w:rStyle w:val="20"/>
                <w:rFonts w:hint="eastAsia" w:ascii="Times New Roman" w:cs="Times New Roman"/>
                <w:b w:val="0"/>
                <w:bCs w:val="0"/>
                <w:sz w:val="21"/>
                <w:szCs w:val="21"/>
                <w:lang w:eastAsia="zh-CN" w:bidi="ar"/>
              </w:rPr>
              <w:t>重点领域机构编制得到保障</w:t>
            </w:r>
          </w:p>
        </w:tc>
        <w:tc>
          <w:tcPr>
            <w:tcW w:w="1302" w:type="dxa"/>
            <w:shd w:val="clear" w:color="auto" w:fill="auto"/>
            <w:vAlign w:val="center"/>
          </w:tcPr>
          <w:p>
            <w:pPr>
              <w:overflowPunct w:val="0"/>
              <w:adjustRightInd w:val="0"/>
              <w:snapToGrid w:val="0"/>
              <w:jc w:val="left"/>
              <w:rPr>
                <w:rFonts w:hint="default" w:ascii="Times New Roman" w:hAnsi="Times New Roman" w:eastAsia="仿宋_GB2312" w:cs="Times New Roman"/>
                <w:color w:val="000000"/>
                <w:sz w:val="21"/>
                <w:szCs w:val="21"/>
                <w:lang w:val="en-US" w:eastAsia="zh-CN" w:bidi="ar"/>
              </w:rPr>
            </w:pPr>
            <w:r>
              <w:rPr>
                <w:rFonts w:hint="eastAsia" w:ascii="仿宋_GB2312" w:hAnsi="仿宋_GB2312" w:eastAsia="仿宋_GB2312" w:cs="仿宋_GB2312"/>
                <w:color w:val="000000"/>
                <w:sz w:val="21"/>
                <w:szCs w:val="21"/>
              </w:rPr>
              <w:t>达到目标值得满分，否则不得分。</w:t>
            </w:r>
          </w:p>
        </w:tc>
        <w:tc>
          <w:tcPr>
            <w:tcW w:w="1187" w:type="dxa"/>
            <w:shd w:val="clear" w:color="auto" w:fill="auto"/>
            <w:vAlign w:val="center"/>
          </w:tcPr>
          <w:p>
            <w:pPr>
              <w:adjustRightInd w:val="0"/>
              <w:snapToGrid w:val="0"/>
              <w:jc w:val="left"/>
              <w:rPr>
                <w:rFonts w:hint="default" w:ascii="Times New Roman" w:hAnsi="Times New Roman" w:eastAsia="仿宋_GB2312" w:cs="Times New Roman"/>
                <w:color w:val="000000" w:themeColor="text1"/>
                <w:szCs w:val="21"/>
                <w:shd w:val="clear" w:color="auto" w:fill="FFFFFF"/>
              </w:rPr>
            </w:pPr>
            <w:r>
              <w:rPr>
                <w:rStyle w:val="20"/>
                <w:rFonts w:hint="eastAsia" w:ascii="Times New Roman" w:cs="Times New Roman"/>
                <w:b w:val="0"/>
                <w:bCs w:val="0"/>
                <w:sz w:val="21"/>
                <w:szCs w:val="21"/>
                <w:lang w:eastAsia="zh-CN" w:bidi="ar"/>
              </w:rPr>
              <w:t>重点领域机构编制得到保障</w:t>
            </w:r>
          </w:p>
        </w:tc>
        <w:tc>
          <w:tcPr>
            <w:tcW w:w="535" w:type="dxa"/>
            <w:shd w:val="clear" w:color="auto" w:fill="auto"/>
            <w:vAlign w:val="center"/>
          </w:tcPr>
          <w:p>
            <w:pPr>
              <w:adjustRightInd w:val="0"/>
              <w:snapToGrid w:val="0"/>
              <w:jc w:val="center"/>
              <w:rPr>
                <w:rFonts w:hint="default" w:ascii="Times New Roman" w:hAnsi="Times New Roman" w:eastAsia="仿宋_GB2312" w:cs="Times New Roman"/>
                <w:color w:val="000000" w:themeColor="text1"/>
                <w:kern w:val="0"/>
                <w:szCs w:val="21"/>
                <w:lang w:eastAsia="zh-CN"/>
              </w:rPr>
            </w:pPr>
            <w:r>
              <w:rPr>
                <w:rFonts w:eastAsia="仿宋_GB2312"/>
                <w:color w:val="000000" w:themeColor="text1"/>
                <w:kern w:val="0"/>
                <w:szCs w:val="21"/>
              </w:rPr>
              <w:t>≥</w:t>
            </w:r>
          </w:p>
        </w:tc>
        <w:tc>
          <w:tcPr>
            <w:tcW w:w="428" w:type="dxa"/>
            <w:shd w:val="clear" w:color="auto" w:fill="auto"/>
            <w:vAlign w:val="center"/>
          </w:tcPr>
          <w:p>
            <w:pPr>
              <w:adjustRightInd w:val="0"/>
              <w:snapToGrid w:val="0"/>
              <w:jc w:val="center"/>
              <w:rPr>
                <w:rFonts w:hint="default" w:ascii="Times New Roman" w:hAnsi="Times New Roman" w:eastAsia="仿宋_GB2312" w:cs="Times New Roman"/>
                <w:color w:val="000000" w:themeColor="text1"/>
                <w:kern w:val="0"/>
                <w:szCs w:val="21"/>
                <w:lang w:eastAsia="zh-CN"/>
              </w:rPr>
            </w:pPr>
            <w:r>
              <w:rPr>
                <w:rFonts w:hint="eastAsia" w:eastAsia="仿宋_GB2312"/>
                <w:kern w:val="0"/>
                <w:szCs w:val="21"/>
                <w:lang w:val="en-US" w:eastAsia="zh-CN"/>
              </w:rPr>
              <w:t>100</w:t>
            </w:r>
          </w:p>
        </w:tc>
        <w:tc>
          <w:tcPr>
            <w:tcW w:w="442" w:type="dxa"/>
            <w:shd w:val="clear" w:color="auto" w:fill="auto"/>
            <w:vAlign w:val="center"/>
          </w:tcPr>
          <w:p>
            <w:pPr>
              <w:adjustRightInd w:val="0"/>
              <w:snapToGrid w:val="0"/>
              <w:jc w:val="center"/>
              <w:rPr>
                <w:rFonts w:hint="default" w:ascii="Times New Roman" w:hAnsi="Times New Roman" w:eastAsia="仿宋_GB2312" w:cs="Times New Roman"/>
                <w:color w:val="000000" w:themeColor="text1"/>
                <w:kern w:val="0"/>
                <w:szCs w:val="21"/>
                <w:lang w:eastAsia="zh-CN"/>
              </w:rPr>
            </w:pPr>
            <w:r>
              <w:rPr>
                <w:rFonts w:hint="eastAsia" w:eastAsia="仿宋_GB2312" w:cs="Times New Roman"/>
                <w:color w:val="000000" w:themeColor="text1"/>
                <w:kern w:val="0"/>
                <w:szCs w:val="21"/>
                <w:lang w:val="en-US" w:eastAsia="zh-CN"/>
              </w:rPr>
              <w:t>%</w:t>
            </w:r>
          </w:p>
        </w:tc>
        <w:tc>
          <w:tcPr>
            <w:tcW w:w="1375" w:type="dxa"/>
            <w:shd w:val="clear" w:color="auto" w:fill="auto"/>
            <w:vAlign w:val="center"/>
          </w:tcPr>
          <w:p>
            <w:pPr>
              <w:adjustRightInd w:val="0"/>
              <w:snapToGrid w:val="0"/>
              <w:jc w:val="center"/>
              <w:rPr>
                <w:rFonts w:hint="default" w:ascii="Times New Roman" w:hAnsi="Times New Roman" w:eastAsia="仿宋_GB2312" w:cs="Times New Roman"/>
                <w:color w:val="000000" w:themeColor="text1"/>
                <w:kern w:val="0"/>
                <w:szCs w:val="21"/>
                <w:lang w:eastAsia="zh-CN"/>
              </w:rPr>
            </w:pPr>
            <w:r>
              <w:rPr>
                <w:rFonts w:hint="eastAsia" w:eastAsia="仿宋_GB2312"/>
                <w:color w:val="000000"/>
                <w:sz w:val="21"/>
                <w:szCs w:val="21"/>
                <w:lang w:eastAsia="zh-CN" w:bidi="ar"/>
              </w:rPr>
              <w:t>年度工作总结及形成的相关文件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75" w:type="dxa"/>
            <w:vMerge w:val="continue"/>
            <w:shd w:val="clear" w:color="auto" w:fill="auto"/>
            <w:vAlign w:val="center"/>
          </w:tcPr>
          <w:p>
            <w:pPr>
              <w:overflowPunct w:val="0"/>
              <w:adjustRightInd w:val="0"/>
              <w:snapToGrid w:val="0"/>
              <w:jc w:val="center"/>
              <w:rPr>
                <w:rFonts w:hint="default" w:ascii="Times New Roman" w:hAnsi="Times New Roman" w:eastAsia="仿宋_GB2312" w:cs="Times New Roman"/>
                <w:kern w:val="0"/>
                <w:szCs w:val="21"/>
              </w:rPr>
            </w:pPr>
          </w:p>
        </w:tc>
        <w:tc>
          <w:tcPr>
            <w:tcW w:w="1191" w:type="dxa"/>
            <w:vMerge w:val="continue"/>
            <w:shd w:val="clear" w:color="auto" w:fill="auto"/>
            <w:vAlign w:val="center"/>
          </w:tcPr>
          <w:p>
            <w:pPr>
              <w:overflowPunct w:val="0"/>
              <w:adjustRightInd w:val="0"/>
              <w:snapToGrid w:val="0"/>
              <w:jc w:val="center"/>
              <w:rPr>
                <w:rFonts w:hint="default" w:ascii="Times New Roman" w:hAnsi="Times New Roman" w:eastAsia="仿宋_GB2312" w:cs="Times New Roman"/>
                <w:kern w:val="0"/>
                <w:szCs w:val="21"/>
                <w:lang w:eastAsia="zh-CN"/>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adjustRightInd w:val="0"/>
              <w:snapToGrid w:val="0"/>
              <w:jc w:val="center"/>
              <w:rPr>
                <w:rFonts w:hint="default" w:ascii="Times New Roman" w:hAnsi="Times New Roman" w:eastAsia="仿宋_GB2312" w:cs="Times New Roman"/>
                <w:color w:val="000000" w:themeColor="text1"/>
                <w:szCs w:val="21"/>
                <w:shd w:val="clear" w:color="auto" w:fill="FFFFFF"/>
              </w:rPr>
            </w:pPr>
            <w:r>
              <w:rPr>
                <w:rStyle w:val="20"/>
                <w:rFonts w:hint="default" w:ascii="Times New Roman" w:hAnsi="Times New Roman" w:cs="Times New Roman"/>
                <w:b w:val="0"/>
                <w:bCs w:val="0"/>
                <w:sz w:val="21"/>
                <w:szCs w:val="21"/>
                <w:lang w:eastAsia="zh-CN" w:bidi="ar"/>
              </w:rPr>
              <w:t>市直机关事业单位中文域名正常使用</w:t>
            </w:r>
          </w:p>
        </w:tc>
        <w:tc>
          <w:tcPr>
            <w:tcW w:w="1302" w:type="dxa"/>
            <w:shd w:val="clear" w:color="auto" w:fill="auto"/>
            <w:vAlign w:val="center"/>
          </w:tcPr>
          <w:p>
            <w:pPr>
              <w:overflowPunct w:val="0"/>
              <w:adjustRightInd w:val="0"/>
              <w:snapToGrid w:val="0"/>
              <w:jc w:val="left"/>
              <w:rPr>
                <w:rFonts w:hint="default" w:ascii="Times New Roman" w:hAnsi="Times New Roman" w:eastAsia="仿宋_GB2312" w:cs="Times New Roman"/>
                <w:color w:val="000000"/>
                <w:sz w:val="21"/>
                <w:szCs w:val="21"/>
                <w:lang w:val="en-US" w:eastAsia="zh-CN" w:bidi="ar"/>
              </w:rPr>
            </w:pPr>
            <w:r>
              <w:rPr>
                <w:rStyle w:val="20"/>
                <w:rFonts w:hint="default" w:ascii="Times New Roman" w:hAnsi="Times New Roman" w:cs="Times New Roman"/>
                <w:b w:val="0"/>
                <w:bCs w:val="0"/>
                <w:sz w:val="21"/>
                <w:szCs w:val="21"/>
                <w:lang w:eastAsia="zh-CN" w:bidi="ar"/>
              </w:rPr>
              <w:t>无投诉</w:t>
            </w:r>
            <w:r>
              <w:rPr>
                <w:rFonts w:hint="default" w:ascii="Times New Roman" w:hAnsi="Times New Roman" w:eastAsia="仿宋_GB2312" w:cs="Times New Roman"/>
                <w:color w:val="000000"/>
                <w:sz w:val="21"/>
                <w:szCs w:val="21"/>
                <w:lang w:val="en-US" w:eastAsia="zh-CN" w:bidi="ar"/>
              </w:rPr>
              <w:t>得满分，否则不得分。</w:t>
            </w:r>
          </w:p>
        </w:tc>
        <w:tc>
          <w:tcPr>
            <w:tcW w:w="1187" w:type="dxa"/>
            <w:shd w:val="clear" w:color="auto" w:fill="auto"/>
            <w:vAlign w:val="center"/>
          </w:tcPr>
          <w:p>
            <w:pPr>
              <w:adjustRightInd w:val="0"/>
              <w:snapToGrid w:val="0"/>
              <w:jc w:val="left"/>
              <w:rPr>
                <w:rFonts w:hint="default" w:ascii="Times New Roman" w:hAnsi="Times New Roman" w:eastAsia="仿宋_GB2312" w:cs="Times New Roman"/>
                <w:color w:val="000000" w:themeColor="text1"/>
                <w:szCs w:val="21"/>
                <w:shd w:val="clear" w:color="auto" w:fill="FFFFFF"/>
              </w:rPr>
            </w:pPr>
            <w:r>
              <w:rPr>
                <w:rFonts w:hint="default" w:ascii="Times New Roman" w:hAnsi="Times New Roman" w:eastAsia="仿宋_GB2312" w:cs="Times New Roman"/>
                <w:b w:val="0"/>
                <w:bCs w:val="0"/>
                <w:color w:val="000000"/>
                <w:sz w:val="21"/>
                <w:szCs w:val="21"/>
                <w:lang w:eastAsia="zh-CN"/>
              </w:rPr>
              <w:t>市直机关事业单位中文域名投诉</w:t>
            </w:r>
            <w:r>
              <w:rPr>
                <w:rFonts w:hint="eastAsia" w:eastAsia="仿宋_GB2312" w:cs="Times New Roman"/>
                <w:b w:val="0"/>
                <w:bCs w:val="0"/>
                <w:color w:val="000000"/>
                <w:sz w:val="21"/>
                <w:szCs w:val="21"/>
                <w:lang w:eastAsia="zh-CN"/>
              </w:rPr>
              <w:t>情况</w:t>
            </w:r>
          </w:p>
        </w:tc>
        <w:tc>
          <w:tcPr>
            <w:tcW w:w="535" w:type="dxa"/>
            <w:shd w:val="clear" w:color="auto" w:fill="auto"/>
            <w:vAlign w:val="center"/>
          </w:tcPr>
          <w:p>
            <w:pPr>
              <w:adjustRightInd w:val="0"/>
              <w:snapToGrid w:val="0"/>
              <w:jc w:val="center"/>
              <w:rPr>
                <w:rFonts w:hint="default" w:ascii="Times New Roman" w:hAnsi="Times New Roman" w:eastAsia="仿宋_GB2312" w:cs="Times New Roman"/>
                <w:color w:val="000000" w:themeColor="text1"/>
                <w:kern w:val="0"/>
                <w:szCs w:val="21"/>
                <w:lang w:eastAsia="zh-CN"/>
              </w:rPr>
            </w:pPr>
            <w:r>
              <w:rPr>
                <w:rFonts w:hint="default" w:ascii="Times New Roman" w:hAnsi="Times New Roman" w:eastAsia="仿宋_GB2312" w:cs="Times New Roman"/>
                <w:b w:val="0"/>
                <w:bCs w:val="0"/>
                <w:color w:val="000000"/>
                <w:sz w:val="21"/>
                <w:szCs w:val="21"/>
                <w:lang w:eastAsia="zh-CN"/>
              </w:rPr>
              <w:t>无投诉</w:t>
            </w:r>
          </w:p>
        </w:tc>
        <w:tc>
          <w:tcPr>
            <w:tcW w:w="428" w:type="dxa"/>
            <w:shd w:val="clear" w:color="auto" w:fill="auto"/>
            <w:vAlign w:val="center"/>
          </w:tcPr>
          <w:p>
            <w:pPr>
              <w:adjustRightInd w:val="0"/>
              <w:snapToGrid w:val="0"/>
              <w:jc w:val="center"/>
              <w:rPr>
                <w:rFonts w:hint="default" w:ascii="Times New Roman" w:hAnsi="Times New Roman" w:eastAsia="仿宋_GB2312" w:cs="Times New Roman"/>
                <w:color w:val="000000" w:themeColor="text1"/>
                <w:kern w:val="0"/>
                <w:szCs w:val="21"/>
                <w:lang w:eastAsia="zh-CN"/>
              </w:rPr>
            </w:pPr>
            <w:r>
              <w:rPr>
                <w:rFonts w:hint="default" w:ascii="Times New Roman" w:hAnsi="Times New Roman" w:eastAsia="仿宋_GB2312" w:cs="Times New Roman"/>
                <w:b w:val="0"/>
                <w:bCs w:val="0"/>
                <w:color w:val="000000"/>
                <w:sz w:val="21"/>
                <w:szCs w:val="21"/>
                <w:lang w:eastAsia="zh-CN"/>
              </w:rPr>
              <w:t>无投诉</w:t>
            </w:r>
          </w:p>
        </w:tc>
        <w:tc>
          <w:tcPr>
            <w:tcW w:w="442" w:type="dxa"/>
            <w:shd w:val="clear" w:color="auto" w:fill="auto"/>
            <w:vAlign w:val="center"/>
          </w:tcPr>
          <w:p>
            <w:pPr>
              <w:adjustRightInd w:val="0"/>
              <w:snapToGrid w:val="0"/>
              <w:jc w:val="center"/>
              <w:rPr>
                <w:rFonts w:hint="default" w:ascii="Times New Roman" w:hAnsi="Times New Roman" w:eastAsia="仿宋_GB2312" w:cs="Times New Roman"/>
                <w:color w:val="000000" w:themeColor="text1"/>
                <w:kern w:val="0"/>
                <w:szCs w:val="21"/>
                <w:lang w:eastAsia="zh-CN"/>
              </w:rPr>
            </w:pPr>
            <w:r>
              <w:rPr>
                <w:rFonts w:hint="default" w:ascii="Times New Roman" w:hAnsi="Times New Roman" w:eastAsia="仿宋_GB2312" w:cs="Times New Roman"/>
                <w:b w:val="0"/>
                <w:bCs w:val="0"/>
                <w:color w:val="000000"/>
                <w:sz w:val="21"/>
                <w:szCs w:val="21"/>
                <w:lang w:eastAsia="zh-CN"/>
              </w:rPr>
              <w:t>无投诉</w:t>
            </w:r>
          </w:p>
        </w:tc>
        <w:tc>
          <w:tcPr>
            <w:tcW w:w="1375" w:type="dxa"/>
            <w:shd w:val="clear" w:color="auto" w:fill="auto"/>
            <w:vAlign w:val="center"/>
          </w:tcPr>
          <w:p>
            <w:pPr>
              <w:adjustRightInd w:val="0"/>
              <w:snapToGrid w:val="0"/>
              <w:jc w:val="center"/>
              <w:rPr>
                <w:rFonts w:hint="default" w:ascii="Times New Roman" w:hAnsi="Times New Roman" w:eastAsia="仿宋_GB2312" w:cs="Times New Roman"/>
                <w:color w:val="000000" w:themeColor="text1"/>
                <w:kern w:val="0"/>
                <w:szCs w:val="21"/>
                <w:lang w:eastAsia="zh-CN"/>
              </w:rPr>
            </w:pPr>
            <w:r>
              <w:rPr>
                <w:rFonts w:hint="default" w:ascii="Times New Roman" w:hAnsi="Times New Roman" w:eastAsia="仿宋_GB2312" w:cs="Times New Roman"/>
                <w:color w:val="000000" w:themeColor="text1"/>
                <w:kern w:val="0"/>
                <w:szCs w:val="21"/>
                <w:lang w:eastAsia="zh-CN"/>
              </w:rPr>
              <w:t>相关资料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75" w:type="dxa"/>
            <w:vMerge w:val="continue"/>
            <w:vAlign w:val="center"/>
          </w:tcPr>
          <w:p>
            <w:pPr>
              <w:overflowPunct w:val="0"/>
              <w:rPr>
                <w:rFonts w:hint="default" w:ascii="Times New Roman" w:hAnsi="Times New Roman" w:cs="Times New Roman"/>
              </w:rPr>
            </w:pPr>
          </w:p>
        </w:tc>
        <w:tc>
          <w:tcPr>
            <w:tcW w:w="1191" w:type="dxa"/>
            <w:vAlign w:val="center"/>
          </w:tcPr>
          <w:p>
            <w:pPr>
              <w:overflowPunct w:val="0"/>
              <w:jc w:val="center"/>
              <w:rPr>
                <w:rFonts w:hint="default" w:ascii="Times New Roman" w:hAnsi="Times New Roman" w:cs="Times New Roman"/>
              </w:rPr>
            </w:pPr>
            <w:r>
              <w:rPr>
                <w:rFonts w:hint="default" w:ascii="Times New Roman" w:hAnsi="Times New Roman" w:eastAsia="仿宋_GB2312" w:cs="Times New Roman"/>
                <w:kern w:val="0"/>
                <w:szCs w:val="21"/>
              </w:rPr>
              <w:t>满意度</w:t>
            </w: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val="0"/>
              <w:adjustRightInd w:val="0"/>
              <w:snapToGrid w:val="0"/>
              <w:jc w:val="center"/>
              <w:rPr>
                <w:rFonts w:hint="default" w:ascii="Times New Roman" w:hAnsi="Times New Roman" w:eastAsia="仿宋_GB2312" w:cs="Times New Roman"/>
                <w:kern w:val="0"/>
                <w:szCs w:val="21"/>
              </w:rPr>
            </w:pPr>
            <w:r>
              <w:rPr>
                <w:rStyle w:val="20"/>
                <w:rFonts w:hint="default" w:ascii="Times New Roman" w:hAnsi="Times New Roman" w:cs="Times New Roman"/>
                <w:color w:val="000000" w:themeColor="text1"/>
                <w:sz w:val="21"/>
                <w:szCs w:val="21"/>
              </w:rPr>
              <w:t>服务对象满意度</w:t>
            </w:r>
          </w:p>
        </w:tc>
        <w:tc>
          <w:tcPr>
            <w:tcW w:w="1302" w:type="dxa"/>
            <w:shd w:val="clear" w:color="auto" w:fill="auto"/>
            <w:vAlign w:val="center"/>
          </w:tcPr>
          <w:p>
            <w:pPr>
              <w:overflowPunct w:val="0"/>
              <w:adjustRightInd w:val="0"/>
              <w:snapToGrid w:val="0"/>
              <w:jc w:val="left"/>
              <w:rPr>
                <w:rFonts w:hint="default" w:ascii="Times New Roman" w:hAnsi="Times New Roman" w:eastAsia="仿宋_GB2312" w:cs="Times New Roman"/>
                <w:kern w:val="0"/>
                <w:szCs w:val="21"/>
              </w:rPr>
            </w:pPr>
            <w:r>
              <w:rPr>
                <w:rFonts w:eastAsia="仿宋_GB2312"/>
                <w:color w:val="000000" w:themeColor="text1"/>
                <w:szCs w:val="21"/>
              </w:rPr>
              <w:t>达到目标得权重分的100%，每降低5%扣减权重分的10%，低于60%不得分</w:t>
            </w:r>
          </w:p>
        </w:tc>
        <w:tc>
          <w:tcPr>
            <w:tcW w:w="1187" w:type="dxa"/>
            <w:shd w:val="clear" w:color="auto" w:fill="auto"/>
            <w:vAlign w:val="center"/>
          </w:tcPr>
          <w:p>
            <w:pPr>
              <w:adjustRightInd w:val="0"/>
              <w:snapToGrid w:val="0"/>
              <w:jc w:val="left"/>
              <w:rPr>
                <w:rFonts w:hint="default" w:ascii="Times New Roman" w:hAnsi="Times New Roman" w:eastAsia="仿宋_GB2312" w:cs="Times New Roman"/>
                <w:kern w:val="0"/>
                <w:szCs w:val="21"/>
              </w:rPr>
            </w:pPr>
            <w:r>
              <w:rPr>
                <w:rStyle w:val="20"/>
                <w:rFonts w:hint="default" w:ascii="Times New Roman" w:hAnsi="Times New Roman" w:cs="Times New Roman"/>
                <w:color w:val="000000" w:themeColor="text1"/>
                <w:sz w:val="21"/>
                <w:szCs w:val="21"/>
              </w:rPr>
              <w:t>服务对象对</w:t>
            </w:r>
            <w:r>
              <w:rPr>
                <w:rStyle w:val="20"/>
                <w:rFonts w:hint="eastAsia" w:ascii="Times New Roman" w:hAnsi="Times New Roman" w:eastAsia="仿宋_GB2312" w:cs="Times New Roman"/>
                <w:color w:val="000000" w:themeColor="text1"/>
                <w:sz w:val="21"/>
                <w:szCs w:val="21"/>
                <w:lang w:eastAsia="zh-CN"/>
              </w:rPr>
              <w:t>单位</w:t>
            </w:r>
            <w:r>
              <w:rPr>
                <w:rStyle w:val="20"/>
                <w:rFonts w:hint="default" w:ascii="Times New Roman" w:hAnsi="Times New Roman" w:cs="Times New Roman"/>
                <w:color w:val="000000" w:themeColor="text1"/>
                <w:sz w:val="21"/>
                <w:szCs w:val="21"/>
              </w:rPr>
              <w:t>整体工作效果的满意度</w:t>
            </w:r>
          </w:p>
        </w:tc>
        <w:tc>
          <w:tcPr>
            <w:tcW w:w="535" w:type="dxa"/>
            <w:shd w:val="clear" w:color="auto" w:fill="auto"/>
            <w:vAlign w:val="center"/>
          </w:tcPr>
          <w:p>
            <w:pPr>
              <w:widowControl/>
              <w:adjustRightInd w:val="0"/>
              <w:snapToGrid w:val="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color w:val="000000" w:themeColor="text1"/>
                <w:kern w:val="0"/>
                <w:szCs w:val="21"/>
              </w:rPr>
              <w:t>≥</w:t>
            </w:r>
          </w:p>
        </w:tc>
        <w:tc>
          <w:tcPr>
            <w:tcW w:w="428" w:type="dxa"/>
            <w:shd w:val="clear" w:color="auto" w:fill="auto"/>
            <w:vAlign w:val="center"/>
          </w:tcPr>
          <w:p>
            <w:pPr>
              <w:widowControl/>
              <w:adjustRightInd w:val="0"/>
              <w:snapToGrid w:val="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color w:val="000000" w:themeColor="text1"/>
                <w:szCs w:val="21"/>
              </w:rPr>
              <w:t>9</w:t>
            </w:r>
            <w:r>
              <w:rPr>
                <w:rFonts w:hint="default" w:ascii="Times New Roman" w:hAnsi="Times New Roman" w:eastAsia="仿宋_GB2312" w:cs="Times New Roman"/>
                <w:color w:val="000000" w:themeColor="text1"/>
                <w:szCs w:val="21"/>
                <w:lang w:val="en-US" w:eastAsia="zh-CN"/>
              </w:rPr>
              <w:t>5</w:t>
            </w:r>
          </w:p>
        </w:tc>
        <w:tc>
          <w:tcPr>
            <w:tcW w:w="442" w:type="dxa"/>
            <w:shd w:val="clear" w:color="auto" w:fill="auto"/>
            <w:vAlign w:val="center"/>
          </w:tcPr>
          <w:p>
            <w:pPr>
              <w:widowControl/>
              <w:adjustRightInd w:val="0"/>
              <w:snapToGrid w:val="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color w:val="000000" w:themeColor="text1"/>
                <w:szCs w:val="21"/>
              </w:rPr>
              <w:t>%</w:t>
            </w:r>
          </w:p>
        </w:tc>
        <w:tc>
          <w:tcPr>
            <w:tcW w:w="1375" w:type="dxa"/>
            <w:shd w:val="clear" w:color="auto" w:fill="auto"/>
            <w:vAlign w:val="center"/>
          </w:tcPr>
          <w:p>
            <w:pPr>
              <w:widowControl/>
              <w:adjustRightInd w:val="0"/>
              <w:snapToGrid w:val="0"/>
              <w:rPr>
                <w:rFonts w:hint="default" w:ascii="Times New Roman" w:hAnsi="Times New Roman" w:eastAsia="仿宋_GB2312" w:cs="Times New Roman"/>
                <w:kern w:val="0"/>
                <w:szCs w:val="21"/>
              </w:rPr>
            </w:pPr>
            <w:r>
              <w:rPr>
                <w:rFonts w:hint="default" w:ascii="Times New Roman" w:hAnsi="Times New Roman" w:eastAsia="仿宋_GB2312" w:cs="Times New Roman"/>
                <w:color w:val="000000" w:themeColor="text1"/>
                <w:kern w:val="0"/>
                <w:szCs w:val="21"/>
              </w:rPr>
              <w:t>调查问卷</w:t>
            </w:r>
          </w:p>
        </w:tc>
      </w:tr>
    </w:tbl>
    <w:p>
      <w:pPr>
        <w:spacing w:line="584" w:lineRule="exact"/>
        <w:rPr>
          <w:rFonts w:ascii="仿宋_GB2312" w:eastAsia="仿宋_GB2312" w:cs="Times New Roman"/>
          <w:sz w:val="32"/>
          <w:szCs w:val="32"/>
        </w:rPr>
      </w:pPr>
    </w:p>
    <w:p>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第二部分 资金绩效目标</w:t>
      </w:r>
    </w:p>
    <w:p>
      <w:pPr>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1.</w:t>
      </w:r>
      <w:bookmarkStart w:id="0" w:name="_Toc29799657"/>
      <w:bookmarkEnd w:id="0"/>
      <w:r>
        <w:rPr>
          <w:rFonts w:hint="eastAsia" w:ascii="Times New Roman" w:hAnsi="Times New Roman" w:eastAsia="仿宋_GB2312" w:cs="Times New Roman"/>
          <w:sz w:val="28"/>
        </w:rPr>
        <w:t>机构编制工作经费</w:t>
      </w:r>
      <w:r>
        <w:rPr>
          <w:rFonts w:ascii="Times New Roman" w:hAnsi="Times New Roman" w:eastAsia="仿宋_GB2312" w:cs="Times New Roman"/>
          <w:sz w:val="28"/>
        </w:rPr>
        <w:t>绩效目标表</w:t>
      </w:r>
    </w:p>
    <w:p>
      <w:pPr>
        <w:spacing w:line="14" w:lineRule="exact"/>
        <w:ind w:firstLine="420" w:firstLineChars="200"/>
        <w:jc w:val="center"/>
        <w:rPr>
          <w:rFonts w:ascii="Times New Roman" w:hAnsi="Times New Roman" w:eastAsia="仿宋_GB2312" w:cs="Times New Roman"/>
        </w:rPr>
      </w:pPr>
    </w:p>
    <w:tbl>
      <w:tblPr>
        <w:tblStyle w:val="9"/>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pPr>
              <w:spacing w:line="300" w:lineRule="exact"/>
              <w:rPr>
                <w:rFonts w:ascii="Times New Roman" w:hAnsi="Times New Roman" w:eastAsia="仿宋_GB2312" w:cs="Times New Roman"/>
                <w:b/>
              </w:rPr>
            </w:pPr>
            <w:r>
              <w:rPr>
                <w:rFonts w:hint="eastAsia" w:eastAsia="仿宋_GB2312"/>
                <w:kern w:val="0"/>
                <w:szCs w:val="21"/>
              </w:rPr>
              <w:t>通过项目的开展实现202</w:t>
            </w:r>
            <w:r>
              <w:rPr>
                <w:rFonts w:hint="eastAsia" w:eastAsia="仿宋_GB2312"/>
                <w:kern w:val="0"/>
                <w:szCs w:val="21"/>
                <w:lang w:val="en-US" w:eastAsia="zh-CN"/>
              </w:rPr>
              <w:t>2</w:t>
            </w:r>
            <w:r>
              <w:rPr>
                <w:rFonts w:hint="eastAsia" w:eastAsia="仿宋_GB2312"/>
                <w:kern w:val="0"/>
                <w:szCs w:val="21"/>
              </w:rPr>
              <w:t>年年度工作计划，确保我办</w:t>
            </w:r>
            <w:r>
              <w:rPr>
                <w:rFonts w:hint="eastAsia" w:eastAsia="仿宋_GB2312"/>
                <w:kern w:val="0"/>
                <w:szCs w:val="21"/>
                <w:lang w:eastAsia="zh-CN"/>
              </w:rPr>
              <w:t>完成</w:t>
            </w:r>
            <w:r>
              <w:rPr>
                <w:rFonts w:hint="eastAsia" w:eastAsia="仿宋_GB2312"/>
                <w:kern w:val="0"/>
                <w:szCs w:val="21"/>
              </w:rPr>
              <w:t>全年工作</w:t>
            </w:r>
            <w:r>
              <w:rPr>
                <w:rFonts w:hint="eastAsia" w:eastAsia="仿宋_GB2312"/>
                <w:kern w:val="0"/>
                <w:szCs w:val="21"/>
                <w:lang w:eastAsia="zh-CN"/>
              </w:rPr>
              <w:t>任务</w:t>
            </w:r>
            <w:r>
              <w:rPr>
                <w:rFonts w:hint="eastAsia" w:eastAsia="仿宋_GB2312"/>
                <w:kern w:val="0"/>
                <w:szCs w:val="21"/>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数量</w:t>
            </w:r>
            <w:r>
              <w:rPr>
                <w:rFonts w:hint="eastAsia" w:ascii="Times New Roman" w:hAnsi="Times New Roman" w:eastAsia="仿宋_GB2312" w:cs="Times New Roman"/>
                <w:kern w:val="0"/>
                <w:szCs w:val="21"/>
              </w:rPr>
              <w:t>指标</w:t>
            </w:r>
          </w:p>
        </w:tc>
        <w:tc>
          <w:tcPr>
            <w:tcW w:w="1985"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文件档案整理完成率</w:t>
            </w:r>
          </w:p>
        </w:tc>
        <w:tc>
          <w:tcPr>
            <w:tcW w:w="3402"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文件档案整理情况</w:t>
            </w:r>
            <w:r>
              <w:rPr>
                <w:rFonts w:ascii="Times New Roman" w:hAnsi="Times New Roman" w:eastAsia="仿宋_GB2312" w:cs="Times New Roman"/>
                <w:kern w:val="0"/>
                <w:szCs w:val="21"/>
              </w:rPr>
              <w:t>　</w:t>
            </w:r>
          </w:p>
        </w:tc>
        <w:tc>
          <w:tcPr>
            <w:tcW w:w="1843" w:type="dxa"/>
            <w:shd w:val="clear" w:color="auto" w:fill="auto"/>
            <w:vAlign w:val="center"/>
          </w:tcPr>
          <w:p>
            <w:pPr>
              <w:spacing w:line="300" w:lineRule="exact"/>
              <w:jc w:val="center"/>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档案整理明细表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tc>
        <w:tc>
          <w:tcPr>
            <w:tcW w:w="2268"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数量</w:t>
            </w:r>
            <w:r>
              <w:rPr>
                <w:rFonts w:hint="eastAsia" w:ascii="Times New Roman" w:hAnsi="Times New Roman" w:eastAsia="仿宋_GB2312" w:cs="Times New Roman"/>
                <w:kern w:val="0"/>
                <w:szCs w:val="21"/>
              </w:rPr>
              <w:t>指标</w:t>
            </w:r>
          </w:p>
        </w:tc>
        <w:tc>
          <w:tcPr>
            <w:tcW w:w="1985"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文件资料印制完成率</w:t>
            </w:r>
          </w:p>
        </w:tc>
        <w:tc>
          <w:tcPr>
            <w:tcW w:w="3402" w:type="dxa"/>
            <w:shd w:val="clear" w:color="auto" w:fill="auto"/>
            <w:vAlign w:val="center"/>
          </w:tcPr>
          <w:p>
            <w:pPr>
              <w:widowControl/>
              <w:jc w:val="center"/>
              <w:rPr>
                <w:rFonts w:ascii="Times New Roman" w:hAnsi="Times New Roman" w:eastAsia="仿宋_GB2312" w:cs="Times New Roman"/>
                <w:kern w:val="0"/>
                <w:szCs w:val="21"/>
              </w:rPr>
            </w:pPr>
            <w:r>
              <w:rPr>
                <w:rFonts w:hint="eastAsia" w:eastAsia="仿宋_GB2312"/>
                <w:kern w:val="0"/>
                <w:szCs w:val="21"/>
              </w:rPr>
              <w:t>文件资料印制</w:t>
            </w:r>
            <w:r>
              <w:rPr>
                <w:rFonts w:hint="eastAsia" w:ascii="Times New Roman" w:hAnsi="Times New Roman" w:eastAsia="仿宋_GB2312" w:cs="Times New Roman"/>
                <w:kern w:val="0"/>
                <w:szCs w:val="21"/>
              </w:rPr>
              <w:t>情况</w:t>
            </w:r>
            <w:r>
              <w:rPr>
                <w:rFonts w:ascii="Times New Roman" w:hAnsi="Times New Roman" w:eastAsia="仿宋_GB2312" w:cs="Times New Roman"/>
                <w:kern w:val="0"/>
                <w:szCs w:val="21"/>
              </w:rPr>
              <w:t>　</w:t>
            </w:r>
          </w:p>
        </w:tc>
        <w:tc>
          <w:tcPr>
            <w:tcW w:w="1843" w:type="dxa"/>
            <w:shd w:val="clear" w:color="auto" w:fill="auto"/>
          </w:tcPr>
          <w:p>
            <w:pPr>
              <w:spacing w:line="300" w:lineRule="exact"/>
              <w:jc w:val="center"/>
            </w:pPr>
            <w:r>
              <w:rPr>
                <w:rFonts w:hint="eastAsia" w:ascii="Times New Roman" w:hAnsi="Times New Roman" w:eastAsia="仿宋_GB2312" w:cs="Times New Roman"/>
              </w:rPr>
              <w:t>100%</w:t>
            </w:r>
          </w:p>
        </w:tc>
        <w:tc>
          <w:tcPr>
            <w:tcW w:w="2155" w:type="dxa"/>
            <w:shd w:val="clear" w:color="auto" w:fill="auto"/>
            <w:vAlign w:val="center"/>
          </w:tcPr>
          <w:p>
            <w:pPr>
              <w:widowControl/>
              <w:jc w:val="center"/>
              <w:rPr>
                <w:rFonts w:ascii="Times New Roman" w:hAnsi="Times New Roman" w:eastAsia="仿宋_GB2312" w:cs="Times New Roman"/>
                <w:kern w:val="0"/>
                <w:szCs w:val="21"/>
              </w:rPr>
            </w:pPr>
            <w:r>
              <w:rPr>
                <w:rFonts w:hint="eastAsia" w:eastAsia="仿宋_GB2312"/>
                <w:kern w:val="0"/>
                <w:szCs w:val="21"/>
              </w:rPr>
              <w:t>文件印刷明细表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tc>
        <w:tc>
          <w:tcPr>
            <w:tcW w:w="2268"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数量</w:t>
            </w:r>
            <w:r>
              <w:rPr>
                <w:rFonts w:hint="eastAsia" w:ascii="Times New Roman" w:hAnsi="Times New Roman" w:eastAsia="仿宋_GB2312" w:cs="Times New Roman"/>
                <w:kern w:val="0"/>
                <w:szCs w:val="21"/>
              </w:rPr>
              <w:t>指标</w:t>
            </w:r>
          </w:p>
        </w:tc>
        <w:tc>
          <w:tcPr>
            <w:tcW w:w="1985"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调研</w:t>
            </w:r>
            <w:r>
              <w:rPr>
                <w:rFonts w:hint="eastAsia" w:ascii="Times New Roman" w:hAnsi="Times New Roman" w:eastAsia="仿宋_GB2312" w:cs="Times New Roman"/>
                <w:kern w:val="0"/>
                <w:szCs w:val="21"/>
                <w:lang w:eastAsia="zh-CN"/>
              </w:rPr>
              <w:t>成果</w:t>
            </w:r>
            <w:r>
              <w:rPr>
                <w:rFonts w:hint="eastAsia" w:ascii="Times New Roman" w:hAnsi="Times New Roman" w:eastAsia="仿宋_GB2312" w:cs="Times New Roman"/>
                <w:kern w:val="0"/>
                <w:szCs w:val="21"/>
              </w:rPr>
              <w:t>完成率</w:t>
            </w:r>
          </w:p>
        </w:tc>
        <w:tc>
          <w:tcPr>
            <w:tcW w:w="3402" w:type="dxa"/>
            <w:shd w:val="clear" w:color="auto" w:fill="auto"/>
            <w:vAlign w:val="center"/>
          </w:tcPr>
          <w:p>
            <w:pPr>
              <w:widowControl/>
              <w:jc w:val="center"/>
              <w:rPr>
                <w:rFonts w:eastAsia="仿宋_GB2312"/>
                <w:kern w:val="0"/>
                <w:szCs w:val="21"/>
              </w:rPr>
            </w:pPr>
            <w:r>
              <w:rPr>
                <w:rFonts w:hint="eastAsia" w:eastAsia="仿宋_GB2312"/>
                <w:kern w:val="0"/>
                <w:szCs w:val="21"/>
              </w:rPr>
              <w:t>形成的调研报告完成率</w:t>
            </w:r>
          </w:p>
        </w:tc>
        <w:tc>
          <w:tcPr>
            <w:tcW w:w="1843" w:type="dxa"/>
            <w:shd w:val="clear" w:color="auto" w:fill="auto"/>
          </w:tcPr>
          <w:p>
            <w:pPr>
              <w:jc w:val="center"/>
            </w:pPr>
            <w:r>
              <w:rPr>
                <w:rFonts w:hint="eastAsia" w:ascii="Times New Roman" w:hAnsi="Times New Roman" w:eastAsia="仿宋_GB2312" w:cs="Times New Roman"/>
              </w:rPr>
              <w:t>100%</w:t>
            </w:r>
          </w:p>
        </w:tc>
        <w:tc>
          <w:tcPr>
            <w:tcW w:w="2155" w:type="dxa"/>
            <w:shd w:val="clear" w:color="auto" w:fill="auto"/>
            <w:vAlign w:val="center"/>
          </w:tcPr>
          <w:p>
            <w:pPr>
              <w:widowControl/>
              <w:jc w:val="center"/>
              <w:rPr>
                <w:rFonts w:eastAsia="仿宋_GB2312"/>
                <w:spacing w:val="-6"/>
                <w:kern w:val="0"/>
                <w:szCs w:val="21"/>
              </w:rPr>
            </w:pPr>
            <w:r>
              <w:rPr>
                <w:rFonts w:hint="eastAsia" w:eastAsia="仿宋_GB2312"/>
                <w:kern w:val="0"/>
                <w:szCs w:val="21"/>
                <w:lang w:val="en-US" w:eastAsia="zh-CN"/>
              </w:rPr>
              <w:t>调研成果相关材料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tc>
        <w:tc>
          <w:tcPr>
            <w:tcW w:w="2268"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数量</w:t>
            </w:r>
            <w:r>
              <w:rPr>
                <w:rFonts w:hint="eastAsia" w:ascii="Times New Roman" w:hAnsi="Times New Roman" w:eastAsia="仿宋_GB2312" w:cs="Times New Roman"/>
                <w:kern w:val="0"/>
                <w:szCs w:val="21"/>
              </w:rPr>
              <w:t>指标</w:t>
            </w:r>
          </w:p>
        </w:tc>
        <w:tc>
          <w:tcPr>
            <w:tcW w:w="1985"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培训完成率</w:t>
            </w:r>
          </w:p>
        </w:tc>
        <w:tc>
          <w:tcPr>
            <w:tcW w:w="3402" w:type="dxa"/>
            <w:shd w:val="clear" w:color="auto" w:fill="auto"/>
            <w:vAlign w:val="center"/>
          </w:tcPr>
          <w:p>
            <w:pPr>
              <w:widowControl/>
              <w:jc w:val="center"/>
              <w:rPr>
                <w:rFonts w:eastAsia="仿宋_GB2312"/>
                <w:kern w:val="0"/>
                <w:szCs w:val="21"/>
              </w:rPr>
            </w:pPr>
            <w:r>
              <w:rPr>
                <w:rFonts w:hint="eastAsia" w:eastAsia="仿宋_GB2312"/>
                <w:kern w:val="0"/>
                <w:szCs w:val="21"/>
              </w:rPr>
              <w:t>参加培训人员培训完成率</w:t>
            </w:r>
          </w:p>
        </w:tc>
        <w:tc>
          <w:tcPr>
            <w:tcW w:w="1843" w:type="dxa"/>
            <w:shd w:val="clear" w:color="auto" w:fill="auto"/>
          </w:tcPr>
          <w:p>
            <w:pPr>
              <w:jc w:val="center"/>
            </w:pPr>
            <w:r>
              <w:rPr>
                <w:rFonts w:hint="eastAsia" w:ascii="Times New Roman" w:hAnsi="Times New Roman" w:eastAsia="仿宋_GB2312" w:cs="Times New Roman"/>
              </w:rPr>
              <w:t>100%</w:t>
            </w:r>
          </w:p>
        </w:tc>
        <w:tc>
          <w:tcPr>
            <w:tcW w:w="2155" w:type="dxa"/>
            <w:shd w:val="clear" w:color="auto" w:fill="auto"/>
            <w:vAlign w:val="center"/>
          </w:tcPr>
          <w:p>
            <w:pPr>
              <w:widowControl/>
              <w:jc w:val="center"/>
              <w:rPr>
                <w:rFonts w:eastAsia="仿宋_GB2312"/>
                <w:kern w:val="0"/>
                <w:szCs w:val="21"/>
              </w:rPr>
            </w:pPr>
            <w:r>
              <w:rPr>
                <w:rFonts w:hint="eastAsia" w:ascii="Times New Roman" w:hAnsi="Times New Roman" w:eastAsia="仿宋_GB2312" w:cs="Times New Roman"/>
                <w:color w:val="000000" w:themeColor="text1"/>
                <w:kern w:val="0"/>
                <w:szCs w:val="21"/>
              </w:rPr>
              <w:t>签到表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tc>
        <w:tc>
          <w:tcPr>
            <w:tcW w:w="2268"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质量</w:t>
            </w:r>
            <w:r>
              <w:rPr>
                <w:rFonts w:hint="eastAsia" w:ascii="Times New Roman" w:hAnsi="Times New Roman" w:eastAsia="仿宋_GB2312" w:cs="Times New Roman"/>
                <w:kern w:val="0"/>
                <w:szCs w:val="21"/>
              </w:rPr>
              <w:t>指标</w:t>
            </w:r>
          </w:p>
        </w:tc>
        <w:tc>
          <w:tcPr>
            <w:tcW w:w="1985"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系统及网络正常运行率</w:t>
            </w:r>
          </w:p>
        </w:tc>
        <w:tc>
          <w:tcPr>
            <w:tcW w:w="3402" w:type="dxa"/>
            <w:shd w:val="clear" w:color="auto" w:fill="auto"/>
            <w:vAlign w:val="center"/>
          </w:tcPr>
          <w:p>
            <w:pPr>
              <w:widowControl/>
              <w:jc w:val="center"/>
              <w:rPr>
                <w:rFonts w:eastAsia="仿宋_GB2312"/>
                <w:kern w:val="0"/>
                <w:szCs w:val="21"/>
              </w:rPr>
            </w:pPr>
            <w:r>
              <w:rPr>
                <w:rFonts w:hint="eastAsia" w:eastAsia="仿宋_GB2312"/>
                <w:kern w:val="0"/>
                <w:szCs w:val="21"/>
              </w:rPr>
              <w:t>系统及网络正常运行情况</w:t>
            </w:r>
          </w:p>
        </w:tc>
        <w:tc>
          <w:tcPr>
            <w:tcW w:w="1843" w:type="dxa"/>
            <w:shd w:val="clear" w:color="auto" w:fill="auto"/>
            <w:vAlign w:val="center"/>
          </w:tcPr>
          <w:p>
            <w:pPr>
              <w:spacing w:line="360" w:lineRule="auto"/>
              <w:jc w:val="center"/>
              <w:rPr>
                <w:rFonts w:ascii="Times New Roman" w:hAnsi="Times New Roman" w:eastAsia="仿宋_GB2312" w:cs="Times New Roman"/>
              </w:rPr>
            </w:pPr>
            <w:r>
              <w:rPr>
                <w:rFonts w:hint="eastAsia" w:ascii="Times New Roman" w:hAnsi="Times New Roman" w:eastAsia="仿宋_GB2312" w:cs="Times New Roman"/>
              </w:rPr>
              <w:t>≥95%</w:t>
            </w:r>
          </w:p>
        </w:tc>
        <w:tc>
          <w:tcPr>
            <w:tcW w:w="2155"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color w:val="000000"/>
                <w:kern w:val="0"/>
                <w:szCs w:val="21"/>
                <w:lang w:val="en-US" w:eastAsia="zh-CN"/>
              </w:rPr>
              <w:t>使用情况随机抽查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tc>
        <w:tc>
          <w:tcPr>
            <w:tcW w:w="2268"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质量</w:t>
            </w:r>
            <w:r>
              <w:rPr>
                <w:rFonts w:hint="eastAsia" w:ascii="Times New Roman" w:hAnsi="Times New Roman" w:eastAsia="仿宋_GB2312" w:cs="Times New Roman"/>
                <w:kern w:val="0"/>
                <w:szCs w:val="21"/>
              </w:rPr>
              <w:t>指标</w:t>
            </w:r>
          </w:p>
        </w:tc>
        <w:tc>
          <w:tcPr>
            <w:tcW w:w="1985"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文件档案整理合格率</w:t>
            </w:r>
          </w:p>
        </w:tc>
        <w:tc>
          <w:tcPr>
            <w:tcW w:w="3402" w:type="dxa"/>
            <w:shd w:val="clear" w:color="auto" w:fill="auto"/>
            <w:vAlign w:val="center"/>
          </w:tcPr>
          <w:p>
            <w:pPr>
              <w:widowControl/>
              <w:jc w:val="center"/>
              <w:rPr>
                <w:rFonts w:eastAsia="仿宋_GB2312"/>
                <w:kern w:val="0"/>
                <w:szCs w:val="21"/>
              </w:rPr>
            </w:pPr>
            <w:r>
              <w:rPr>
                <w:rFonts w:hint="eastAsia" w:eastAsia="仿宋_GB2312"/>
                <w:kern w:val="0"/>
                <w:szCs w:val="21"/>
              </w:rPr>
              <w:t>达到验收标准</w:t>
            </w:r>
          </w:p>
        </w:tc>
        <w:tc>
          <w:tcPr>
            <w:tcW w:w="1843" w:type="dxa"/>
            <w:shd w:val="clear" w:color="auto" w:fill="auto"/>
            <w:vAlign w:val="center"/>
          </w:tcPr>
          <w:p>
            <w:pPr>
              <w:spacing w:line="300" w:lineRule="exact"/>
              <w:jc w:val="center"/>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验收单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tc>
        <w:tc>
          <w:tcPr>
            <w:tcW w:w="2268"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时效</w:t>
            </w:r>
            <w:r>
              <w:rPr>
                <w:rFonts w:hint="eastAsia" w:ascii="Times New Roman" w:hAnsi="Times New Roman" w:eastAsia="仿宋_GB2312" w:cs="Times New Roman"/>
                <w:kern w:val="0"/>
                <w:szCs w:val="21"/>
              </w:rPr>
              <w:t>指标</w:t>
            </w:r>
          </w:p>
        </w:tc>
        <w:tc>
          <w:tcPr>
            <w:tcW w:w="1985"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按照工作计划完成</w:t>
            </w:r>
          </w:p>
        </w:tc>
        <w:tc>
          <w:tcPr>
            <w:tcW w:w="3402" w:type="dxa"/>
            <w:shd w:val="clear" w:color="auto" w:fill="auto"/>
            <w:vAlign w:val="center"/>
          </w:tcPr>
          <w:p>
            <w:pPr>
              <w:widowControl/>
              <w:jc w:val="center"/>
              <w:rPr>
                <w:rFonts w:ascii="Times New Roman" w:hAnsi="Times New Roman" w:eastAsia="仿宋_GB2312" w:cs="Times New Roman"/>
                <w:kern w:val="0"/>
                <w:szCs w:val="21"/>
              </w:rPr>
            </w:pPr>
            <w:r>
              <w:rPr>
                <w:rFonts w:hint="eastAsia" w:eastAsia="仿宋_GB2312"/>
                <w:kern w:val="0"/>
                <w:szCs w:val="21"/>
              </w:rPr>
              <w:t>按照工作计划完成</w:t>
            </w:r>
          </w:p>
        </w:tc>
        <w:tc>
          <w:tcPr>
            <w:tcW w:w="1843" w:type="dxa"/>
            <w:shd w:val="clear" w:color="auto" w:fill="auto"/>
            <w:vAlign w:val="center"/>
          </w:tcPr>
          <w:p>
            <w:pPr>
              <w:spacing w:line="300" w:lineRule="exact"/>
              <w:jc w:val="center"/>
              <w:rPr>
                <w:rFonts w:ascii="Times New Roman" w:hAnsi="Times New Roman" w:eastAsia="仿宋_GB2312" w:cs="Times New Roman"/>
              </w:rPr>
            </w:pPr>
            <w:r>
              <w:rPr>
                <w:rFonts w:hint="eastAsia" w:ascii="Times New Roman" w:hAnsi="Times New Roman" w:eastAsia="仿宋_GB2312" w:cs="Times New Roman"/>
              </w:rPr>
              <w:t>及时</w:t>
            </w:r>
          </w:p>
        </w:tc>
        <w:tc>
          <w:tcPr>
            <w:tcW w:w="2155" w:type="dxa"/>
            <w:shd w:val="clear" w:color="auto" w:fill="auto"/>
            <w:vAlign w:val="center"/>
          </w:tcPr>
          <w:p>
            <w:pPr>
              <w:widowControl/>
              <w:jc w:val="center"/>
              <w:rPr>
                <w:rFonts w:ascii="Times New Roman" w:hAnsi="Times New Roman" w:eastAsia="仿宋_GB2312" w:cs="Times New Roman"/>
                <w:kern w:val="0"/>
                <w:szCs w:val="21"/>
              </w:rPr>
            </w:pPr>
            <w:r>
              <w:rPr>
                <w:rFonts w:eastAsia="仿宋_GB2312"/>
                <w:kern w:val="0"/>
                <w:szCs w:val="21"/>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tc>
        <w:tc>
          <w:tcPr>
            <w:tcW w:w="2268"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成本</w:t>
            </w:r>
            <w:r>
              <w:rPr>
                <w:rFonts w:hint="eastAsia" w:ascii="Times New Roman" w:hAnsi="Times New Roman" w:eastAsia="仿宋_GB2312" w:cs="Times New Roman"/>
                <w:kern w:val="0"/>
                <w:szCs w:val="21"/>
              </w:rPr>
              <w:t>指标</w:t>
            </w:r>
          </w:p>
        </w:tc>
        <w:tc>
          <w:tcPr>
            <w:tcW w:w="1985"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成本吻合度</w:t>
            </w:r>
            <w:r>
              <w:rPr>
                <w:rFonts w:ascii="Times New Roman" w:hAnsi="Times New Roman" w:eastAsia="仿宋_GB2312" w:cs="Times New Roman"/>
                <w:kern w:val="0"/>
                <w:szCs w:val="21"/>
              </w:rPr>
              <w:t>　</w:t>
            </w:r>
          </w:p>
        </w:tc>
        <w:tc>
          <w:tcPr>
            <w:tcW w:w="3402" w:type="dxa"/>
            <w:shd w:val="clear" w:color="auto" w:fill="auto"/>
            <w:vAlign w:val="center"/>
          </w:tcPr>
          <w:p>
            <w:pPr>
              <w:widowControl/>
              <w:jc w:val="center"/>
              <w:rPr>
                <w:rFonts w:ascii="Times New Roman" w:hAnsi="Times New Roman" w:eastAsia="仿宋_GB2312" w:cs="Times New Roman"/>
                <w:kern w:val="0"/>
                <w:szCs w:val="21"/>
              </w:rPr>
            </w:pPr>
            <w:r>
              <w:rPr>
                <w:rFonts w:hint="eastAsia" w:eastAsia="仿宋_GB2312"/>
                <w:color w:val="000000" w:themeColor="text1"/>
                <w:kern w:val="0"/>
                <w:szCs w:val="21"/>
              </w:rPr>
              <w:t>与年初预算相符程度</w:t>
            </w:r>
            <w:r>
              <w:rPr>
                <w:rFonts w:eastAsia="仿宋_GB2312"/>
                <w:color w:val="000000" w:themeColor="text1"/>
                <w:kern w:val="0"/>
                <w:szCs w:val="21"/>
              </w:rPr>
              <w:t>　</w:t>
            </w:r>
          </w:p>
        </w:tc>
        <w:tc>
          <w:tcPr>
            <w:tcW w:w="1843" w:type="dxa"/>
            <w:shd w:val="clear" w:color="auto" w:fill="auto"/>
            <w:vAlign w:val="center"/>
          </w:tcPr>
          <w:p>
            <w:pPr>
              <w:spacing w:line="300" w:lineRule="exact"/>
              <w:jc w:val="center"/>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pPr>
              <w:widowControl/>
              <w:jc w:val="center"/>
              <w:rPr>
                <w:rFonts w:ascii="Times New Roman" w:hAnsi="Times New Roman" w:eastAsia="仿宋_GB2312" w:cs="Times New Roman"/>
                <w:kern w:val="0"/>
                <w:szCs w:val="21"/>
              </w:rPr>
            </w:pPr>
            <w:r>
              <w:rPr>
                <w:rFonts w:eastAsia="仿宋_GB2312"/>
                <w:kern w:val="0"/>
                <w:szCs w:val="21"/>
              </w:rPr>
              <w:t>财务支出凭证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社会效益</w:t>
            </w:r>
            <w:r>
              <w:rPr>
                <w:rFonts w:hint="eastAsia" w:ascii="Times New Roman" w:hAnsi="Times New Roman" w:eastAsia="仿宋_GB2312" w:cs="Times New Roman"/>
                <w:kern w:val="0"/>
                <w:szCs w:val="21"/>
              </w:rPr>
              <w:t>指标</w:t>
            </w:r>
          </w:p>
        </w:tc>
        <w:tc>
          <w:tcPr>
            <w:tcW w:w="1985" w:type="dxa"/>
            <w:shd w:val="clear" w:color="auto" w:fill="auto"/>
            <w:vAlign w:val="center"/>
          </w:tcPr>
          <w:p>
            <w:pPr>
              <w:widowControl/>
              <w:jc w:val="center"/>
              <w:rPr>
                <w:rFonts w:ascii="Times New Roman" w:hAnsi="Times New Roman" w:eastAsia="仿宋_GB2312" w:cs="Times New Roman"/>
                <w:kern w:val="0"/>
                <w:szCs w:val="21"/>
              </w:rPr>
            </w:pPr>
            <w:r>
              <w:rPr>
                <w:rFonts w:hint="eastAsia" w:eastAsia="仿宋_GB2312"/>
                <w:kern w:val="0"/>
                <w:szCs w:val="21"/>
              </w:rPr>
              <w:t>提高档案检索效率</w:t>
            </w:r>
          </w:p>
        </w:tc>
        <w:tc>
          <w:tcPr>
            <w:tcW w:w="3402" w:type="dxa"/>
            <w:shd w:val="clear" w:color="auto" w:fill="auto"/>
            <w:vAlign w:val="center"/>
          </w:tcPr>
          <w:p>
            <w:pPr>
              <w:widowControl/>
              <w:jc w:val="center"/>
              <w:rPr>
                <w:rFonts w:ascii="Times New Roman" w:hAnsi="Times New Roman" w:eastAsia="仿宋_GB2312" w:cs="Times New Roman"/>
                <w:kern w:val="0"/>
                <w:szCs w:val="21"/>
              </w:rPr>
            </w:pPr>
            <w:r>
              <w:rPr>
                <w:rFonts w:hint="eastAsia" w:eastAsia="仿宋_GB2312"/>
                <w:kern w:val="0"/>
                <w:szCs w:val="21"/>
              </w:rPr>
              <w:t>提高档案检索效率</w:t>
            </w:r>
          </w:p>
        </w:tc>
        <w:tc>
          <w:tcPr>
            <w:tcW w:w="1843" w:type="dxa"/>
            <w:shd w:val="clear" w:color="auto" w:fill="auto"/>
            <w:vAlign w:val="center"/>
          </w:tcPr>
          <w:p>
            <w:pPr>
              <w:spacing w:line="300" w:lineRule="exact"/>
              <w:jc w:val="center"/>
              <w:rPr>
                <w:rFonts w:ascii="Times New Roman" w:hAnsi="Times New Roman" w:eastAsia="仿宋_GB2312" w:cs="Times New Roman"/>
              </w:rPr>
            </w:pPr>
            <w:r>
              <w:rPr>
                <w:rFonts w:hint="eastAsia" w:ascii="Times New Roman" w:hAnsi="Times New Roman" w:eastAsia="仿宋_GB2312" w:cs="Times New Roman"/>
              </w:rPr>
              <w:t>≥50%</w:t>
            </w:r>
          </w:p>
        </w:tc>
        <w:tc>
          <w:tcPr>
            <w:tcW w:w="2155" w:type="dxa"/>
            <w:shd w:val="clear" w:color="auto" w:fill="auto"/>
            <w:vAlign w:val="center"/>
          </w:tcPr>
          <w:p>
            <w:pPr>
              <w:widowControl/>
              <w:jc w:val="center"/>
              <w:rPr>
                <w:rFonts w:ascii="Times New Roman" w:hAnsi="Times New Roman" w:cs="Times New Roman"/>
                <w:kern w:val="0"/>
                <w:szCs w:val="21"/>
              </w:rPr>
            </w:pPr>
            <w:r>
              <w:rPr>
                <w:rFonts w:eastAsia="仿宋_GB2312"/>
                <w:kern w:val="0"/>
                <w:szCs w:val="21"/>
              </w:rPr>
              <w:t>调查问卷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社会效益</w:t>
            </w:r>
            <w:r>
              <w:rPr>
                <w:rFonts w:hint="eastAsia" w:ascii="Times New Roman" w:hAnsi="Times New Roman" w:eastAsia="仿宋_GB2312" w:cs="Times New Roman"/>
                <w:kern w:val="0"/>
                <w:szCs w:val="21"/>
              </w:rPr>
              <w:t>指标</w:t>
            </w:r>
          </w:p>
        </w:tc>
        <w:tc>
          <w:tcPr>
            <w:tcW w:w="1985" w:type="dxa"/>
            <w:shd w:val="clear" w:color="auto" w:fill="auto"/>
            <w:vAlign w:val="center"/>
          </w:tcPr>
          <w:p>
            <w:pPr>
              <w:widowControl/>
              <w:jc w:val="center"/>
              <w:rPr>
                <w:rFonts w:ascii="Times New Roman" w:hAnsi="Times New Roman" w:eastAsia="仿宋_GB2312" w:cs="Times New Roman"/>
                <w:kern w:val="0"/>
                <w:szCs w:val="21"/>
              </w:rPr>
            </w:pPr>
            <w:r>
              <w:rPr>
                <w:rFonts w:hint="eastAsia" w:eastAsia="仿宋_GB2312"/>
                <w:kern w:val="0"/>
                <w:szCs w:val="21"/>
              </w:rPr>
              <w:t>OA系统的顺利运行及</w:t>
            </w:r>
            <w:r>
              <w:rPr>
                <w:rFonts w:hint="eastAsia" w:ascii="Times New Roman" w:hAnsi="Times New Roman" w:eastAsia="仿宋_GB2312" w:cs="Times New Roman"/>
                <w:kern w:val="0"/>
                <w:szCs w:val="21"/>
              </w:rPr>
              <w:t>单位网络安全</w:t>
            </w:r>
            <w:r>
              <w:rPr>
                <w:rFonts w:hint="eastAsia" w:eastAsia="仿宋_GB2312"/>
                <w:kern w:val="0"/>
                <w:szCs w:val="21"/>
              </w:rPr>
              <w:t>使用率</w:t>
            </w:r>
            <w:r>
              <w:rPr>
                <w:rFonts w:ascii="Times New Roman" w:hAnsi="Times New Roman" w:eastAsia="仿宋_GB2312" w:cs="Times New Roman"/>
                <w:kern w:val="0"/>
                <w:szCs w:val="21"/>
              </w:rPr>
              <w:t>　</w:t>
            </w:r>
          </w:p>
        </w:tc>
        <w:tc>
          <w:tcPr>
            <w:tcW w:w="3402" w:type="dxa"/>
            <w:shd w:val="clear" w:color="auto" w:fill="auto"/>
            <w:vAlign w:val="center"/>
          </w:tcPr>
          <w:p>
            <w:pPr>
              <w:widowControl/>
              <w:jc w:val="center"/>
              <w:rPr>
                <w:rFonts w:ascii="Times New Roman" w:hAnsi="Times New Roman" w:eastAsia="仿宋_GB2312" w:cs="Times New Roman"/>
                <w:kern w:val="0"/>
                <w:szCs w:val="21"/>
              </w:rPr>
            </w:pPr>
            <w:r>
              <w:rPr>
                <w:rFonts w:hint="eastAsia" w:eastAsia="仿宋_GB2312"/>
                <w:kern w:val="0"/>
                <w:szCs w:val="21"/>
              </w:rPr>
              <w:t>OA系统的顺利运行及</w:t>
            </w:r>
            <w:r>
              <w:rPr>
                <w:rFonts w:hint="eastAsia" w:ascii="Times New Roman" w:hAnsi="Times New Roman" w:eastAsia="仿宋_GB2312" w:cs="Times New Roman"/>
                <w:kern w:val="0"/>
                <w:szCs w:val="21"/>
              </w:rPr>
              <w:t>单位网络安全</w:t>
            </w:r>
            <w:r>
              <w:rPr>
                <w:rFonts w:hint="eastAsia" w:eastAsia="仿宋_GB2312"/>
                <w:kern w:val="0"/>
                <w:szCs w:val="21"/>
              </w:rPr>
              <w:t>使用情况</w:t>
            </w:r>
            <w:r>
              <w:rPr>
                <w:rFonts w:ascii="Times New Roman" w:hAnsi="Times New Roman" w:eastAsia="仿宋_GB2312" w:cs="Times New Roman"/>
                <w:kern w:val="0"/>
                <w:szCs w:val="21"/>
              </w:rPr>
              <w:t>　</w:t>
            </w:r>
          </w:p>
        </w:tc>
        <w:tc>
          <w:tcPr>
            <w:tcW w:w="1843" w:type="dxa"/>
            <w:shd w:val="clear" w:color="auto" w:fill="auto"/>
            <w:vAlign w:val="center"/>
          </w:tcPr>
          <w:p>
            <w:pPr>
              <w:spacing w:line="300" w:lineRule="exact"/>
              <w:jc w:val="center"/>
              <w:rPr>
                <w:rFonts w:ascii="Times New Roman" w:hAnsi="Times New Roman" w:eastAsia="仿宋_GB2312" w:cs="Times New Roman"/>
              </w:rPr>
            </w:pPr>
            <w:r>
              <w:rPr>
                <w:rFonts w:hint="eastAsia" w:ascii="Times New Roman" w:hAnsi="Times New Roman" w:eastAsia="仿宋_GB2312" w:cs="Times New Roman"/>
              </w:rPr>
              <w:t>≥93%</w:t>
            </w:r>
          </w:p>
        </w:tc>
        <w:tc>
          <w:tcPr>
            <w:tcW w:w="2155" w:type="dxa"/>
            <w:shd w:val="clear" w:color="auto" w:fill="auto"/>
            <w:vAlign w:val="center"/>
          </w:tcPr>
          <w:p>
            <w:pPr>
              <w:widowControl/>
              <w:jc w:val="center"/>
              <w:rPr>
                <w:rFonts w:ascii="Times New Roman" w:hAnsi="Times New Roman" w:eastAsia="仿宋_GB2312" w:cs="Times New Roman"/>
                <w:kern w:val="0"/>
                <w:szCs w:val="21"/>
              </w:rPr>
            </w:pPr>
            <w:r>
              <w:rPr>
                <w:rFonts w:eastAsia="仿宋_GB2312"/>
                <w:color w:val="000000" w:themeColor="text1"/>
                <w:kern w:val="0"/>
                <w:szCs w:val="21"/>
              </w:rPr>
              <w:t>调查问卷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社会效益</w:t>
            </w:r>
            <w:r>
              <w:rPr>
                <w:rFonts w:hint="eastAsia" w:ascii="Times New Roman" w:hAnsi="Times New Roman" w:eastAsia="仿宋_GB2312" w:cs="Times New Roman"/>
                <w:kern w:val="0"/>
                <w:szCs w:val="21"/>
              </w:rPr>
              <w:t>指标</w:t>
            </w:r>
          </w:p>
        </w:tc>
        <w:tc>
          <w:tcPr>
            <w:tcW w:w="1985" w:type="dxa"/>
            <w:shd w:val="clear" w:color="auto" w:fill="auto"/>
            <w:vAlign w:val="center"/>
          </w:tcPr>
          <w:p>
            <w:pPr>
              <w:widowControl/>
              <w:jc w:val="center"/>
              <w:rPr>
                <w:rFonts w:eastAsia="仿宋_GB2312"/>
                <w:kern w:val="0"/>
                <w:szCs w:val="21"/>
              </w:rPr>
            </w:pPr>
            <w:r>
              <w:rPr>
                <w:rFonts w:hint="eastAsia" w:eastAsia="仿宋_GB2312"/>
                <w:kern w:val="0"/>
                <w:szCs w:val="21"/>
              </w:rPr>
              <w:t>通过调研，对改革提出</w:t>
            </w:r>
            <w:r>
              <w:rPr>
                <w:rFonts w:hint="eastAsia" w:ascii="Times New Roman" w:hAnsi="Times New Roman" w:eastAsia="仿宋_GB2312" w:cs="Times New Roman"/>
                <w:color w:val="000000" w:themeColor="text1"/>
                <w:kern w:val="0"/>
                <w:szCs w:val="21"/>
              </w:rPr>
              <w:t>意见建议</w:t>
            </w:r>
          </w:p>
        </w:tc>
        <w:tc>
          <w:tcPr>
            <w:tcW w:w="3402" w:type="dxa"/>
            <w:shd w:val="clear" w:color="auto" w:fill="auto"/>
            <w:vAlign w:val="center"/>
          </w:tcPr>
          <w:p>
            <w:pPr>
              <w:widowControl/>
              <w:rPr>
                <w:rFonts w:eastAsia="仿宋_GB2312"/>
                <w:kern w:val="0"/>
                <w:szCs w:val="21"/>
              </w:rPr>
            </w:pPr>
            <w:r>
              <w:rPr>
                <w:rFonts w:hint="eastAsia" w:eastAsia="仿宋_GB2312"/>
                <w:kern w:val="0"/>
                <w:szCs w:val="21"/>
              </w:rPr>
              <w:t>通过调研，对改革提出</w:t>
            </w:r>
            <w:r>
              <w:rPr>
                <w:rFonts w:hint="eastAsia" w:ascii="Times New Roman" w:hAnsi="Times New Roman" w:eastAsia="仿宋_GB2312" w:cs="Times New Roman"/>
                <w:color w:val="000000" w:themeColor="text1"/>
                <w:kern w:val="0"/>
                <w:szCs w:val="21"/>
              </w:rPr>
              <w:t>意见建议，为领导决策</w:t>
            </w:r>
            <w:r>
              <w:rPr>
                <w:rFonts w:hint="eastAsia" w:eastAsia="仿宋_GB2312"/>
                <w:spacing w:val="-20"/>
                <w:kern w:val="0"/>
                <w:szCs w:val="21"/>
              </w:rPr>
              <w:t>提供有价值的参考。</w:t>
            </w:r>
          </w:p>
        </w:tc>
        <w:tc>
          <w:tcPr>
            <w:tcW w:w="1843" w:type="dxa"/>
            <w:shd w:val="clear" w:color="auto" w:fill="auto"/>
            <w:vAlign w:val="center"/>
          </w:tcPr>
          <w:p>
            <w:pPr>
              <w:spacing w:line="300" w:lineRule="exact"/>
              <w:jc w:val="center"/>
              <w:rPr>
                <w:rFonts w:ascii="Times New Roman" w:hAnsi="Times New Roman" w:eastAsia="仿宋_GB2312" w:cs="Times New Roman"/>
              </w:rPr>
            </w:pPr>
            <w:r>
              <w:rPr>
                <w:rFonts w:hint="eastAsia" w:ascii="Times New Roman" w:hAnsi="Times New Roman" w:eastAsia="仿宋_GB2312" w:cs="Times New Roman"/>
              </w:rPr>
              <w:t>有价值</w:t>
            </w:r>
          </w:p>
        </w:tc>
        <w:tc>
          <w:tcPr>
            <w:tcW w:w="2155" w:type="dxa"/>
            <w:shd w:val="clear" w:color="auto" w:fill="auto"/>
            <w:vAlign w:val="center"/>
          </w:tcPr>
          <w:p>
            <w:pPr>
              <w:widowControl/>
              <w:jc w:val="center"/>
              <w:rPr>
                <w:rFonts w:ascii="Times New Roman" w:hAnsi="Times New Roman" w:eastAsia="仿宋_GB2312" w:cs="Times New Roman"/>
                <w:kern w:val="0"/>
                <w:szCs w:val="21"/>
              </w:rPr>
            </w:pPr>
            <w:r>
              <w:rPr>
                <w:rFonts w:hint="eastAsia" w:eastAsia="仿宋_GB2312"/>
                <w:kern w:val="0"/>
                <w:szCs w:val="21"/>
                <w:lang w:val="en-US" w:eastAsia="zh-CN"/>
              </w:rPr>
              <w:t>调研成果相关材料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tc>
        <w:tc>
          <w:tcPr>
            <w:tcW w:w="2268"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可持续影响</w:t>
            </w:r>
            <w:r>
              <w:rPr>
                <w:rFonts w:hint="eastAsia" w:ascii="Times New Roman" w:hAnsi="Times New Roman" w:eastAsia="仿宋_GB2312" w:cs="Times New Roman"/>
                <w:kern w:val="0"/>
                <w:szCs w:val="21"/>
              </w:rPr>
              <w:t>指标</w:t>
            </w:r>
          </w:p>
        </w:tc>
        <w:tc>
          <w:tcPr>
            <w:tcW w:w="1985" w:type="dxa"/>
            <w:shd w:val="clear" w:color="auto" w:fill="auto"/>
            <w:vAlign w:val="center"/>
          </w:tcPr>
          <w:p>
            <w:pPr>
              <w:widowControl/>
              <w:jc w:val="center"/>
              <w:rPr>
                <w:rFonts w:ascii="Times New Roman" w:hAnsi="Times New Roman" w:eastAsia="仿宋_GB2312" w:cs="Times New Roman"/>
                <w:kern w:val="0"/>
                <w:szCs w:val="21"/>
              </w:rPr>
            </w:pPr>
            <w:r>
              <w:rPr>
                <w:rFonts w:hint="eastAsia" w:eastAsia="仿宋_GB2312"/>
                <w:kern w:val="0"/>
                <w:szCs w:val="21"/>
              </w:rPr>
              <w:t>办公设备、</w:t>
            </w:r>
            <w:r>
              <w:rPr>
                <w:rFonts w:hint="eastAsia" w:eastAsia="仿宋_GB2312"/>
                <w:color w:val="000000" w:themeColor="text1"/>
                <w:spacing w:val="-20"/>
                <w:kern w:val="0"/>
                <w:szCs w:val="21"/>
              </w:rPr>
              <w:t>OA系统、单位网络</w:t>
            </w:r>
            <w:r>
              <w:rPr>
                <w:rFonts w:hint="eastAsia" w:eastAsia="仿宋_GB2312"/>
                <w:kern w:val="0"/>
                <w:szCs w:val="21"/>
              </w:rPr>
              <w:t>持续使用率</w:t>
            </w:r>
          </w:p>
        </w:tc>
        <w:tc>
          <w:tcPr>
            <w:tcW w:w="3402" w:type="dxa"/>
            <w:shd w:val="clear" w:color="auto" w:fill="auto"/>
            <w:vAlign w:val="center"/>
          </w:tcPr>
          <w:p>
            <w:pPr>
              <w:widowControl/>
              <w:jc w:val="center"/>
              <w:rPr>
                <w:rFonts w:ascii="Times New Roman" w:hAnsi="Times New Roman" w:eastAsia="仿宋_GB2312" w:cs="Times New Roman"/>
                <w:kern w:val="0"/>
                <w:szCs w:val="21"/>
              </w:rPr>
            </w:pPr>
            <w:r>
              <w:rPr>
                <w:rFonts w:hint="eastAsia" w:eastAsia="仿宋_GB2312"/>
                <w:kern w:val="0"/>
                <w:szCs w:val="21"/>
              </w:rPr>
              <w:t>办公设备、</w:t>
            </w:r>
            <w:r>
              <w:rPr>
                <w:rFonts w:hint="eastAsia" w:eastAsia="仿宋_GB2312"/>
                <w:color w:val="000000" w:themeColor="text1"/>
                <w:spacing w:val="-20"/>
                <w:kern w:val="0"/>
                <w:szCs w:val="21"/>
              </w:rPr>
              <w:t>OA系统、单位网络</w:t>
            </w:r>
            <w:r>
              <w:rPr>
                <w:rFonts w:hint="eastAsia" w:eastAsia="仿宋_GB2312"/>
                <w:kern w:val="0"/>
                <w:szCs w:val="21"/>
              </w:rPr>
              <w:t>持续使用情况</w:t>
            </w:r>
          </w:p>
        </w:tc>
        <w:tc>
          <w:tcPr>
            <w:tcW w:w="1843" w:type="dxa"/>
            <w:shd w:val="clear" w:color="auto" w:fill="auto"/>
            <w:vAlign w:val="center"/>
          </w:tcPr>
          <w:p>
            <w:pPr>
              <w:spacing w:line="300" w:lineRule="exact"/>
              <w:jc w:val="center"/>
              <w:rPr>
                <w:rFonts w:ascii="Times New Roman" w:hAnsi="Times New Roman" w:eastAsia="仿宋_GB2312" w:cs="Times New Roman"/>
              </w:rPr>
            </w:pPr>
            <w:r>
              <w:rPr>
                <w:rFonts w:hint="eastAsia" w:ascii="Times New Roman" w:hAnsi="Times New Roman" w:eastAsia="仿宋_GB2312" w:cs="Times New Roman"/>
              </w:rPr>
              <w:t>≥95%</w:t>
            </w:r>
          </w:p>
        </w:tc>
        <w:tc>
          <w:tcPr>
            <w:tcW w:w="2155" w:type="dxa"/>
            <w:shd w:val="clear" w:color="auto" w:fill="auto"/>
            <w:vAlign w:val="center"/>
          </w:tcPr>
          <w:p>
            <w:pPr>
              <w:widowControl/>
              <w:jc w:val="center"/>
              <w:rPr>
                <w:rFonts w:ascii="Times New Roman" w:hAnsi="Times New Roman" w:eastAsia="仿宋_GB2312" w:cs="Times New Roman"/>
                <w:kern w:val="0"/>
                <w:szCs w:val="21"/>
              </w:rPr>
            </w:pPr>
            <w:r>
              <w:rPr>
                <w:rFonts w:eastAsia="仿宋_GB2312"/>
                <w:kern w:val="0"/>
                <w:szCs w:val="21"/>
              </w:rPr>
              <w:t>调查问卷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pPr>
              <w:widowControl/>
              <w:jc w:val="center"/>
              <w:rPr>
                <w:rFonts w:hint="eastAsia" w:ascii="Times New Roman" w:hAnsi="Times New Roman" w:eastAsia="仿宋_GB2312" w:cs="Times New Roman"/>
                <w:kern w:val="0"/>
                <w:szCs w:val="21"/>
                <w:lang w:eastAsia="zh-CN"/>
              </w:rPr>
            </w:pPr>
            <w:r>
              <w:rPr>
                <w:rFonts w:hint="eastAsia" w:ascii="Times New Roman" w:hAnsi="Times New Roman" w:eastAsia="仿宋_GB2312" w:cs="Times New Roman"/>
                <w:kern w:val="0"/>
                <w:szCs w:val="21"/>
                <w:lang w:eastAsia="zh-CN"/>
              </w:rPr>
              <w:t>服务对象满意度指标</w:t>
            </w:r>
          </w:p>
        </w:tc>
        <w:tc>
          <w:tcPr>
            <w:tcW w:w="1985" w:type="dxa"/>
            <w:shd w:val="clear" w:color="auto" w:fill="auto"/>
            <w:vAlign w:val="center"/>
          </w:tcPr>
          <w:p>
            <w:pPr>
              <w:widowControl/>
              <w:jc w:val="center"/>
              <w:rPr>
                <w:rFonts w:eastAsia="仿宋_GB2312"/>
                <w:kern w:val="0"/>
                <w:szCs w:val="21"/>
              </w:rPr>
            </w:pPr>
            <w:r>
              <w:rPr>
                <w:rFonts w:hint="eastAsia" w:eastAsia="仿宋_GB2312"/>
                <w:color w:val="000000" w:themeColor="text1"/>
                <w:spacing w:val="-20"/>
                <w:kern w:val="0"/>
                <w:szCs w:val="21"/>
              </w:rPr>
              <w:t>OA系统使用人员</w:t>
            </w:r>
            <w:r>
              <w:rPr>
                <w:rFonts w:eastAsia="仿宋_GB2312"/>
                <w:color w:val="000000" w:themeColor="text1"/>
                <w:spacing w:val="-20"/>
                <w:kern w:val="0"/>
                <w:szCs w:val="21"/>
              </w:rPr>
              <w:t>满意度</w:t>
            </w:r>
          </w:p>
        </w:tc>
        <w:tc>
          <w:tcPr>
            <w:tcW w:w="3402" w:type="dxa"/>
            <w:shd w:val="clear" w:color="auto" w:fill="auto"/>
            <w:vAlign w:val="center"/>
          </w:tcPr>
          <w:p>
            <w:pPr>
              <w:widowControl/>
              <w:jc w:val="center"/>
              <w:rPr>
                <w:rFonts w:eastAsia="仿宋_GB2312"/>
                <w:kern w:val="0"/>
                <w:szCs w:val="21"/>
              </w:rPr>
            </w:pPr>
            <w:r>
              <w:rPr>
                <w:rFonts w:hint="eastAsia" w:eastAsia="仿宋_GB2312"/>
                <w:color w:val="000000" w:themeColor="text1"/>
                <w:kern w:val="0"/>
                <w:szCs w:val="21"/>
              </w:rPr>
              <w:t>机关单位各科室</w:t>
            </w:r>
            <w:r>
              <w:rPr>
                <w:rFonts w:eastAsia="仿宋_GB2312"/>
                <w:color w:val="000000" w:themeColor="text1"/>
                <w:kern w:val="0"/>
                <w:szCs w:val="21"/>
              </w:rPr>
              <w:t>对</w:t>
            </w:r>
            <w:r>
              <w:rPr>
                <w:rFonts w:hint="eastAsia" w:eastAsia="仿宋_GB2312"/>
                <w:color w:val="000000" w:themeColor="text1"/>
                <w:kern w:val="0"/>
                <w:szCs w:val="21"/>
              </w:rPr>
              <w:t>OA</w:t>
            </w:r>
            <w:r>
              <w:rPr>
                <w:rFonts w:eastAsia="仿宋_GB2312"/>
                <w:color w:val="000000" w:themeColor="text1"/>
                <w:kern w:val="0"/>
                <w:szCs w:val="21"/>
              </w:rPr>
              <w:t>的满意度</w:t>
            </w:r>
          </w:p>
        </w:tc>
        <w:tc>
          <w:tcPr>
            <w:tcW w:w="1843" w:type="dxa"/>
            <w:shd w:val="clear" w:color="auto" w:fill="auto"/>
            <w:vAlign w:val="center"/>
          </w:tcPr>
          <w:p>
            <w:pPr>
              <w:spacing w:line="300" w:lineRule="exact"/>
              <w:jc w:val="center"/>
              <w:rPr>
                <w:rFonts w:ascii="Times New Roman" w:hAnsi="Times New Roman" w:eastAsia="仿宋_GB2312" w:cs="Times New Roman"/>
              </w:rPr>
            </w:pPr>
            <w:r>
              <w:rPr>
                <w:rFonts w:hint="eastAsia" w:ascii="Times New Roman" w:hAnsi="Times New Roman" w:eastAsia="仿宋_GB2312" w:cs="Times New Roman"/>
              </w:rPr>
              <w:t>≥93%</w:t>
            </w:r>
          </w:p>
        </w:tc>
        <w:tc>
          <w:tcPr>
            <w:tcW w:w="2155" w:type="dxa"/>
            <w:shd w:val="clear" w:color="auto" w:fill="auto"/>
            <w:vAlign w:val="center"/>
          </w:tcPr>
          <w:p>
            <w:pPr>
              <w:spacing w:line="300" w:lineRule="exact"/>
              <w:jc w:val="center"/>
              <w:rPr>
                <w:rFonts w:ascii="Times New Roman" w:hAnsi="Times New Roman" w:eastAsia="仿宋_GB2312" w:cs="Times New Roman"/>
              </w:rPr>
            </w:pPr>
            <w:r>
              <w:rPr>
                <w:rFonts w:eastAsia="仿宋_GB2312"/>
                <w:kern w:val="0"/>
                <w:szCs w:val="21"/>
              </w:rPr>
              <w:t>调查问卷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eastAsia="zh-CN"/>
              </w:rPr>
              <w:t>服务对象满意度指标</w:t>
            </w:r>
          </w:p>
        </w:tc>
        <w:tc>
          <w:tcPr>
            <w:tcW w:w="1985" w:type="dxa"/>
            <w:shd w:val="clear" w:color="auto" w:fill="auto"/>
            <w:vAlign w:val="center"/>
          </w:tcPr>
          <w:p>
            <w:pPr>
              <w:widowControl/>
              <w:jc w:val="center"/>
              <w:rPr>
                <w:rFonts w:eastAsia="仿宋_GB2312"/>
                <w:color w:val="000000" w:themeColor="text1"/>
                <w:spacing w:val="-20"/>
                <w:kern w:val="0"/>
                <w:szCs w:val="21"/>
              </w:rPr>
            </w:pPr>
            <w:r>
              <w:rPr>
                <w:rFonts w:hint="eastAsia" w:eastAsia="仿宋_GB2312"/>
                <w:color w:val="000000" w:themeColor="text1"/>
                <w:spacing w:val="-20"/>
                <w:kern w:val="0"/>
                <w:szCs w:val="21"/>
              </w:rPr>
              <w:t>单位网络使用人员</w:t>
            </w:r>
            <w:r>
              <w:rPr>
                <w:rFonts w:eastAsia="仿宋_GB2312"/>
                <w:color w:val="000000" w:themeColor="text1"/>
                <w:spacing w:val="-20"/>
                <w:kern w:val="0"/>
                <w:szCs w:val="21"/>
              </w:rPr>
              <w:t>满意度</w:t>
            </w:r>
          </w:p>
        </w:tc>
        <w:tc>
          <w:tcPr>
            <w:tcW w:w="3402" w:type="dxa"/>
            <w:shd w:val="clear" w:color="auto" w:fill="auto"/>
            <w:vAlign w:val="center"/>
          </w:tcPr>
          <w:p>
            <w:pPr>
              <w:widowControl/>
              <w:jc w:val="center"/>
              <w:rPr>
                <w:rFonts w:eastAsia="仿宋_GB2312"/>
                <w:color w:val="000000" w:themeColor="text1"/>
                <w:kern w:val="0"/>
                <w:szCs w:val="21"/>
              </w:rPr>
            </w:pPr>
            <w:r>
              <w:rPr>
                <w:rFonts w:hint="eastAsia" w:eastAsia="仿宋_GB2312"/>
                <w:color w:val="000000" w:themeColor="text1"/>
                <w:kern w:val="0"/>
                <w:szCs w:val="21"/>
              </w:rPr>
              <w:t>机关单位各科室</w:t>
            </w:r>
            <w:r>
              <w:rPr>
                <w:rFonts w:eastAsia="仿宋_GB2312"/>
                <w:color w:val="000000" w:themeColor="text1"/>
                <w:kern w:val="0"/>
                <w:szCs w:val="21"/>
              </w:rPr>
              <w:t>对</w:t>
            </w:r>
            <w:r>
              <w:rPr>
                <w:rFonts w:hint="eastAsia" w:eastAsia="仿宋_GB2312"/>
                <w:color w:val="000000" w:themeColor="text1"/>
                <w:kern w:val="0"/>
                <w:szCs w:val="21"/>
              </w:rPr>
              <w:t>单位网络</w:t>
            </w:r>
            <w:r>
              <w:rPr>
                <w:rFonts w:eastAsia="仿宋_GB2312"/>
                <w:color w:val="000000" w:themeColor="text1"/>
                <w:kern w:val="0"/>
                <w:szCs w:val="21"/>
              </w:rPr>
              <w:t>的满意度</w:t>
            </w:r>
          </w:p>
        </w:tc>
        <w:tc>
          <w:tcPr>
            <w:tcW w:w="1843" w:type="dxa"/>
            <w:shd w:val="clear" w:color="auto" w:fill="auto"/>
            <w:vAlign w:val="center"/>
          </w:tcPr>
          <w:p>
            <w:pPr>
              <w:spacing w:line="300" w:lineRule="exact"/>
              <w:jc w:val="center"/>
              <w:rPr>
                <w:rFonts w:ascii="Times New Roman" w:hAnsi="Times New Roman" w:eastAsia="仿宋_GB2312" w:cs="Times New Roman"/>
              </w:rPr>
            </w:pPr>
            <w:r>
              <w:rPr>
                <w:rFonts w:hint="eastAsia" w:ascii="Times New Roman" w:hAnsi="Times New Roman" w:eastAsia="仿宋_GB2312" w:cs="Times New Roman"/>
              </w:rPr>
              <w:t>≥93%</w:t>
            </w:r>
          </w:p>
        </w:tc>
        <w:tc>
          <w:tcPr>
            <w:tcW w:w="2155" w:type="dxa"/>
            <w:shd w:val="clear" w:color="auto" w:fill="auto"/>
            <w:vAlign w:val="center"/>
          </w:tcPr>
          <w:p>
            <w:pPr>
              <w:spacing w:line="300" w:lineRule="exact"/>
              <w:jc w:val="center"/>
              <w:rPr>
                <w:rFonts w:ascii="Times New Roman" w:hAnsi="Times New Roman" w:eastAsia="仿宋_GB2312" w:cs="Times New Roman"/>
              </w:rPr>
            </w:pPr>
            <w:r>
              <w:rPr>
                <w:rFonts w:eastAsia="仿宋_GB2312"/>
                <w:kern w:val="0"/>
                <w:szCs w:val="21"/>
              </w:rPr>
              <w:t>调查问卷</w:t>
            </w:r>
          </w:p>
        </w:tc>
      </w:tr>
    </w:tbl>
    <w:p>
      <w:pPr>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2.</w:t>
      </w:r>
      <w:r>
        <w:rPr>
          <w:rFonts w:hint="eastAsia" w:ascii="Times New Roman" w:hAnsi="Times New Roman" w:eastAsia="仿宋_GB2312" w:cs="Times New Roman"/>
          <w:sz w:val="28"/>
        </w:rPr>
        <w:t>市直机关事业单位中文域名注册管理费</w:t>
      </w:r>
      <w:r>
        <w:rPr>
          <w:rFonts w:ascii="Times New Roman" w:hAnsi="Times New Roman" w:eastAsia="仿宋_GB2312" w:cs="Times New Roman"/>
          <w:sz w:val="28"/>
        </w:rPr>
        <w:t>绩效目标表</w:t>
      </w:r>
    </w:p>
    <w:p>
      <w:pPr>
        <w:spacing w:line="14" w:lineRule="exact"/>
        <w:ind w:firstLine="420" w:firstLineChars="200"/>
        <w:jc w:val="center"/>
        <w:rPr>
          <w:rFonts w:ascii="Times New Roman" w:hAnsi="Times New Roman" w:eastAsia="仿宋_GB2312" w:cs="Times New Roman"/>
        </w:rPr>
      </w:pPr>
    </w:p>
    <w:tbl>
      <w:tblPr>
        <w:tblStyle w:val="9"/>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tblPrEx>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pPr>
              <w:pStyle w:val="21"/>
              <w:numPr>
                <w:ilvl w:val="0"/>
                <w:numId w:val="0"/>
              </w:numPr>
              <w:spacing w:line="300" w:lineRule="exact"/>
              <w:ind w:leftChars="0"/>
              <w:rPr>
                <w:rFonts w:ascii="Times New Roman" w:hAnsi="Times New Roman" w:eastAsia="仿宋_GB2312" w:cs="Times New Roman"/>
                <w:b/>
              </w:rPr>
            </w:pPr>
            <w:r>
              <w:rPr>
                <w:rFonts w:eastAsia="仿宋_GB2312"/>
                <w:kern w:val="0"/>
                <w:szCs w:val="21"/>
              </w:rPr>
              <w:t>通过项目的开展，</w:t>
            </w:r>
            <w:r>
              <w:rPr>
                <w:rFonts w:hint="eastAsia" w:eastAsia="仿宋_GB2312"/>
                <w:kern w:val="0"/>
                <w:szCs w:val="21"/>
              </w:rPr>
              <w:t>为机关事业单位注册、续费</w:t>
            </w:r>
            <w:r>
              <w:rPr>
                <w:rFonts w:hint="eastAsia" w:eastAsia="仿宋_GB2312"/>
                <w:color w:val="000000" w:themeColor="text1"/>
                <w:kern w:val="0"/>
                <w:szCs w:val="21"/>
                <w:lang w:val="en-US" w:eastAsia="zh-CN"/>
              </w:rPr>
              <w:t>568</w:t>
            </w:r>
            <w:r>
              <w:rPr>
                <w:rFonts w:hint="eastAsia" w:eastAsia="仿宋_GB2312"/>
                <w:kern w:val="0"/>
                <w:szCs w:val="21"/>
              </w:rPr>
              <w:t>个</w:t>
            </w:r>
            <w:r>
              <w:rPr>
                <w:rFonts w:eastAsia="仿宋_GB2312"/>
                <w:kern w:val="0"/>
                <w:szCs w:val="21"/>
              </w:rPr>
              <w:t>，</w:t>
            </w:r>
            <w:r>
              <w:rPr>
                <w:rFonts w:hint="eastAsia" w:eastAsia="仿宋_GB2312"/>
                <w:kern w:val="0"/>
                <w:szCs w:val="21"/>
              </w:rPr>
              <w:t>费用缴纳及时，中文域名顺利运行</w:t>
            </w:r>
            <w:r>
              <w:rPr>
                <w:rFonts w:hint="eastAsia" w:eastAsia="仿宋_GB2312"/>
                <w:kern w:val="0"/>
                <w:szCs w:val="21"/>
                <w:lang w:eastAsia="zh-CN"/>
              </w:rPr>
              <w:t>使用</w:t>
            </w:r>
            <w:r>
              <w:rPr>
                <w:rFonts w:eastAsia="仿宋_GB2312"/>
                <w:kern w:val="0"/>
                <w:szCs w:val="21"/>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pPr>
              <w:widowControl/>
              <w:jc w:val="center"/>
              <w:rPr>
                <w:rFonts w:eastAsia="仿宋_GB2312"/>
                <w:kern w:val="0"/>
                <w:szCs w:val="21"/>
              </w:rPr>
            </w:pPr>
            <w:r>
              <w:rPr>
                <w:rFonts w:eastAsia="仿宋_GB2312"/>
                <w:kern w:val="0"/>
                <w:szCs w:val="21"/>
              </w:rPr>
              <w:t>数量</w:t>
            </w:r>
            <w:r>
              <w:rPr>
                <w:rFonts w:hint="eastAsia" w:eastAsia="仿宋_GB2312"/>
                <w:kern w:val="0"/>
                <w:szCs w:val="21"/>
              </w:rPr>
              <w:t>指标</w:t>
            </w:r>
          </w:p>
        </w:tc>
        <w:tc>
          <w:tcPr>
            <w:tcW w:w="1985" w:type="dxa"/>
            <w:shd w:val="clear" w:color="auto" w:fill="auto"/>
            <w:vAlign w:val="center"/>
          </w:tcPr>
          <w:p>
            <w:pPr>
              <w:widowControl/>
              <w:jc w:val="center"/>
              <w:rPr>
                <w:rFonts w:ascii="Times New Roman" w:hAnsi="Times New Roman" w:eastAsia="仿宋_GB2312" w:cs="Times New Roman"/>
                <w:kern w:val="0"/>
                <w:szCs w:val="21"/>
              </w:rPr>
            </w:pPr>
            <w:r>
              <w:rPr>
                <w:rFonts w:hint="eastAsia" w:eastAsia="仿宋_GB2312"/>
                <w:kern w:val="0"/>
                <w:szCs w:val="21"/>
              </w:rPr>
              <w:t>机关事业单位域名注册使用数</w:t>
            </w:r>
          </w:p>
        </w:tc>
        <w:tc>
          <w:tcPr>
            <w:tcW w:w="3402" w:type="dxa"/>
            <w:shd w:val="clear" w:color="auto" w:fill="auto"/>
            <w:vAlign w:val="center"/>
          </w:tcPr>
          <w:p>
            <w:pPr>
              <w:widowControl/>
              <w:jc w:val="center"/>
              <w:rPr>
                <w:rFonts w:ascii="Times New Roman" w:hAnsi="Times New Roman" w:eastAsia="仿宋_GB2312" w:cs="Times New Roman"/>
                <w:kern w:val="0"/>
                <w:szCs w:val="21"/>
              </w:rPr>
            </w:pPr>
            <w:r>
              <w:rPr>
                <w:rFonts w:hint="eastAsia" w:eastAsia="仿宋_GB2312"/>
                <w:kern w:val="0"/>
                <w:szCs w:val="21"/>
              </w:rPr>
              <w:t>机关事业单位域名注册使用个数</w:t>
            </w:r>
          </w:p>
        </w:tc>
        <w:tc>
          <w:tcPr>
            <w:tcW w:w="1843" w:type="dxa"/>
            <w:shd w:val="clear" w:color="auto" w:fill="auto"/>
            <w:vAlign w:val="center"/>
          </w:tcPr>
          <w:p>
            <w:pPr>
              <w:spacing w:line="300" w:lineRule="exact"/>
              <w:jc w:val="center"/>
              <w:rPr>
                <w:rFonts w:ascii="Times New Roman" w:hAnsi="Times New Roman" w:eastAsia="仿宋_GB2312" w:cs="Times New Roman"/>
              </w:rPr>
            </w:pPr>
            <w:r>
              <w:rPr>
                <w:rFonts w:hint="eastAsia" w:ascii="Times New Roman" w:hAnsi="Times New Roman" w:eastAsia="仿宋_GB2312" w:cs="Times New Roman"/>
              </w:rPr>
              <w:t>56</w:t>
            </w:r>
            <w:r>
              <w:rPr>
                <w:rFonts w:hint="eastAsia" w:ascii="Times New Roman" w:hAnsi="Times New Roman" w:eastAsia="仿宋_GB2312" w:cs="Times New Roman"/>
                <w:lang w:val="en-US" w:eastAsia="zh-CN"/>
              </w:rPr>
              <w:t>8</w:t>
            </w:r>
            <w:r>
              <w:rPr>
                <w:rFonts w:hint="eastAsia" w:ascii="Times New Roman" w:hAnsi="Times New Roman" w:eastAsia="仿宋_GB2312" w:cs="Times New Roman"/>
              </w:rPr>
              <w:t>个</w:t>
            </w:r>
          </w:p>
        </w:tc>
        <w:tc>
          <w:tcPr>
            <w:tcW w:w="2155" w:type="dxa"/>
            <w:shd w:val="clear" w:color="auto" w:fill="auto"/>
            <w:vAlign w:val="center"/>
          </w:tcPr>
          <w:p>
            <w:pPr>
              <w:widowControl/>
              <w:jc w:val="center"/>
              <w:rPr>
                <w:rFonts w:ascii="Times New Roman" w:hAnsi="Times New Roman" w:eastAsia="仿宋_GB2312" w:cs="Times New Roman"/>
                <w:kern w:val="0"/>
                <w:szCs w:val="21"/>
              </w:rPr>
            </w:pPr>
          </w:p>
          <w:p>
            <w:pPr>
              <w:widowControl/>
              <w:jc w:val="center"/>
              <w:rPr>
                <w:rFonts w:ascii="Times New Roman" w:hAnsi="Times New Roman" w:eastAsia="仿宋_GB2312" w:cs="Times New Roman"/>
                <w:kern w:val="0"/>
                <w:szCs w:val="21"/>
              </w:rPr>
            </w:pPr>
            <w:r>
              <w:rPr>
                <w:rFonts w:hint="eastAsia" w:eastAsia="仿宋_GB2312"/>
                <w:kern w:val="0"/>
                <w:szCs w:val="21"/>
              </w:rPr>
              <w:t>财务支出凭证</w:t>
            </w:r>
          </w:p>
          <w:p>
            <w:pPr>
              <w:widowControl/>
              <w:jc w:val="center"/>
              <w:rPr>
                <w:rFonts w:ascii="Times New Roman" w:hAnsi="Times New Roman" w:eastAsia="仿宋_GB2312" w:cs="Times New Roman"/>
                <w:kern w:val="0"/>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tc>
        <w:tc>
          <w:tcPr>
            <w:tcW w:w="2268" w:type="dxa"/>
            <w:shd w:val="clear" w:color="auto" w:fill="auto"/>
            <w:vAlign w:val="center"/>
          </w:tcPr>
          <w:p>
            <w:pPr>
              <w:widowControl/>
              <w:jc w:val="center"/>
              <w:rPr>
                <w:rFonts w:eastAsia="仿宋_GB2312"/>
                <w:kern w:val="0"/>
                <w:szCs w:val="21"/>
              </w:rPr>
            </w:pPr>
            <w:r>
              <w:rPr>
                <w:rFonts w:eastAsia="仿宋_GB2312"/>
                <w:kern w:val="0"/>
                <w:szCs w:val="21"/>
              </w:rPr>
              <w:t>质量</w:t>
            </w:r>
            <w:r>
              <w:rPr>
                <w:rFonts w:hint="eastAsia" w:eastAsia="仿宋_GB2312"/>
                <w:kern w:val="0"/>
                <w:szCs w:val="21"/>
              </w:rPr>
              <w:t>指标</w:t>
            </w:r>
          </w:p>
        </w:tc>
        <w:tc>
          <w:tcPr>
            <w:tcW w:w="1985" w:type="dxa"/>
            <w:shd w:val="clear" w:color="auto" w:fill="auto"/>
            <w:vAlign w:val="center"/>
          </w:tcPr>
          <w:p>
            <w:pPr>
              <w:widowControl/>
              <w:jc w:val="center"/>
              <w:rPr>
                <w:rFonts w:ascii="Times New Roman" w:hAnsi="Times New Roman" w:eastAsia="仿宋_GB2312" w:cs="Times New Roman"/>
                <w:kern w:val="0"/>
                <w:szCs w:val="21"/>
              </w:rPr>
            </w:pPr>
            <w:r>
              <w:rPr>
                <w:rFonts w:hint="eastAsia" w:eastAsia="仿宋_GB2312"/>
                <w:kern w:val="0"/>
                <w:szCs w:val="21"/>
              </w:rPr>
              <w:t>中文域名正常使用率</w:t>
            </w:r>
          </w:p>
        </w:tc>
        <w:tc>
          <w:tcPr>
            <w:tcW w:w="3402" w:type="dxa"/>
            <w:shd w:val="clear" w:color="auto" w:fill="auto"/>
            <w:vAlign w:val="center"/>
          </w:tcPr>
          <w:p>
            <w:pPr>
              <w:widowControl/>
              <w:jc w:val="center"/>
              <w:rPr>
                <w:rFonts w:ascii="Times New Roman" w:hAnsi="Times New Roman" w:eastAsia="仿宋_GB2312" w:cs="Times New Roman"/>
                <w:kern w:val="0"/>
                <w:szCs w:val="21"/>
              </w:rPr>
            </w:pPr>
            <w:r>
              <w:rPr>
                <w:rFonts w:hint="eastAsia" w:eastAsia="仿宋_GB2312"/>
                <w:kern w:val="0"/>
                <w:szCs w:val="21"/>
              </w:rPr>
              <w:t>中文域名正常使用情况</w:t>
            </w:r>
          </w:p>
        </w:tc>
        <w:tc>
          <w:tcPr>
            <w:tcW w:w="1843" w:type="dxa"/>
            <w:shd w:val="clear" w:color="auto" w:fill="auto"/>
          </w:tcPr>
          <w:p>
            <w:pPr>
              <w:jc w:val="center"/>
            </w:pPr>
            <w:r>
              <w:rPr>
                <w:rFonts w:hint="eastAsia" w:ascii="Times New Roman" w:hAnsi="Times New Roman" w:eastAsia="仿宋_GB2312" w:cs="Times New Roman"/>
              </w:rPr>
              <w:t>100%</w:t>
            </w:r>
          </w:p>
        </w:tc>
        <w:tc>
          <w:tcPr>
            <w:tcW w:w="2155" w:type="dxa"/>
            <w:shd w:val="clear" w:color="auto" w:fill="auto"/>
            <w:vAlign w:val="center"/>
          </w:tcPr>
          <w:p>
            <w:pPr>
              <w:widowControl/>
              <w:jc w:val="center"/>
              <w:rPr>
                <w:rFonts w:ascii="Times New Roman" w:hAnsi="Times New Roman" w:eastAsia="仿宋_GB2312" w:cs="Times New Roman"/>
                <w:kern w:val="0"/>
                <w:szCs w:val="21"/>
              </w:rPr>
            </w:pPr>
            <w:r>
              <w:rPr>
                <w:rFonts w:hint="eastAsia" w:eastAsia="仿宋_GB2312"/>
                <w:kern w:val="0"/>
                <w:szCs w:val="21"/>
              </w:rPr>
              <w:t>随机</w:t>
            </w:r>
            <w:r>
              <w:rPr>
                <w:rFonts w:hint="eastAsia" w:eastAsia="仿宋_GB2312"/>
                <w:kern w:val="0"/>
                <w:szCs w:val="21"/>
                <w:lang w:eastAsia="zh-CN"/>
              </w:rPr>
              <w:t>使用抽查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tc>
        <w:tc>
          <w:tcPr>
            <w:tcW w:w="2268" w:type="dxa"/>
            <w:shd w:val="clear" w:color="auto" w:fill="auto"/>
            <w:vAlign w:val="center"/>
          </w:tcPr>
          <w:p>
            <w:pPr>
              <w:widowControl/>
              <w:jc w:val="center"/>
              <w:rPr>
                <w:rFonts w:eastAsia="仿宋_GB2312"/>
                <w:kern w:val="0"/>
                <w:szCs w:val="21"/>
              </w:rPr>
            </w:pPr>
            <w:r>
              <w:rPr>
                <w:rFonts w:eastAsia="仿宋_GB2312"/>
                <w:kern w:val="0"/>
                <w:szCs w:val="21"/>
              </w:rPr>
              <w:t>时效</w:t>
            </w:r>
            <w:r>
              <w:rPr>
                <w:rFonts w:hint="eastAsia" w:eastAsia="仿宋_GB2312"/>
                <w:kern w:val="0"/>
                <w:szCs w:val="21"/>
              </w:rPr>
              <w:t>指标</w:t>
            </w:r>
          </w:p>
        </w:tc>
        <w:tc>
          <w:tcPr>
            <w:tcW w:w="1985" w:type="dxa"/>
            <w:shd w:val="clear" w:color="auto" w:fill="auto"/>
            <w:vAlign w:val="center"/>
          </w:tcPr>
          <w:p>
            <w:pPr>
              <w:widowControl/>
              <w:jc w:val="center"/>
              <w:rPr>
                <w:rFonts w:ascii="Times New Roman" w:hAnsi="Times New Roman" w:eastAsia="仿宋_GB2312" w:cs="Times New Roman"/>
                <w:kern w:val="0"/>
                <w:szCs w:val="21"/>
              </w:rPr>
            </w:pPr>
            <w:r>
              <w:rPr>
                <w:rFonts w:hint="eastAsia" w:eastAsia="仿宋_GB2312"/>
                <w:kern w:val="0"/>
                <w:szCs w:val="21"/>
              </w:rPr>
              <w:t>中文域名费用支付及时性</w:t>
            </w:r>
          </w:p>
        </w:tc>
        <w:tc>
          <w:tcPr>
            <w:tcW w:w="3402" w:type="dxa"/>
            <w:shd w:val="clear" w:color="auto" w:fill="auto"/>
            <w:vAlign w:val="center"/>
          </w:tcPr>
          <w:p>
            <w:pPr>
              <w:widowControl/>
              <w:jc w:val="center"/>
              <w:rPr>
                <w:rFonts w:ascii="Times New Roman" w:hAnsi="Times New Roman" w:eastAsia="仿宋_GB2312" w:cs="Times New Roman"/>
                <w:kern w:val="0"/>
                <w:szCs w:val="21"/>
              </w:rPr>
            </w:pPr>
            <w:r>
              <w:rPr>
                <w:rFonts w:hint="eastAsia" w:eastAsia="仿宋_GB2312"/>
                <w:kern w:val="0"/>
                <w:szCs w:val="21"/>
              </w:rPr>
              <w:t>中文域名费用6月30日前完成支付</w:t>
            </w:r>
          </w:p>
        </w:tc>
        <w:tc>
          <w:tcPr>
            <w:tcW w:w="1843" w:type="dxa"/>
            <w:shd w:val="clear" w:color="auto" w:fill="auto"/>
          </w:tcPr>
          <w:p>
            <w:pPr>
              <w:jc w:val="center"/>
            </w:pPr>
            <w:r>
              <w:rPr>
                <w:rFonts w:hint="eastAsia" w:ascii="Times New Roman" w:hAnsi="Times New Roman" w:eastAsia="仿宋_GB2312" w:cs="Times New Roman"/>
              </w:rPr>
              <w:t>100%</w:t>
            </w:r>
          </w:p>
        </w:tc>
        <w:tc>
          <w:tcPr>
            <w:tcW w:w="2155" w:type="dxa"/>
            <w:shd w:val="clear" w:color="auto" w:fill="auto"/>
            <w:vAlign w:val="center"/>
          </w:tcPr>
          <w:p>
            <w:pPr>
              <w:widowControl/>
              <w:jc w:val="center"/>
              <w:rPr>
                <w:rFonts w:ascii="Times New Roman" w:hAnsi="Times New Roman" w:eastAsia="仿宋_GB2312" w:cs="Times New Roman"/>
                <w:kern w:val="0"/>
                <w:szCs w:val="21"/>
              </w:rPr>
            </w:pPr>
            <w:r>
              <w:rPr>
                <w:rFonts w:hint="eastAsia" w:eastAsia="仿宋_GB2312"/>
                <w:kern w:val="0"/>
                <w:szCs w:val="21"/>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tc>
        <w:tc>
          <w:tcPr>
            <w:tcW w:w="2268" w:type="dxa"/>
            <w:shd w:val="clear" w:color="auto" w:fill="auto"/>
            <w:vAlign w:val="center"/>
          </w:tcPr>
          <w:p>
            <w:pPr>
              <w:widowControl/>
              <w:jc w:val="center"/>
              <w:rPr>
                <w:rFonts w:eastAsia="仿宋_GB2312"/>
                <w:kern w:val="0"/>
                <w:szCs w:val="21"/>
              </w:rPr>
            </w:pPr>
            <w:r>
              <w:rPr>
                <w:rFonts w:eastAsia="仿宋_GB2312"/>
                <w:kern w:val="0"/>
                <w:szCs w:val="21"/>
              </w:rPr>
              <w:t>成本</w:t>
            </w:r>
            <w:r>
              <w:rPr>
                <w:rFonts w:hint="eastAsia" w:eastAsia="仿宋_GB2312"/>
                <w:kern w:val="0"/>
                <w:szCs w:val="21"/>
              </w:rPr>
              <w:t>指标</w:t>
            </w:r>
          </w:p>
        </w:tc>
        <w:tc>
          <w:tcPr>
            <w:tcW w:w="1985" w:type="dxa"/>
            <w:shd w:val="clear" w:color="auto" w:fill="auto"/>
            <w:vAlign w:val="center"/>
          </w:tcPr>
          <w:p>
            <w:pPr>
              <w:widowControl/>
              <w:jc w:val="center"/>
              <w:rPr>
                <w:rFonts w:ascii="Times New Roman" w:hAnsi="Times New Roman" w:eastAsia="仿宋_GB2312" w:cs="Times New Roman"/>
                <w:color w:val="000000" w:themeColor="text1"/>
                <w:kern w:val="0"/>
                <w:szCs w:val="21"/>
              </w:rPr>
            </w:pPr>
            <w:r>
              <w:rPr>
                <w:rFonts w:hint="eastAsia" w:eastAsia="仿宋_GB2312"/>
                <w:color w:val="000000" w:themeColor="text1"/>
                <w:kern w:val="0"/>
                <w:szCs w:val="21"/>
              </w:rPr>
              <w:t>成本吻合度</w:t>
            </w:r>
            <w:r>
              <w:rPr>
                <w:rFonts w:eastAsia="仿宋_GB2312"/>
                <w:color w:val="000000" w:themeColor="text1"/>
                <w:kern w:val="0"/>
                <w:szCs w:val="21"/>
              </w:rPr>
              <w:t>　</w:t>
            </w:r>
          </w:p>
        </w:tc>
        <w:tc>
          <w:tcPr>
            <w:tcW w:w="3402" w:type="dxa"/>
            <w:shd w:val="clear" w:color="auto" w:fill="auto"/>
            <w:vAlign w:val="center"/>
          </w:tcPr>
          <w:p>
            <w:pPr>
              <w:widowControl/>
              <w:jc w:val="center"/>
              <w:rPr>
                <w:rFonts w:ascii="Times New Roman" w:hAnsi="Times New Roman" w:eastAsia="仿宋_GB2312" w:cs="Times New Roman"/>
                <w:color w:val="000000" w:themeColor="text1"/>
                <w:kern w:val="0"/>
                <w:szCs w:val="21"/>
              </w:rPr>
            </w:pPr>
            <w:r>
              <w:rPr>
                <w:rFonts w:hint="eastAsia" w:eastAsia="仿宋_GB2312"/>
                <w:color w:val="000000" w:themeColor="text1"/>
                <w:kern w:val="0"/>
                <w:szCs w:val="21"/>
              </w:rPr>
              <w:t>与年初预算相符程度</w:t>
            </w:r>
            <w:r>
              <w:rPr>
                <w:rFonts w:eastAsia="仿宋_GB2312"/>
                <w:color w:val="000000" w:themeColor="text1"/>
                <w:kern w:val="0"/>
                <w:szCs w:val="21"/>
              </w:rPr>
              <w:t>　</w:t>
            </w:r>
          </w:p>
        </w:tc>
        <w:tc>
          <w:tcPr>
            <w:tcW w:w="1843" w:type="dxa"/>
            <w:shd w:val="clear" w:color="auto" w:fill="auto"/>
          </w:tcPr>
          <w:p>
            <w:pPr>
              <w:jc w:val="center"/>
            </w:pPr>
            <w:r>
              <w:rPr>
                <w:rFonts w:hint="eastAsia" w:ascii="Times New Roman" w:hAnsi="Times New Roman" w:eastAsia="仿宋_GB2312" w:cs="Times New Roman"/>
              </w:rPr>
              <w:t>≥95%</w:t>
            </w:r>
          </w:p>
        </w:tc>
        <w:tc>
          <w:tcPr>
            <w:tcW w:w="2155" w:type="dxa"/>
            <w:shd w:val="clear" w:color="auto" w:fill="auto"/>
            <w:vAlign w:val="center"/>
          </w:tcPr>
          <w:p>
            <w:pPr>
              <w:widowControl/>
              <w:jc w:val="center"/>
              <w:rPr>
                <w:rFonts w:ascii="Times New Roman" w:hAnsi="Times New Roman" w:eastAsia="仿宋_GB2312" w:cs="Times New Roman"/>
                <w:kern w:val="0"/>
                <w:szCs w:val="21"/>
              </w:rPr>
            </w:pPr>
            <w:r>
              <w:rPr>
                <w:rFonts w:hint="eastAsia" w:eastAsia="仿宋_GB2312"/>
                <w:kern w:val="0"/>
                <w:szCs w:val="21"/>
              </w:rP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pPr>
              <w:widowControl/>
              <w:jc w:val="center"/>
              <w:rPr>
                <w:rFonts w:eastAsia="仿宋_GB2312"/>
                <w:kern w:val="0"/>
                <w:szCs w:val="21"/>
              </w:rPr>
            </w:pPr>
            <w:r>
              <w:rPr>
                <w:rFonts w:eastAsia="仿宋_GB2312"/>
                <w:kern w:val="0"/>
                <w:szCs w:val="21"/>
              </w:rPr>
              <w:t>社会效益</w:t>
            </w:r>
            <w:r>
              <w:rPr>
                <w:rFonts w:hint="eastAsia" w:eastAsia="仿宋_GB2312"/>
                <w:kern w:val="0"/>
                <w:szCs w:val="21"/>
              </w:rPr>
              <w:t>指标</w:t>
            </w:r>
          </w:p>
        </w:tc>
        <w:tc>
          <w:tcPr>
            <w:tcW w:w="1985" w:type="dxa"/>
            <w:shd w:val="clear" w:color="auto" w:fill="auto"/>
            <w:vAlign w:val="center"/>
          </w:tcPr>
          <w:p>
            <w:pPr>
              <w:widowControl/>
              <w:jc w:val="center"/>
              <w:rPr>
                <w:rFonts w:ascii="Times New Roman" w:hAnsi="Times New Roman" w:eastAsia="仿宋_GB2312" w:cs="Times New Roman"/>
                <w:color w:val="000000" w:themeColor="text1"/>
                <w:kern w:val="0"/>
                <w:szCs w:val="21"/>
              </w:rPr>
            </w:pPr>
            <w:r>
              <w:rPr>
                <w:rFonts w:hint="eastAsia" w:eastAsia="仿宋_GB2312"/>
                <w:color w:val="000000" w:themeColor="text1"/>
                <w:kern w:val="0"/>
                <w:szCs w:val="21"/>
              </w:rPr>
              <w:t>域名正常使用</w:t>
            </w:r>
          </w:p>
        </w:tc>
        <w:tc>
          <w:tcPr>
            <w:tcW w:w="3402" w:type="dxa"/>
            <w:shd w:val="clear" w:color="auto" w:fill="auto"/>
            <w:vAlign w:val="center"/>
          </w:tcPr>
          <w:p>
            <w:pPr>
              <w:widowControl/>
              <w:jc w:val="center"/>
              <w:rPr>
                <w:rFonts w:ascii="Times New Roman" w:hAnsi="Times New Roman" w:eastAsia="仿宋_GB2312" w:cs="Times New Roman"/>
                <w:color w:val="000000" w:themeColor="text1"/>
                <w:kern w:val="0"/>
                <w:szCs w:val="21"/>
              </w:rPr>
            </w:pPr>
            <w:r>
              <w:rPr>
                <w:rFonts w:hint="eastAsia" w:eastAsia="仿宋_GB2312"/>
                <w:color w:val="000000" w:themeColor="text1"/>
                <w:kern w:val="0"/>
                <w:szCs w:val="21"/>
              </w:rPr>
              <w:t>域名正常使用</w:t>
            </w:r>
          </w:p>
        </w:tc>
        <w:tc>
          <w:tcPr>
            <w:tcW w:w="1843" w:type="dxa"/>
            <w:shd w:val="clear" w:color="auto" w:fill="auto"/>
            <w:vAlign w:val="center"/>
          </w:tcPr>
          <w:p>
            <w:pPr>
              <w:spacing w:line="300" w:lineRule="exact"/>
              <w:jc w:val="center"/>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pPr>
              <w:widowControl/>
              <w:jc w:val="center"/>
              <w:rPr>
                <w:rFonts w:ascii="Times New Roman" w:hAnsi="Times New Roman" w:cs="Times New Roman"/>
                <w:kern w:val="0"/>
                <w:szCs w:val="21"/>
              </w:rPr>
            </w:pPr>
            <w:r>
              <w:rPr>
                <w:rFonts w:hint="eastAsia" w:eastAsia="仿宋_GB2312"/>
                <w:kern w:val="0"/>
                <w:szCs w:val="21"/>
              </w:rPr>
              <w:t>随机</w:t>
            </w:r>
            <w:r>
              <w:rPr>
                <w:rFonts w:hint="eastAsia" w:eastAsia="仿宋_GB2312"/>
                <w:kern w:val="0"/>
                <w:szCs w:val="21"/>
                <w:lang w:eastAsia="zh-CN"/>
              </w:rPr>
              <w:t>使用抽查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300" w:lineRule="exact"/>
              <w:jc w:val="center"/>
              <w:rPr>
                <w:rFonts w:ascii="Times New Roman" w:hAnsi="Times New Roman" w:eastAsia="仿宋_GB2312" w:cs="Times New Roman"/>
              </w:rPr>
            </w:pPr>
          </w:p>
        </w:tc>
        <w:tc>
          <w:tcPr>
            <w:tcW w:w="2268" w:type="dxa"/>
            <w:shd w:val="clear" w:color="auto" w:fill="auto"/>
            <w:vAlign w:val="center"/>
          </w:tcPr>
          <w:p>
            <w:pPr>
              <w:widowControl/>
              <w:jc w:val="center"/>
              <w:rPr>
                <w:rFonts w:eastAsia="仿宋_GB2312"/>
                <w:kern w:val="0"/>
                <w:szCs w:val="21"/>
              </w:rPr>
            </w:pPr>
            <w:r>
              <w:rPr>
                <w:rFonts w:ascii="Times New Roman" w:hAnsi="Times New Roman" w:eastAsia="仿宋_GB2312" w:cs="Times New Roman"/>
                <w:kern w:val="0"/>
                <w:szCs w:val="21"/>
              </w:rPr>
              <w:t>可持续影响</w:t>
            </w:r>
            <w:r>
              <w:rPr>
                <w:rFonts w:hint="eastAsia" w:ascii="Times New Roman" w:hAnsi="Times New Roman" w:eastAsia="仿宋_GB2312" w:cs="Times New Roman"/>
                <w:kern w:val="0"/>
                <w:szCs w:val="21"/>
              </w:rPr>
              <w:t>指标</w:t>
            </w:r>
          </w:p>
        </w:tc>
        <w:tc>
          <w:tcPr>
            <w:tcW w:w="1985" w:type="dxa"/>
            <w:shd w:val="clear" w:color="auto" w:fill="auto"/>
            <w:vAlign w:val="center"/>
          </w:tcPr>
          <w:p>
            <w:pPr>
              <w:widowControl/>
              <w:jc w:val="center"/>
              <w:rPr>
                <w:rFonts w:ascii="Times New Roman" w:hAnsi="Times New Roman" w:eastAsia="仿宋_GB2312" w:cs="Times New Roman"/>
                <w:color w:val="000000" w:themeColor="text1"/>
                <w:kern w:val="0"/>
                <w:szCs w:val="21"/>
              </w:rPr>
            </w:pPr>
            <w:r>
              <w:rPr>
                <w:rFonts w:hint="eastAsia" w:eastAsia="仿宋_GB2312"/>
                <w:color w:val="000000" w:themeColor="text1"/>
                <w:kern w:val="0"/>
                <w:szCs w:val="21"/>
              </w:rPr>
              <w:t>域名当年使用率</w:t>
            </w:r>
          </w:p>
        </w:tc>
        <w:tc>
          <w:tcPr>
            <w:tcW w:w="3402" w:type="dxa"/>
            <w:shd w:val="clear" w:color="auto" w:fill="auto"/>
            <w:vAlign w:val="center"/>
          </w:tcPr>
          <w:p>
            <w:pPr>
              <w:widowControl/>
              <w:jc w:val="center"/>
              <w:rPr>
                <w:rFonts w:ascii="Times New Roman" w:hAnsi="Times New Roman" w:eastAsia="仿宋_GB2312" w:cs="Times New Roman"/>
                <w:color w:val="000000" w:themeColor="text1"/>
                <w:kern w:val="0"/>
                <w:szCs w:val="21"/>
              </w:rPr>
            </w:pPr>
            <w:r>
              <w:rPr>
                <w:rFonts w:hint="eastAsia" w:eastAsia="仿宋_GB2312"/>
                <w:color w:val="000000" w:themeColor="text1"/>
                <w:kern w:val="0"/>
                <w:szCs w:val="21"/>
              </w:rPr>
              <w:t>域名当年使用情况</w:t>
            </w:r>
          </w:p>
        </w:tc>
        <w:tc>
          <w:tcPr>
            <w:tcW w:w="1843" w:type="dxa"/>
            <w:shd w:val="clear" w:color="auto" w:fill="auto"/>
            <w:vAlign w:val="center"/>
          </w:tcPr>
          <w:p>
            <w:pPr>
              <w:spacing w:line="300" w:lineRule="exact"/>
              <w:jc w:val="center"/>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pPr>
              <w:spacing w:line="300" w:lineRule="exact"/>
              <w:jc w:val="center"/>
              <w:rPr>
                <w:rFonts w:ascii="Times New Roman" w:hAnsi="Times New Roman" w:eastAsia="仿宋_GB2312" w:cs="Times New Roman"/>
              </w:rPr>
            </w:pPr>
            <w:r>
              <w:rPr>
                <w:rFonts w:hint="eastAsia" w:eastAsia="仿宋_GB2312"/>
                <w:kern w:val="0"/>
                <w:szCs w:val="21"/>
              </w:rPr>
              <w:t>随机</w:t>
            </w:r>
            <w:r>
              <w:rPr>
                <w:rFonts w:hint="eastAsia" w:eastAsia="仿宋_GB2312"/>
                <w:kern w:val="0"/>
                <w:szCs w:val="21"/>
                <w:lang w:eastAsia="zh-CN"/>
              </w:rPr>
              <w:t>使用抽查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pPr>
              <w:widowControl/>
              <w:jc w:val="center"/>
              <w:rPr>
                <w:rFonts w:ascii="Times New Roman" w:hAnsi="Times New Roman" w:eastAsia="仿宋_GB2312" w:cs="Times New Roman"/>
                <w:color w:val="000000" w:themeColor="text1"/>
                <w:kern w:val="0"/>
                <w:szCs w:val="21"/>
              </w:rPr>
            </w:pPr>
            <w:r>
              <w:rPr>
                <w:rFonts w:hint="eastAsia" w:eastAsia="仿宋_GB2312"/>
                <w:color w:val="000000" w:themeColor="text1"/>
                <w:spacing w:val="-20"/>
                <w:kern w:val="0"/>
                <w:szCs w:val="21"/>
              </w:rPr>
              <w:t>中文域名使用</w:t>
            </w:r>
            <w:r>
              <w:rPr>
                <w:rFonts w:eastAsia="仿宋_GB2312"/>
                <w:color w:val="000000" w:themeColor="text1"/>
                <w:spacing w:val="-20"/>
                <w:kern w:val="0"/>
                <w:szCs w:val="21"/>
              </w:rPr>
              <w:t>满意度</w:t>
            </w:r>
          </w:p>
        </w:tc>
        <w:tc>
          <w:tcPr>
            <w:tcW w:w="3402" w:type="dxa"/>
            <w:shd w:val="clear" w:color="auto" w:fill="auto"/>
            <w:vAlign w:val="center"/>
          </w:tcPr>
          <w:p>
            <w:pPr>
              <w:widowControl/>
              <w:jc w:val="center"/>
              <w:rPr>
                <w:rFonts w:ascii="Times New Roman" w:hAnsi="Times New Roman" w:eastAsia="仿宋_GB2312" w:cs="Times New Roman"/>
                <w:color w:val="000000" w:themeColor="text1"/>
                <w:kern w:val="0"/>
                <w:szCs w:val="21"/>
              </w:rPr>
            </w:pPr>
            <w:r>
              <w:rPr>
                <w:rFonts w:eastAsia="仿宋_GB2312"/>
                <w:color w:val="000000" w:themeColor="text1"/>
                <w:kern w:val="0"/>
                <w:szCs w:val="21"/>
              </w:rPr>
              <w:t>考察</w:t>
            </w:r>
            <w:r>
              <w:rPr>
                <w:rFonts w:hint="eastAsia" w:eastAsia="仿宋_GB2312"/>
                <w:color w:val="000000" w:themeColor="text1"/>
                <w:kern w:val="0"/>
                <w:szCs w:val="21"/>
              </w:rPr>
              <w:t>域名使用人</w:t>
            </w:r>
            <w:r>
              <w:rPr>
                <w:rFonts w:eastAsia="仿宋_GB2312"/>
                <w:color w:val="000000" w:themeColor="text1"/>
                <w:kern w:val="0"/>
                <w:szCs w:val="21"/>
              </w:rPr>
              <w:t>对</w:t>
            </w:r>
            <w:r>
              <w:rPr>
                <w:rFonts w:hint="eastAsia" w:eastAsia="仿宋_GB2312"/>
                <w:color w:val="000000" w:themeColor="text1"/>
                <w:kern w:val="0"/>
                <w:szCs w:val="21"/>
              </w:rPr>
              <w:t>中文域名</w:t>
            </w:r>
            <w:r>
              <w:rPr>
                <w:rFonts w:hint="eastAsia" w:eastAsia="仿宋_GB2312"/>
                <w:color w:val="000000" w:themeColor="text1"/>
                <w:spacing w:val="-20"/>
                <w:kern w:val="0"/>
                <w:szCs w:val="21"/>
              </w:rPr>
              <w:t>使用</w:t>
            </w:r>
            <w:r>
              <w:rPr>
                <w:rFonts w:eastAsia="仿宋_GB2312"/>
                <w:color w:val="000000" w:themeColor="text1"/>
                <w:kern w:val="0"/>
                <w:szCs w:val="21"/>
              </w:rPr>
              <w:t>的满意度</w:t>
            </w:r>
          </w:p>
        </w:tc>
        <w:tc>
          <w:tcPr>
            <w:tcW w:w="1843" w:type="dxa"/>
            <w:shd w:val="clear" w:color="auto" w:fill="auto"/>
            <w:vAlign w:val="center"/>
          </w:tcPr>
          <w:p>
            <w:pPr>
              <w:spacing w:line="300" w:lineRule="exact"/>
              <w:jc w:val="center"/>
              <w:rPr>
                <w:rFonts w:ascii="Times New Roman" w:hAnsi="Times New Roman" w:eastAsia="仿宋_GB2312" w:cs="Times New Roman"/>
              </w:rPr>
            </w:pPr>
            <w:r>
              <w:rPr>
                <w:rFonts w:hint="eastAsia" w:ascii="Times New Roman" w:hAnsi="Times New Roman" w:eastAsia="仿宋_GB2312" w:cs="Times New Roman"/>
              </w:rPr>
              <w:t>≥95%</w:t>
            </w:r>
          </w:p>
        </w:tc>
        <w:tc>
          <w:tcPr>
            <w:tcW w:w="2155" w:type="dxa"/>
            <w:shd w:val="clear" w:color="auto" w:fill="auto"/>
            <w:vAlign w:val="center"/>
          </w:tcPr>
          <w:p>
            <w:pPr>
              <w:widowControl/>
              <w:jc w:val="center"/>
              <w:rPr>
                <w:rFonts w:ascii="Times New Roman" w:hAnsi="Times New Roman" w:eastAsia="仿宋_GB2312" w:cs="Times New Roman"/>
                <w:kern w:val="0"/>
                <w:szCs w:val="21"/>
              </w:rPr>
            </w:pPr>
          </w:p>
          <w:p>
            <w:pPr>
              <w:widowControl/>
              <w:jc w:val="center"/>
              <w:rPr>
                <w:rFonts w:ascii="Times New Roman" w:hAnsi="Times New Roman" w:eastAsia="仿宋_GB2312" w:cs="Times New Roman"/>
                <w:kern w:val="0"/>
                <w:szCs w:val="21"/>
              </w:rPr>
            </w:pPr>
            <w:r>
              <w:rPr>
                <w:rFonts w:hint="eastAsia" w:eastAsia="仿宋_GB2312"/>
                <w:kern w:val="0"/>
                <w:szCs w:val="21"/>
              </w:rPr>
              <w:t>随机</w:t>
            </w:r>
            <w:r>
              <w:rPr>
                <w:rFonts w:eastAsia="仿宋_GB2312"/>
                <w:kern w:val="0"/>
                <w:szCs w:val="21"/>
              </w:rPr>
              <w:t>调查问卷</w:t>
            </w:r>
          </w:p>
        </w:tc>
      </w:tr>
    </w:tbl>
    <w:p>
      <w:pPr>
        <w:autoSpaceDE w:val="0"/>
        <w:autoSpaceDN w:val="0"/>
        <w:adjustRightInd w:val="0"/>
        <w:spacing w:line="584" w:lineRule="exact"/>
        <w:jc w:val="left"/>
        <w:rPr>
          <w:rFonts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 xml:space="preserve">    </w:t>
      </w:r>
      <w:r>
        <w:rPr>
          <w:rFonts w:ascii="Times New Roman" w:hAnsi="Times New Roman" w:eastAsia="黑体" w:cs="Times New Roman"/>
          <w:sz w:val="32"/>
          <w:szCs w:val="32"/>
        </w:rPr>
        <w:t>六、政府采购预算情况</w:t>
      </w:r>
    </w:p>
    <w:p>
      <w:pPr>
        <w:spacing w:line="584" w:lineRule="exact"/>
        <w:ind w:firstLine="640" w:firstLineChars="200"/>
        <w:outlineLvl w:val="0"/>
        <w:rPr>
          <w:rFonts w:ascii="Times New Roman" w:hAnsi="Times New Roman" w:eastAsia="仿宋_GB2312" w:cs="Times New Roman"/>
          <w:sz w:val="32"/>
          <w:szCs w:val="24"/>
        </w:rPr>
      </w:pPr>
      <w:bookmarkStart w:id="1"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w:t>
      </w:r>
      <w:r>
        <w:rPr>
          <w:rFonts w:ascii="Times New Roman" w:hAnsi="Times New Roman" w:eastAsia="仿宋_GB2312" w:cs="Times New Roman"/>
          <w:sz w:val="32"/>
          <w:szCs w:val="24"/>
        </w:rPr>
        <w:t>2年，我</w:t>
      </w:r>
      <w:r>
        <w:rPr>
          <w:rFonts w:hint="eastAsia" w:ascii="Times New Roman" w:hAnsi="Times New Roman" w:eastAsia="仿宋_GB2312" w:cs="Times New Roman"/>
          <w:sz w:val="32"/>
          <w:szCs w:val="24"/>
          <w:lang w:eastAsia="zh-CN"/>
        </w:rPr>
        <w:t>单位</w:t>
      </w:r>
      <w:r>
        <w:rPr>
          <w:rFonts w:ascii="Times New Roman" w:hAnsi="Times New Roman" w:eastAsia="仿宋_GB2312" w:cs="Times New Roman"/>
          <w:sz w:val="32"/>
          <w:szCs w:val="24"/>
        </w:rPr>
        <w:t>安排政府采购预算</w:t>
      </w:r>
      <w:r>
        <w:rPr>
          <w:rFonts w:hint="eastAsia" w:ascii="Times New Roman" w:hAnsi="Times New Roman" w:eastAsia="仿宋_GB2312" w:cs="Times New Roman"/>
          <w:sz w:val="32"/>
          <w:szCs w:val="24"/>
          <w:lang w:val="en-US" w:eastAsia="zh-CN"/>
        </w:rPr>
        <w:t>0</w:t>
      </w:r>
      <w:r>
        <w:rPr>
          <w:rFonts w:ascii="Times New Roman" w:hAnsi="Times New Roman" w:eastAsia="仿宋_GB2312" w:cs="Times New Roman"/>
          <w:sz w:val="32"/>
          <w:szCs w:val="24"/>
        </w:rPr>
        <w:t>万元。具体内容见下表。</w:t>
      </w:r>
    </w:p>
    <w:bookmarkEnd w:id="1"/>
    <w:p>
      <w:pPr>
        <w:jc w:val="center"/>
        <w:outlineLvl w:val="1"/>
        <w:rPr>
          <w:rFonts w:ascii="方正小标宋_GBK" w:eastAsia="方正小标宋_GBK" w:cs="Times New Roman"/>
          <w:sz w:val="32"/>
        </w:rPr>
      </w:pPr>
      <w:bookmarkStart w:id="2" w:name="_Toc64920910"/>
      <w:r>
        <w:rPr>
          <w:rFonts w:hint="eastAsia" w:ascii="方正小标宋_GBK" w:eastAsia="方正小标宋_GBK" w:cs="Times New Roman"/>
          <w:sz w:val="32"/>
          <w:lang w:eastAsia="zh-CN"/>
        </w:rPr>
        <w:t>单位</w:t>
      </w:r>
      <w:r>
        <w:rPr>
          <w:rFonts w:hint="eastAsia" w:ascii="方正小标宋_GBK" w:eastAsia="方正小标宋_GBK" w:cs="Times New Roman"/>
          <w:sz w:val="32"/>
        </w:rPr>
        <w:t>政府采购预算</w:t>
      </w:r>
      <w:bookmarkEnd w:id="2"/>
    </w:p>
    <w:p>
      <w:pPr>
        <w:outlineLvl w:val="1"/>
        <w:rPr>
          <w:rFonts w:hint="eastAsia" w:ascii="方正小标宋_GBK" w:eastAsia="方正小标宋_GBK" w:cs="Times New Roman"/>
          <w:sz w:val="32"/>
        </w:rPr>
      </w:pPr>
      <w:r>
        <w:rPr>
          <w:rFonts w:hint="eastAsia"/>
          <w:lang w:eastAsia="zh-CN"/>
        </w:rPr>
        <w:t>中共廊坊市委机构编制委员会办公室</w:t>
      </w:r>
      <w:r>
        <w:t xml:space="preserve">                                                                             单位：万元</w:t>
      </w:r>
    </w:p>
    <w:tbl>
      <w:tblPr>
        <w:tblStyle w:val="9"/>
        <w:tblW w:w="154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97"/>
        <w:gridCol w:w="964"/>
        <w:gridCol w:w="1134"/>
        <w:gridCol w:w="1134"/>
        <w:gridCol w:w="709"/>
        <w:gridCol w:w="850"/>
        <w:gridCol w:w="850"/>
        <w:gridCol w:w="964"/>
        <w:gridCol w:w="964"/>
        <w:gridCol w:w="964"/>
        <w:gridCol w:w="964"/>
        <w:gridCol w:w="964"/>
        <w:gridCol w:w="964"/>
        <w:gridCol w:w="964"/>
        <w:gridCol w:w="964"/>
        <w:gridCol w:w="96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061" w:type="dxa"/>
            <w:gridSpan w:val="2"/>
            <w:vAlign w:val="center"/>
          </w:tcPr>
          <w:p>
            <w:pPr>
              <w:pStyle w:val="13"/>
            </w:pPr>
            <w:r>
              <w:t>政府采购项目来源</w:t>
            </w:r>
          </w:p>
        </w:tc>
        <w:tc>
          <w:tcPr>
            <w:tcW w:w="1134" w:type="dxa"/>
            <w:vMerge w:val="restart"/>
            <w:vAlign w:val="center"/>
          </w:tcPr>
          <w:p>
            <w:pPr>
              <w:pStyle w:val="13"/>
            </w:pPr>
            <w:r>
              <w:t>采购物品名称</w:t>
            </w:r>
          </w:p>
        </w:tc>
        <w:tc>
          <w:tcPr>
            <w:tcW w:w="1134" w:type="dxa"/>
            <w:vMerge w:val="restart"/>
            <w:vAlign w:val="center"/>
          </w:tcPr>
          <w:p>
            <w:pPr>
              <w:pStyle w:val="13"/>
            </w:pPr>
            <w:r>
              <w:t>政府采购目录序号</w:t>
            </w:r>
          </w:p>
        </w:tc>
        <w:tc>
          <w:tcPr>
            <w:tcW w:w="709" w:type="dxa"/>
            <w:vMerge w:val="restart"/>
            <w:vAlign w:val="center"/>
          </w:tcPr>
          <w:p>
            <w:pPr>
              <w:pStyle w:val="13"/>
            </w:pPr>
            <w:r>
              <w:t>计量  单位</w:t>
            </w:r>
          </w:p>
        </w:tc>
        <w:tc>
          <w:tcPr>
            <w:tcW w:w="850" w:type="dxa"/>
            <w:vMerge w:val="restart"/>
            <w:vAlign w:val="center"/>
          </w:tcPr>
          <w:p>
            <w:pPr>
              <w:pStyle w:val="13"/>
            </w:pPr>
            <w:r>
              <w:t>数量</w:t>
            </w:r>
          </w:p>
        </w:tc>
        <w:tc>
          <w:tcPr>
            <w:tcW w:w="850" w:type="dxa"/>
            <w:vMerge w:val="restart"/>
            <w:vAlign w:val="center"/>
          </w:tcPr>
          <w:p>
            <w:pPr>
              <w:pStyle w:val="13"/>
            </w:pPr>
            <w:r>
              <w:t>单价</w:t>
            </w:r>
          </w:p>
        </w:tc>
        <w:tc>
          <w:tcPr>
            <w:tcW w:w="7712" w:type="dxa"/>
            <w:gridSpan w:val="8"/>
            <w:vAlign w:val="center"/>
          </w:tcPr>
          <w:p>
            <w:pPr>
              <w:pStyle w:val="13"/>
            </w:pPr>
            <w:r>
              <w:t>政府采购金额（当年</w:t>
            </w:r>
            <w:r>
              <w:rPr>
                <w:rFonts w:hint="eastAsia"/>
                <w:lang w:eastAsia="zh-CN"/>
              </w:rPr>
              <w:t>单位</w:t>
            </w:r>
            <w:r>
              <w:t>预算安排资金）</w:t>
            </w:r>
          </w:p>
        </w:tc>
        <w:tc>
          <w:tcPr>
            <w:tcW w:w="964" w:type="dxa"/>
            <w:vMerge w:val="restart"/>
            <w:vAlign w:val="center"/>
          </w:tcPr>
          <w:p>
            <w:pPr>
              <w:pStyle w:val="13"/>
            </w:pPr>
            <w:r>
              <w:t>2022年  预留中  小微企  业份额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097" w:type="dxa"/>
            <w:vAlign w:val="center"/>
          </w:tcPr>
          <w:p>
            <w:pPr>
              <w:pStyle w:val="13"/>
            </w:pPr>
            <w:r>
              <w:t>项目名称</w:t>
            </w:r>
          </w:p>
        </w:tc>
        <w:tc>
          <w:tcPr>
            <w:tcW w:w="964" w:type="dxa"/>
            <w:vAlign w:val="center"/>
          </w:tcPr>
          <w:p>
            <w:pPr>
              <w:pStyle w:val="13"/>
            </w:pPr>
            <w:r>
              <w:t>预算    资金</w:t>
            </w:r>
          </w:p>
        </w:tc>
        <w:tc>
          <w:tcPr>
            <w:tcW w:w="1134" w:type="dxa"/>
            <w:vMerge w:val="continue"/>
          </w:tcPr>
          <w:p/>
        </w:tc>
        <w:tc>
          <w:tcPr>
            <w:tcW w:w="1134" w:type="dxa"/>
            <w:vMerge w:val="continue"/>
          </w:tcPr>
          <w:p/>
        </w:tc>
        <w:tc>
          <w:tcPr>
            <w:tcW w:w="709" w:type="dxa"/>
            <w:vMerge w:val="continue"/>
          </w:tcPr>
          <w:p/>
        </w:tc>
        <w:tc>
          <w:tcPr>
            <w:tcW w:w="850" w:type="dxa"/>
            <w:vMerge w:val="continue"/>
          </w:tcPr>
          <w:p/>
        </w:tc>
        <w:tc>
          <w:tcPr>
            <w:tcW w:w="850" w:type="dxa"/>
            <w:vMerge w:val="continue"/>
          </w:tcPr>
          <w:p/>
        </w:tc>
        <w:tc>
          <w:tcPr>
            <w:tcW w:w="964" w:type="dxa"/>
            <w:vAlign w:val="center"/>
          </w:tcPr>
          <w:p>
            <w:pPr>
              <w:pStyle w:val="13"/>
            </w:pPr>
            <w:r>
              <w:t>合计</w:t>
            </w:r>
          </w:p>
        </w:tc>
        <w:tc>
          <w:tcPr>
            <w:tcW w:w="964" w:type="dxa"/>
            <w:vAlign w:val="center"/>
          </w:tcPr>
          <w:p>
            <w:pPr>
              <w:pStyle w:val="13"/>
            </w:pPr>
            <w:r>
              <w:t>一般公共预算拨款</w:t>
            </w:r>
          </w:p>
        </w:tc>
        <w:tc>
          <w:tcPr>
            <w:tcW w:w="964" w:type="dxa"/>
            <w:vAlign w:val="center"/>
          </w:tcPr>
          <w:p>
            <w:pPr>
              <w:pStyle w:val="13"/>
            </w:pPr>
            <w:r>
              <w:t>基金预算拨款</w:t>
            </w:r>
          </w:p>
        </w:tc>
        <w:tc>
          <w:tcPr>
            <w:tcW w:w="964" w:type="dxa"/>
            <w:vAlign w:val="center"/>
          </w:tcPr>
          <w:p>
            <w:pPr>
              <w:pStyle w:val="13"/>
            </w:pPr>
            <w:r>
              <w:t>国有资本经营预算拨款</w:t>
            </w:r>
          </w:p>
        </w:tc>
        <w:tc>
          <w:tcPr>
            <w:tcW w:w="964" w:type="dxa"/>
            <w:vAlign w:val="center"/>
          </w:tcPr>
          <w:p>
            <w:pPr>
              <w:pStyle w:val="13"/>
            </w:pPr>
            <w:r>
              <w:t>财政专户核拨</w:t>
            </w:r>
          </w:p>
        </w:tc>
        <w:tc>
          <w:tcPr>
            <w:tcW w:w="964" w:type="dxa"/>
            <w:vAlign w:val="center"/>
          </w:tcPr>
          <w:p>
            <w:pPr>
              <w:pStyle w:val="13"/>
            </w:pPr>
            <w:r>
              <w:t>单位    资金</w:t>
            </w:r>
          </w:p>
        </w:tc>
        <w:tc>
          <w:tcPr>
            <w:tcW w:w="964" w:type="dxa"/>
            <w:vAlign w:val="center"/>
          </w:tcPr>
          <w:p>
            <w:pPr>
              <w:pStyle w:val="13"/>
            </w:pPr>
            <w:r>
              <w:t>财政拨    款结转</w:t>
            </w:r>
          </w:p>
        </w:tc>
        <w:tc>
          <w:tcPr>
            <w:tcW w:w="964" w:type="dxa"/>
            <w:vAlign w:val="center"/>
          </w:tcPr>
          <w:p>
            <w:pPr>
              <w:pStyle w:val="13"/>
            </w:pPr>
            <w:r>
              <w:t>非财政    拨款结    转结余</w:t>
            </w:r>
          </w:p>
        </w:tc>
        <w:tc>
          <w:tcPr>
            <w:tcW w:w="964" w:type="dxa"/>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pPr>
              <w:pStyle w:val="17"/>
            </w:pPr>
            <w:r>
              <w:t>合  计</w:t>
            </w:r>
          </w:p>
        </w:tc>
        <w:tc>
          <w:tcPr>
            <w:tcW w:w="964" w:type="dxa"/>
            <w:vAlign w:val="center"/>
          </w:tcPr>
          <w:p>
            <w:pPr>
              <w:pStyle w:val="18"/>
            </w:pPr>
          </w:p>
        </w:tc>
        <w:tc>
          <w:tcPr>
            <w:tcW w:w="1134" w:type="dxa"/>
            <w:vAlign w:val="center"/>
          </w:tcPr>
          <w:p>
            <w:pPr>
              <w:pStyle w:val="19"/>
            </w:pPr>
          </w:p>
        </w:tc>
        <w:tc>
          <w:tcPr>
            <w:tcW w:w="1134" w:type="dxa"/>
            <w:vAlign w:val="center"/>
          </w:tcPr>
          <w:p>
            <w:pPr>
              <w:pStyle w:val="19"/>
            </w:pPr>
          </w:p>
        </w:tc>
        <w:tc>
          <w:tcPr>
            <w:tcW w:w="709" w:type="dxa"/>
            <w:vAlign w:val="center"/>
          </w:tcPr>
          <w:p>
            <w:pPr>
              <w:pStyle w:val="17"/>
            </w:pPr>
          </w:p>
        </w:tc>
        <w:tc>
          <w:tcPr>
            <w:tcW w:w="850" w:type="dxa"/>
            <w:vAlign w:val="center"/>
          </w:tcPr>
          <w:p>
            <w:pPr>
              <w:pStyle w:val="18"/>
            </w:pPr>
          </w:p>
        </w:tc>
        <w:tc>
          <w:tcPr>
            <w:tcW w:w="850"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097" w:type="dxa"/>
            <w:vAlign w:val="center"/>
          </w:tcPr>
          <w:p>
            <w:pPr>
              <w:pStyle w:val="17"/>
            </w:pPr>
          </w:p>
        </w:tc>
        <w:tc>
          <w:tcPr>
            <w:tcW w:w="964" w:type="dxa"/>
            <w:vAlign w:val="center"/>
          </w:tcPr>
          <w:p>
            <w:pPr>
              <w:pStyle w:val="18"/>
            </w:pPr>
          </w:p>
        </w:tc>
        <w:tc>
          <w:tcPr>
            <w:tcW w:w="1134" w:type="dxa"/>
            <w:vAlign w:val="center"/>
          </w:tcPr>
          <w:p>
            <w:pPr>
              <w:pStyle w:val="19"/>
            </w:pPr>
          </w:p>
        </w:tc>
        <w:tc>
          <w:tcPr>
            <w:tcW w:w="1134" w:type="dxa"/>
            <w:vAlign w:val="center"/>
          </w:tcPr>
          <w:p>
            <w:pPr>
              <w:pStyle w:val="19"/>
            </w:pPr>
          </w:p>
        </w:tc>
        <w:tc>
          <w:tcPr>
            <w:tcW w:w="709" w:type="dxa"/>
            <w:vAlign w:val="center"/>
          </w:tcPr>
          <w:p>
            <w:pPr>
              <w:pStyle w:val="17"/>
            </w:pPr>
          </w:p>
        </w:tc>
        <w:tc>
          <w:tcPr>
            <w:tcW w:w="850" w:type="dxa"/>
            <w:vAlign w:val="center"/>
          </w:tcPr>
          <w:p>
            <w:pPr>
              <w:pStyle w:val="18"/>
            </w:pPr>
          </w:p>
        </w:tc>
        <w:tc>
          <w:tcPr>
            <w:tcW w:w="850"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pPr>
              <w:pStyle w:val="15"/>
            </w:pPr>
          </w:p>
        </w:tc>
        <w:tc>
          <w:tcPr>
            <w:tcW w:w="964" w:type="dxa"/>
            <w:vAlign w:val="center"/>
          </w:tcPr>
          <w:p>
            <w:pPr>
              <w:pStyle w:val="14"/>
            </w:pPr>
          </w:p>
        </w:tc>
        <w:tc>
          <w:tcPr>
            <w:tcW w:w="1134" w:type="dxa"/>
            <w:vAlign w:val="center"/>
          </w:tcPr>
          <w:p>
            <w:pPr>
              <w:pStyle w:val="15"/>
            </w:pPr>
          </w:p>
        </w:tc>
        <w:tc>
          <w:tcPr>
            <w:tcW w:w="1134" w:type="dxa"/>
            <w:vAlign w:val="center"/>
          </w:tcPr>
          <w:p>
            <w:pPr>
              <w:pStyle w:val="15"/>
            </w:pPr>
          </w:p>
        </w:tc>
        <w:tc>
          <w:tcPr>
            <w:tcW w:w="709" w:type="dxa"/>
            <w:vAlign w:val="center"/>
          </w:tcPr>
          <w:p>
            <w:pPr>
              <w:pStyle w:val="16"/>
            </w:pPr>
          </w:p>
        </w:tc>
        <w:tc>
          <w:tcPr>
            <w:tcW w:w="850" w:type="dxa"/>
            <w:vAlign w:val="center"/>
          </w:tcPr>
          <w:p>
            <w:pPr>
              <w:pStyle w:val="14"/>
            </w:pPr>
          </w:p>
        </w:tc>
        <w:tc>
          <w:tcPr>
            <w:tcW w:w="850"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pPr>
              <w:pStyle w:val="15"/>
            </w:pPr>
          </w:p>
        </w:tc>
        <w:tc>
          <w:tcPr>
            <w:tcW w:w="964" w:type="dxa"/>
            <w:vAlign w:val="center"/>
          </w:tcPr>
          <w:p>
            <w:pPr>
              <w:pStyle w:val="14"/>
            </w:pPr>
          </w:p>
        </w:tc>
        <w:tc>
          <w:tcPr>
            <w:tcW w:w="1134" w:type="dxa"/>
            <w:vAlign w:val="center"/>
          </w:tcPr>
          <w:p>
            <w:pPr>
              <w:pStyle w:val="15"/>
            </w:pPr>
          </w:p>
        </w:tc>
        <w:tc>
          <w:tcPr>
            <w:tcW w:w="1134" w:type="dxa"/>
            <w:vAlign w:val="center"/>
          </w:tcPr>
          <w:p>
            <w:pPr>
              <w:pStyle w:val="15"/>
            </w:pPr>
          </w:p>
        </w:tc>
        <w:tc>
          <w:tcPr>
            <w:tcW w:w="709" w:type="dxa"/>
            <w:vAlign w:val="center"/>
          </w:tcPr>
          <w:p>
            <w:pPr>
              <w:pStyle w:val="16"/>
            </w:pPr>
          </w:p>
        </w:tc>
        <w:tc>
          <w:tcPr>
            <w:tcW w:w="850" w:type="dxa"/>
            <w:vAlign w:val="center"/>
          </w:tcPr>
          <w:p>
            <w:pPr>
              <w:pStyle w:val="14"/>
            </w:pPr>
          </w:p>
        </w:tc>
        <w:tc>
          <w:tcPr>
            <w:tcW w:w="850"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pPr>
              <w:pStyle w:val="15"/>
            </w:pPr>
          </w:p>
        </w:tc>
        <w:tc>
          <w:tcPr>
            <w:tcW w:w="964" w:type="dxa"/>
            <w:vAlign w:val="center"/>
          </w:tcPr>
          <w:p>
            <w:pPr>
              <w:pStyle w:val="14"/>
            </w:pPr>
          </w:p>
        </w:tc>
        <w:tc>
          <w:tcPr>
            <w:tcW w:w="1134" w:type="dxa"/>
            <w:vAlign w:val="center"/>
          </w:tcPr>
          <w:p>
            <w:pPr>
              <w:pStyle w:val="15"/>
            </w:pPr>
          </w:p>
        </w:tc>
        <w:tc>
          <w:tcPr>
            <w:tcW w:w="1134" w:type="dxa"/>
            <w:vAlign w:val="center"/>
          </w:tcPr>
          <w:p>
            <w:pPr>
              <w:pStyle w:val="15"/>
            </w:pPr>
          </w:p>
        </w:tc>
        <w:tc>
          <w:tcPr>
            <w:tcW w:w="709" w:type="dxa"/>
            <w:vAlign w:val="center"/>
          </w:tcPr>
          <w:p>
            <w:pPr>
              <w:pStyle w:val="16"/>
            </w:pPr>
          </w:p>
        </w:tc>
        <w:tc>
          <w:tcPr>
            <w:tcW w:w="850" w:type="dxa"/>
            <w:vAlign w:val="center"/>
          </w:tcPr>
          <w:p>
            <w:pPr>
              <w:pStyle w:val="14"/>
            </w:pPr>
          </w:p>
        </w:tc>
        <w:tc>
          <w:tcPr>
            <w:tcW w:w="850"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r>
    </w:tbl>
    <w:p>
      <w:pPr>
        <w:spacing w:line="500" w:lineRule="exact"/>
        <w:ind w:firstLine="420"/>
        <w:rPr>
          <w:rFonts w:ascii="方正仿宋_GBK" w:hAnsi="方正仿宋_GBK" w:eastAsia="方正仿宋_GBK" w:cs="方正仿宋_GBK"/>
          <w:color w:val="000000"/>
        </w:rPr>
      </w:pPr>
      <w:r>
        <w:rPr>
          <w:rFonts w:ascii="方正仿宋_GBK" w:hAnsi="方正仿宋_GBK" w:eastAsia="方正仿宋_GBK" w:cs="方正仿宋_GBK"/>
          <w:color w:val="000000"/>
        </w:rPr>
        <w:t>注：同一采购目录序号的物品，其单价会因配置规格不同而变动，均符合资产配置标准。涉密采购事项按照相关规定执行。</w:t>
      </w:r>
    </w:p>
    <w:p>
      <w:pPr>
        <w:spacing w:line="500" w:lineRule="exact"/>
        <w:ind w:firstLine="420"/>
        <w:rPr>
          <w:rFonts w:hint="eastAsia" w:ascii="方正仿宋_GBK" w:hAnsi="方正仿宋_GBK" w:eastAsia="方正仿宋_GBK" w:cs="方正仿宋_GBK"/>
          <w:color w:val="000000"/>
        </w:rPr>
      </w:pPr>
    </w:p>
    <w:p>
      <w:pPr>
        <w:spacing w:line="500" w:lineRule="exact"/>
        <w:ind w:firstLine="420"/>
        <w:rPr>
          <w:rFonts w:ascii="Times New Roman" w:hAnsi="Times New Roman" w:eastAsia="黑体" w:cs="Times New Roman"/>
          <w:sz w:val="32"/>
          <w:szCs w:val="32"/>
        </w:rPr>
      </w:pPr>
      <w:r>
        <w:rPr>
          <w:rFonts w:ascii="Times New Roman" w:hAnsi="Times New Roman" w:eastAsia="黑体" w:cs="Times New Roman"/>
          <w:sz w:val="32"/>
          <w:szCs w:val="32"/>
        </w:rPr>
        <w:t>七、国有资产信息</w:t>
      </w:r>
    </w:p>
    <w:p>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中共廊坊市委机构编制委员会办公室</w:t>
      </w:r>
      <w:r>
        <w:rPr>
          <w:rFonts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lang w:val="en-US" w:eastAsia="zh-CN"/>
        </w:rPr>
        <w:t>294.09</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拟购置固定资产</w:t>
      </w:r>
      <w:r>
        <w:rPr>
          <w:rFonts w:hint="eastAsia" w:ascii="Times New Roman" w:hAnsi="Times New Roman" w:eastAsia="仿宋_GB2312" w:cs="Times New Roman"/>
          <w:sz w:val="32"/>
          <w:szCs w:val="32"/>
        </w:rPr>
        <w:t>总额为</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，已列入政府采购预算</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详见</w:t>
      </w:r>
      <w:r>
        <w:rPr>
          <w:rFonts w:hint="eastAsia" w:ascii="Times New Roman" w:hAnsi="Times New Roman" w:eastAsia="仿宋_GB2312" w:cs="Times New Roman"/>
          <w:sz w:val="32"/>
          <w:szCs w:val="32"/>
        </w:rPr>
        <w:t>政府采购</w:t>
      </w:r>
      <w:r>
        <w:rPr>
          <w:rFonts w:ascii="Times New Roman" w:hAnsi="Times New Roman" w:eastAsia="仿宋_GB2312" w:cs="Times New Roman"/>
          <w:sz w:val="32"/>
          <w:szCs w:val="32"/>
        </w:rPr>
        <w:t>预算表。</w:t>
      </w:r>
    </w:p>
    <w:p>
      <w:pPr>
        <w:spacing w:line="584" w:lineRule="exact"/>
        <w:ind w:firstLine="640"/>
        <w:rPr>
          <w:rFonts w:ascii="Times New Roman" w:hAnsi="Times New Roman" w:eastAsia="仿宋_GB2312" w:cs="Times New Roman"/>
          <w:sz w:val="32"/>
          <w:szCs w:val="32"/>
        </w:rPr>
      </w:pPr>
    </w:p>
    <w:tbl>
      <w:tblPr>
        <w:tblStyle w:val="9"/>
        <w:tblW w:w="13482" w:type="dxa"/>
        <w:tblInd w:w="93" w:type="dxa"/>
        <w:tblLayout w:type="fixed"/>
        <w:tblCellMar>
          <w:top w:w="0" w:type="dxa"/>
          <w:left w:w="108" w:type="dxa"/>
          <w:bottom w:w="0" w:type="dxa"/>
          <w:right w:w="108" w:type="dxa"/>
        </w:tblCellMar>
      </w:tblPr>
      <w:tblGrid>
        <w:gridCol w:w="5224"/>
        <w:gridCol w:w="3155"/>
        <w:gridCol w:w="5103"/>
      </w:tblGrid>
      <w:tr>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vAlign w:val="center"/>
          </w:tcPr>
          <w:p>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w:t>
            </w:r>
            <w:r>
              <w:rPr>
                <w:rFonts w:hint="eastAsia" w:ascii="Times New Roman" w:hAnsi="Times New Roman" w:eastAsia="仿宋_GB2312" w:cs="Times New Roman"/>
                <w:b/>
                <w:bCs/>
                <w:kern w:val="0"/>
                <w:sz w:val="32"/>
                <w:szCs w:val="32"/>
                <w:lang w:eastAsia="zh-CN"/>
              </w:rPr>
              <w:t>单位</w:t>
            </w:r>
            <w:r>
              <w:rPr>
                <w:rFonts w:ascii="Times New Roman" w:hAnsi="Times New Roman" w:eastAsia="仿宋_GB2312" w:cs="Times New Roman"/>
                <w:b/>
                <w:bCs/>
                <w:kern w:val="0"/>
                <w:sz w:val="32"/>
                <w:szCs w:val="32"/>
              </w:rPr>
              <w:t>固定资产占用情况表</w:t>
            </w:r>
          </w:p>
        </w:tc>
      </w:tr>
      <w:tr>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vAlign w:val="center"/>
          </w:tcPr>
          <w:p>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w:t>
            </w:r>
            <w:r>
              <w:rPr>
                <w:rFonts w:hint="eastAsia" w:ascii="Times New Roman" w:hAnsi="Times New Roman" w:eastAsia="仿宋_GB2312" w:cs="Times New Roman"/>
                <w:kern w:val="0"/>
                <w:sz w:val="22"/>
                <w:lang w:eastAsia="zh-CN"/>
              </w:rPr>
              <w:t>单位</w:t>
            </w:r>
            <w:r>
              <w:rPr>
                <w:rFonts w:ascii="Times New Roman" w:hAnsi="Times New Roman" w:eastAsia="仿宋_GB2312" w:cs="Times New Roman"/>
                <w:kern w:val="0"/>
                <w:sz w:val="22"/>
              </w:rPr>
              <w:t>：</w:t>
            </w:r>
            <w:r>
              <w:rPr>
                <w:rFonts w:hint="eastAsia" w:ascii="Times New Roman" w:hAnsi="Times New Roman" w:eastAsia="仿宋_GB2312" w:cs="Times New Roman"/>
                <w:kern w:val="0"/>
                <w:sz w:val="22"/>
                <w:lang w:eastAsia="zh-CN"/>
              </w:rPr>
              <w:t>中共廊坊市委机构编制委员会办公室</w:t>
            </w:r>
          </w:p>
        </w:tc>
        <w:tc>
          <w:tcPr>
            <w:tcW w:w="5103" w:type="dxa"/>
            <w:tcBorders>
              <w:top w:val="nil"/>
              <w:left w:val="nil"/>
              <w:bottom w:val="nil"/>
              <w:right w:val="nil"/>
            </w:tcBorders>
            <w:shd w:val="clear" w:color="auto" w:fill="auto"/>
            <w:vAlign w:val="center"/>
          </w:tcPr>
          <w:p>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w:t>
            </w:r>
            <w:r>
              <w:rPr>
                <w:rFonts w:ascii="Times New Roman" w:hAnsi="Times New Roman" w:eastAsia="仿宋_GB2312" w:cs="Times New Roman"/>
                <w:kern w:val="0"/>
                <w:sz w:val="22"/>
              </w:rPr>
              <w:t xml:space="preserve">1年12月31日  </w:t>
            </w:r>
          </w:p>
        </w:tc>
      </w:tr>
      <w:tr>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vAlign w:val="center"/>
          </w:tcPr>
          <w:p>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vAlign w:val="center"/>
          </w:tcPr>
          <w:p>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vAlign w:val="center"/>
          </w:tcPr>
          <w:p>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vAlign w:val="center"/>
          </w:tcPr>
          <w:p>
            <w:pPr>
              <w:spacing w:line="584" w:lineRule="exact"/>
              <w:jc w:val="center"/>
              <w:rPr>
                <w:rFonts w:hint="eastAsia"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294.09</w:t>
            </w:r>
          </w:p>
        </w:tc>
      </w:tr>
      <w:tr>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vAlign w:val="center"/>
          </w:tcPr>
          <w:p>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vAlign w:val="center"/>
          </w:tcPr>
          <w:p>
            <w:pPr>
              <w:spacing w:line="584" w:lineRule="exact"/>
              <w:jc w:val="center"/>
              <w:rPr>
                <w:rFonts w:ascii="Times New Roman" w:hAnsi="Times New Roman" w:eastAsia="仿宋_GB2312" w:cs="Times New Roman"/>
                <w:sz w:val="22"/>
              </w:rPr>
            </w:pPr>
          </w:p>
        </w:tc>
      </w:tr>
      <w:tr>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vAlign w:val="center"/>
          </w:tcPr>
          <w:p>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vAlign w:val="center"/>
          </w:tcPr>
          <w:p>
            <w:pPr>
              <w:spacing w:line="584" w:lineRule="exact"/>
              <w:jc w:val="center"/>
              <w:rPr>
                <w:rFonts w:ascii="Times New Roman" w:hAnsi="Times New Roman" w:eastAsia="仿宋_GB2312" w:cs="Times New Roman"/>
                <w:sz w:val="22"/>
              </w:rPr>
            </w:pPr>
          </w:p>
        </w:tc>
      </w:tr>
      <w:tr>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vAlign w:val="center"/>
          </w:tcPr>
          <w:p>
            <w:pPr>
              <w:spacing w:line="584" w:lineRule="exact"/>
              <w:jc w:val="center"/>
              <w:rPr>
                <w:rFonts w:hint="eastAsia"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2</w:t>
            </w:r>
          </w:p>
        </w:tc>
        <w:tc>
          <w:tcPr>
            <w:tcW w:w="5103" w:type="dxa"/>
            <w:tcBorders>
              <w:top w:val="nil"/>
              <w:left w:val="nil"/>
              <w:bottom w:val="single" w:color="auto" w:sz="4" w:space="0"/>
              <w:right w:val="single" w:color="auto" w:sz="4" w:space="0"/>
            </w:tcBorders>
            <w:shd w:val="clear" w:color="auto" w:fill="auto"/>
            <w:vAlign w:val="center"/>
          </w:tcPr>
          <w:p>
            <w:pPr>
              <w:spacing w:line="584" w:lineRule="exact"/>
              <w:jc w:val="center"/>
              <w:rPr>
                <w:rFonts w:hint="eastAsia"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39.37</w:t>
            </w:r>
          </w:p>
        </w:tc>
      </w:tr>
      <w:tr>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vAlign w:val="center"/>
          </w:tcPr>
          <w:p>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vAlign w:val="center"/>
          </w:tcPr>
          <w:p>
            <w:pPr>
              <w:spacing w:line="584" w:lineRule="exact"/>
              <w:jc w:val="center"/>
              <w:rPr>
                <w:rFonts w:ascii="Times New Roman" w:hAnsi="Times New Roman" w:eastAsia="仿宋_GB2312" w:cs="Times New Roman"/>
                <w:sz w:val="22"/>
              </w:rPr>
            </w:pPr>
          </w:p>
        </w:tc>
      </w:tr>
      <w:tr>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vAlign w:val="center"/>
          </w:tcPr>
          <w:p>
            <w:pPr>
              <w:spacing w:line="584" w:lineRule="exact"/>
              <w:jc w:val="center"/>
              <w:rPr>
                <w:rFonts w:hint="eastAsia"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425</w:t>
            </w:r>
          </w:p>
        </w:tc>
        <w:tc>
          <w:tcPr>
            <w:tcW w:w="5103" w:type="dxa"/>
            <w:tcBorders>
              <w:top w:val="nil"/>
              <w:left w:val="nil"/>
              <w:bottom w:val="single" w:color="auto" w:sz="4" w:space="0"/>
              <w:right w:val="single" w:color="auto" w:sz="4" w:space="0"/>
            </w:tcBorders>
            <w:shd w:val="clear" w:color="auto" w:fill="auto"/>
            <w:vAlign w:val="center"/>
          </w:tcPr>
          <w:p>
            <w:pPr>
              <w:spacing w:line="584" w:lineRule="exact"/>
              <w:jc w:val="center"/>
              <w:rPr>
                <w:rFonts w:hint="eastAsia"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254.72</w:t>
            </w:r>
          </w:p>
        </w:tc>
      </w:tr>
    </w:tbl>
    <w:p>
      <w:pPr>
        <w:autoSpaceDE w:val="0"/>
        <w:autoSpaceDN w:val="0"/>
        <w:adjustRightInd w:val="0"/>
        <w:spacing w:line="584" w:lineRule="exact"/>
        <w:ind w:firstLine="640" w:firstLineChars="200"/>
        <w:jc w:val="left"/>
        <w:rPr>
          <w:rFonts w:ascii="Times New Roman" w:hAnsi="Times New Roman" w:eastAsia="黑体" w:cs="Times New Roman"/>
          <w:sz w:val="32"/>
          <w:szCs w:val="32"/>
        </w:rPr>
      </w:pPr>
    </w:p>
    <w:p>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八、名词解释</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w:t>
      </w:r>
      <w:r>
        <w:rPr>
          <w:rFonts w:hint="eastAsia" w:ascii="Times New Roman" w:hAnsi="Times New Roman" w:eastAsia="仿宋_GB2312" w:cs="Times New Roman"/>
          <w:sz w:val="32"/>
          <w:szCs w:val="32"/>
          <w:lang w:eastAsia="zh-CN"/>
        </w:rPr>
        <w:t>市</w:t>
      </w:r>
      <w:r>
        <w:rPr>
          <w:rFonts w:ascii="Times New Roman" w:hAnsi="Times New Roman" w:eastAsia="仿宋_GB2312" w:cs="Times New Roman"/>
          <w:sz w:val="32"/>
          <w:szCs w:val="32"/>
        </w:rPr>
        <w:t>级财政当年拨付的资金。</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w:t>
      </w:r>
      <w:r>
        <w:rPr>
          <w:rFonts w:hint="eastAsia" w:ascii="Times New Roman" w:hAnsi="Times New Roman" w:eastAsia="仿宋_GB2312" w:cs="Times New Roman"/>
          <w:sz w:val="32"/>
          <w:szCs w:val="32"/>
          <w:lang w:eastAsia="zh-CN"/>
        </w:rPr>
        <w:t>市</w:t>
      </w:r>
      <w:r>
        <w:rPr>
          <w:rFonts w:ascii="Times New Roman" w:hAnsi="Times New Roman" w:eastAsia="仿宋_GB2312" w:cs="Times New Roman"/>
          <w:sz w:val="32"/>
          <w:szCs w:val="32"/>
        </w:rPr>
        <w:t>级财政预算管理的“三公”经费，是指</w:t>
      </w:r>
      <w:r>
        <w:rPr>
          <w:rFonts w:hint="eastAsia" w:ascii="Times New Roman" w:hAnsi="Times New Roman" w:eastAsia="仿宋_GB2312" w:cs="Times New Roman"/>
          <w:sz w:val="32"/>
          <w:szCs w:val="32"/>
          <w:lang w:eastAsia="zh-CN"/>
        </w:rPr>
        <w:t>市</w:t>
      </w:r>
      <w:r>
        <w:rPr>
          <w:rFonts w:ascii="Times New Roman" w:hAnsi="Times New Roman" w:eastAsia="仿宋_GB2312" w:cs="Times New Roman"/>
          <w:sz w:val="32"/>
          <w:szCs w:val="32"/>
        </w:rPr>
        <w:t>级</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九、其他需要说明的事项</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无其他需要说明的事项。</w:t>
      </w:r>
    </w:p>
    <w:sectPr>
      <w:footerReference r:id="rId3" w:type="default"/>
      <w:pgSz w:w="16838" w:h="11906" w:orient="landscape"/>
      <w:pgMar w:top="1800" w:right="1440" w:bottom="1800" w:left="144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书宋_GBK">
    <w:altName w:val="微软雅黑"/>
    <w:panose1 w:val="00000000000000000000"/>
    <w:charset w:val="86"/>
    <w:family w:val="roman"/>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hint="eastAsia"/>
      </w:rPr>
      <w:t>-</w:t>
    </w:r>
    <w:r>
      <w:fldChar w:fldCharType="begin"/>
    </w:r>
    <w:r>
      <w:instrText xml:space="preserve">PAGE   \* MERGEFORMAT</w:instrText>
    </w:r>
    <w:r>
      <w:fldChar w:fldCharType="separate"/>
    </w:r>
    <w:r>
      <w:rPr>
        <w:lang w:val="zh-CN"/>
      </w:rPr>
      <w:t>9</w:t>
    </w:r>
    <w:r>
      <w:rPr>
        <w:lang w:val="zh-CN"/>
      </w:rPr>
      <w:fldChar w:fldCharType="end"/>
    </w:r>
    <w:r>
      <w:rPr>
        <w:rFonts w:hint="eastAsia"/>
      </w:rPr>
      <w:t>-</w: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2"/>
  </w:compat>
  <w:docVars>
    <w:docVar w:name="commondata" w:val="eyJoZGlkIjoiYTI4ZWE0MmFlOTFiYTNlZDgxMGQxMTVmZTViMmY3ZTcifQ=="/>
  </w:docVars>
  <w:rsids>
    <w:rsidRoot w:val="00D347CC"/>
    <w:rsid w:val="000230E6"/>
    <w:rsid w:val="0025632D"/>
    <w:rsid w:val="002977E5"/>
    <w:rsid w:val="004A54AA"/>
    <w:rsid w:val="00944233"/>
    <w:rsid w:val="00B40732"/>
    <w:rsid w:val="00B7459B"/>
    <w:rsid w:val="00B80935"/>
    <w:rsid w:val="00D347CC"/>
    <w:rsid w:val="01FA17E8"/>
    <w:rsid w:val="039818B0"/>
    <w:rsid w:val="05544D80"/>
    <w:rsid w:val="084E2E69"/>
    <w:rsid w:val="08831FF2"/>
    <w:rsid w:val="089A7746"/>
    <w:rsid w:val="097F399F"/>
    <w:rsid w:val="0B8B0970"/>
    <w:rsid w:val="0E71141C"/>
    <w:rsid w:val="0E8C158D"/>
    <w:rsid w:val="110A6BB6"/>
    <w:rsid w:val="11174D73"/>
    <w:rsid w:val="1572325C"/>
    <w:rsid w:val="157F1982"/>
    <w:rsid w:val="18282C7A"/>
    <w:rsid w:val="1BC35C7B"/>
    <w:rsid w:val="1E372260"/>
    <w:rsid w:val="1E703647"/>
    <w:rsid w:val="1E82087C"/>
    <w:rsid w:val="1F0645E3"/>
    <w:rsid w:val="223F578C"/>
    <w:rsid w:val="241105FD"/>
    <w:rsid w:val="25F4752D"/>
    <w:rsid w:val="273908A4"/>
    <w:rsid w:val="2841461D"/>
    <w:rsid w:val="29000210"/>
    <w:rsid w:val="29A81DA7"/>
    <w:rsid w:val="29BA1E5F"/>
    <w:rsid w:val="2A767F1F"/>
    <w:rsid w:val="2B064C93"/>
    <w:rsid w:val="329B452D"/>
    <w:rsid w:val="32A87427"/>
    <w:rsid w:val="333239D2"/>
    <w:rsid w:val="34A80EE0"/>
    <w:rsid w:val="36274344"/>
    <w:rsid w:val="36856B17"/>
    <w:rsid w:val="38480AFB"/>
    <w:rsid w:val="396F2CA2"/>
    <w:rsid w:val="39962E48"/>
    <w:rsid w:val="3C784EE2"/>
    <w:rsid w:val="3DCD043C"/>
    <w:rsid w:val="3DE917EB"/>
    <w:rsid w:val="3F9E197C"/>
    <w:rsid w:val="40466B00"/>
    <w:rsid w:val="413B0D15"/>
    <w:rsid w:val="46F739B9"/>
    <w:rsid w:val="47772072"/>
    <w:rsid w:val="479E1056"/>
    <w:rsid w:val="47FD3892"/>
    <w:rsid w:val="4902312E"/>
    <w:rsid w:val="4935333E"/>
    <w:rsid w:val="4AC876CD"/>
    <w:rsid w:val="4D487F6A"/>
    <w:rsid w:val="4F511F5C"/>
    <w:rsid w:val="51731355"/>
    <w:rsid w:val="523206A3"/>
    <w:rsid w:val="57550408"/>
    <w:rsid w:val="57687AF5"/>
    <w:rsid w:val="5C523A85"/>
    <w:rsid w:val="5C6A62B4"/>
    <w:rsid w:val="5D393B1C"/>
    <w:rsid w:val="5FAE36AD"/>
    <w:rsid w:val="601D167D"/>
    <w:rsid w:val="61B914C9"/>
    <w:rsid w:val="636C5931"/>
    <w:rsid w:val="6390062D"/>
    <w:rsid w:val="63A51599"/>
    <w:rsid w:val="654F7DA7"/>
    <w:rsid w:val="65D61A64"/>
    <w:rsid w:val="66CB3171"/>
    <w:rsid w:val="67354D9F"/>
    <w:rsid w:val="679E0FE4"/>
    <w:rsid w:val="6CD11E71"/>
    <w:rsid w:val="6EC305E0"/>
    <w:rsid w:val="70396812"/>
    <w:rsid w:val="714D7925"/>
    <w:rsid w:val="76C44F6A"/>
    <w:rsid w:val="7A6B5821"/>
    <w:rsid w:val="7EAC5EF7"/>
    <w:rsid w:val="7F5E4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3">
    <w:name w:val="Balloon Text"/>
    <w:basedOn w:val="1"/>
    <w:qFormat/>
    <w:uiPriority w:val="0"/>
    <w:rPr>
      <w:sz w:val="18"/>
      <w:szCs w:val="18"/>
    </w:rPr>
  </w:style>
  <w:style w:type="paragraph" w:styleId="4">
    <w:name w:val="footer"/>
    <w:basedOn w:val="1"/>
    <w:qFormat/>
    <w:uiPriority w:val="0"/>
    <w:pPr>
      <w:tabs>
        <w:tab w:val="center" w:pos="4153"/>
        <w:tab w:val="right" w:pos="8306"/>
      </w:tabs>
      <w:snapToGrid w:val="0"/>
      <w:jc w:val="left"/>
    </w:pPr>
    <w:rPr>
      <w:rFonts w:ascii="Times New Roman" w:hAnsi="Times New Roman" w:cs="Times New Roman"/>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6">
    <w:name w:val="toc 1"/>
    <w:basedOn w:val="1"/>
    <w:next w:val="1"/>
    <w:qFormat/>
    <w:uiPriority w:val="0"/>
    <w:rPr>
      <w:rFonts w:ascii="Times New Roman" w:hAnsi="Times New Roman" w:cs="Times New Roman"/>
      <w:szCs w:val="24"/>
    </w:rPr>
  </w:style>
  <w:style w:type="paragraph" w:styleId="7">
    <w:name w:val="footnote text"/>
    <w:basedOn w:val="1"/>
    <w:qFormat/>
    <w:uiPriority w:val="0"/>
    <w:pPr>
      <w:snapToGrid w:val="0"/>
      <w:jc w:val="left"/>
    </w:pPr>
    <w:rPr>
      <w:rFonts w:cs="Times New Roman"/>
      <w:sz w:val="18"/>
      <w:szCs w:val="18"/>
    </w:rPr>
  </w:style>
  <w:style w:type="paragraph" w:styleId="8">
    <w:name w:val="toc 2"/>
    <w:basedOn w:val="1"/>
    <w:next w:val="1"/>
    <w:qFormat/>
    <w:uiPriority w:val="0"/>
    <w:pPr>
      <w:ind w:left="200" w:leftChars="200"/>
    </w:pPr>
    <w:rPr>
      <w:rFonts w:ascii="Times New Roman" w:hAnsi="Times New Roman" w:cs="Times New Roman"/>
      <w:szCs w:val="24"/>
    </w:rPr>
  </w:style>
  <w:style w:type="character" w:styleId="11">
    <w:name w:val="footnote reference"/>
    <w:qFormat/>
    <w:uiPriority w:val="0"/>
    <w:rPr>
      <w:vertAlign w:val="superscript"/>
    </w:rPr>
  </w:style>
  <w:style w:type="paragraph" w:customStyle="1" w:styleId="1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单元格样式1"/>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4">
    <w:name w:val="单元格样式4"/>
    <w:basedOn w:val="1"/>
    <w:qFormat/>
    <w:uiPriority w:val="0"/>
    <w:pPr>
      <w:widowControl/>
      <w:jc w:val="right"/>
    </w:pPr>
    <w:rPr>
      <w:rFonts w:ascii="方正书宋_GBK" w:hAnsi="方正书宋_GBK" w:eastAsia="方正书宋_GBK" w:cs="方正书宋_GBK"/>
      <w:kern w:val="0"/>
      <w:szCs w:val="24"/>
      <w:lang w:eastAsia="uk-UA"/>
    </w:rPr>
  </w:style>
  <w:style w:type="paragraph" w:customStyle="1" w:styleId="15">
    <w:name w:val="单元格样式2"/>
    <w:basedOn w:val="1"/>
    <w:qFormat/>
    <w:uiPriority w:val="0"/>
    <w:pPr>
      <w:widowControl/>
      <w:jc w:val="left"/>
    </w:pPr>
    <w:rPr>
      <w:rFonts w:ascii="方正书宋_GBK" w:hAnsi="方正书宋_GBK" w:eastAsia="方正书宋_GBK" w:cs="方正书宋_GBK"/>
      <w:kern w:val="0"/>
      <w:szCs w:val="24"/>
      <w:lang w:eastAsia="uk-UA"/>
    </w:rPr>
  </w:style>
  <w:style w:type="paragraph" w:customStyle="1" w:styleId="16">
    <w:name w:val="单元格样式3"/>
    <w:basedOn w:val="1"/>
    <w:qFormat/>
    <w:uiPriority w:val="0"/>
    <w:pPr>
      <w:widowControl/>
      <w:jc w:val="center"/>
    </w:pPr>
    <w:rPr>
      <w:rFonts w:ascii="方正书宋_GBK" w:hAnsi="方正书宋_GBK" w:eastAsia="方正书宋_GBK" w:cs="方正书宋_GBK"/>
      <w:kern w:val="0"/>
      <w:szCs w:val="24"/>
      <w:lang w:eastAsia="uk-UA"/>
    </w:rPr>
  </w:style>
  <w:style w:type="paragraph" w:customStyle="1" w:styleId="17">
    <w:name w:val="单元格样式6"/>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8">
    <w:name w:val="单元格样式7"/>
    <w:basedOn w:val="1"/>
    <w:qFormat/>
    <w:uiPriority w:val="0"/>
    <w:pPr>
      <w:widowControl/>
      <w:jc w:val="right"/>
    </w:pPr>
    <w:rPr>
      <w:rFonts w:ascii="方正书宋_GBK" w:hAnsi="方正书宋_GBK" w:eastAsia="方正书宋_GBK" w:cs="方正书宋_GBK"/>
      <w:b/>
      <w:kern w:val="0"/>
      <w:szCs w:val="24"/>
      <w:lang w:eastAsia="uk-UA"/>
    </w:rPr>
  </w:style>
  <w:style w:type="paragraph" w:customStyle="1" w:styleId="19">
    <w:name w:val="单元格样式5"/>
    <w:basedOn w:val="1"/>
    <w:qFormat/>
    <w:uiPriority w:val="0"/>
    <w:pPr>
      <w:widowControl/>
      <w:jc w:val="left"/>
    </w:pPr>
    <w:rPr>
      <w:rFonts w:ascii="方正书宋_GBK" w:hAnsi="方正书宋_GBK" w:eastAsia="方正书宋_GBK" w:cs="方正书宋_GBK"/>
      <w:b/>
      <w:kern w:val="0"/>
      <w:szCs w:val="24"/>
      <w:lang w:eastAsia="uk-UA"/>
    </w:rPr>
  </w:style>
  <w:style w:type="character" w:customStyle="1" w:styleId="20">
    <w:name w:val="font11"/>
    <w:qFormat/>
    <w:uiPriority w:val="0"/>
    <w:rPr>
      <w:rFonts w:ascii="仿宋_GB2312" w:eastAsia="仿宋_GB2312" w:cs="仿宋_GB2312"/>
      <w:color w:val="000000"/>
      <w:sz w:val="18"/>
      <w:szCs w:val="18"/>
      <w:u w:val="none"/>
    </w:rPr>
  </w:style>
  <w:style w:type="paragraph" w:customStyle="1" w:styleId="2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18</Pages>
  <Words>7080</Words>
  <Characters>7351</Characters>
  <Lines>24</Lines>
  <Paragraphs>6</Paragraphs>
  <TotalTime>0</TotalTime>
  <ScaleCrop>false</ScaleCrop>
  <LinksUpToDate>false</LinksUpToDate>
  <CharactersWithSpaces>7488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2020-01-13T03:27:00Z</dcterms:created>
  <dc:creator>guest</dc:creator>
  <cp:lastModifiedBy>孙然</cp:lastModifiedBy>
  <cp:lastPrinted>2018-01-30T06:12:00Z</cp:lastPrinted>
  <dcterms:modified xsi:type="dcterms:W3CDTF">2022-01-25T07:27:27Z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81D62ECF38AD4B15AF08FA6A1D1C4314</vt:lpwstr>
  </property>
</Properties>
</file>