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/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2016年度</w:t>
      </w:r>
      <w:r>
        <w:rPr>
          <w:rFonts w:hint="eastAsia" w:ascii="黑体" w:hAnsi="黑体" w:eastAsia="黑体"/>
          <w:sz w:val="44"/>
          <w:szCs w:val="44"/>
          <w:lang w:eastAsia="zh-CN"/>
        </w:rPr>
        <w:t>中共廊坊市委政法委员会</w:t>
      </w:r>
    </w:p>
    <w:p>
      <w:pPr>
        <w:ind w:firstLine="60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部门决算信息公开情况</w:t>
      </w:r>
    </w:p>
    <w:p>
      <w:pPr>
        <w:widowControl/>
        <w:spacing w:line="520" w:lineRule="exact"/>
        <w:jc w:val="center"/>
        <w:rPr>
          <w:rFonts w:ascii="仿宋_GB2312" w:hAnsi="仿宋" w:eastAsia="仿宋_GB2312"/>
          <w:color w:val="FF0000"/>
          <w:sz w:val="36"/>
          <w:szCs w:val="36"/>
        </w:rPr>
      </w:pP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按照《预算法》、《河北省财政厅关于印发&lt;河北省预决算公开操作规程实施细则&gt;的通知》（冀财预</w:t>
      </w:r>
      <w:r>
        <w:rPr>
          <w:rFonts w:hint="eastAsia" w:ascii="宋体" w:hAnsi="宋体" w:cs="宋体"/>
          <w:sz w:val="32"/>
          <w:szCs w:val="32"/>
        </w:rPr>
        <w:t>﹝</w:t>
      </w:r>
      <w:r>
        <w:rPr>
          <w:rFonts w:hint="eastAsia" w:ascii="仿宋_GB2312" w:hAnsi="仿宋" w:eastAsia="仿宋_GB2312"/>
          <w:sz w:val="32"/>
          <w:szCs w:val="32"/>
        </w:rPr>
        <w:t>2016</w:t>
      </w:r>
      <w:r>
        <w:rPr>
          <w:rFonts w:hint="eastAsia" w:ascii="宋体" w:hAnsi="宋体" w:cs="宋体"/>
          <w:sz w:val="32"/>
          <w:szCs w:val="32"/>
        </w:rPr>
        <w:t>﹞</w:t>
      </w:r>
      <w:r>
        <w:rPr>
          <w:rFonts w:hint="eastAsia" w:ascii="仿宋_GB2312" w:hAnsi="仿宋" w:eastAsia="仿宋_GB2312"/>
          <w:sz w:val="32"/>
          <w:szCs w:val="32"/>
        </w:rPr>
        <w:t>129号）等规定，现将2016年部门决算公开如下：</w:t>
      </w:r>
    </w:p>
    <w:p>
      <w:pPr>
        <w:ind w:firstLine="640"/>
        <w:rPr>
          <w:rFonts w:ascii="仿宋_GB2312" w:hAnsi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中共廊坊市委政法委员会</w:t>
      </w:r>
      <w:r>
        <w:rPr>
          <w:rFonts w:hint="eastAsia" w:ascii="黑体" w:hAnsi="黑体" w:eastAsia="黑体"/>
          <w:sz w:val="32"/>
          <w:szCs w:val="32"/>
        </w:rPr>
        <w:t>部门概况</w:t>
      </w:r>
    </w:p>
    <w:p>
      <w:pPr>
        <w:widowControl/>
        <w:spacing w:line="520" w:lineRule="exact"/>
        <w:ind w:firstLine="643" w:firstLineChars="200"/>
        <w:jc w:val="left"/>
        <w:rPr>
          <w:rFonts w:ascii="楷体_GB2312" w:hAnsi="黑体" w:eastAsia="楷体_GB2312" w:cs="黑体"/>
          <w:b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（一）部门职责：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根据《中共廊坊市委政法委员会职能配置、内设机构和人员编制方案》规定，中共廊坊市委政法委员会的主要职责是：</w:t>
      </w:r>
    </w:p>
    <w:p>
      <w:pPr>
        <w:ind w:firstLine="640" w:firstLineChars="200"/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1.根据党的路线、方针、政策和省、市委的部署，统一全市政法各部门的思想和行动。</w:t>
      </w:r>
    </w:p>
    <w:p>
      <w:pPr>
        <w:ind w:firstLine="640" w:firstLineChars="200"/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2.研究制定全市政法工作和社会治安综合治理工作的具体政策措施，及时向市委提出决策建议；对一定时期内的政法工作和社会治安综合治理工作作出全局性部署，并督促贯彻落实。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3.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研究制定加强全市政法队伍建设和领导班子建设的意见及措施，按照市委规定的干部管理权限，协助党委及</w:t>
      </w:r>
      <w:r>
        <w:rPr>
          <w:rFonts w:hint="eastAsia" w:ascii="仿宋_GB2312" w:hAnsi="微软雅黑" w:eastAsia="仿宋_GB2312"/>
          <w:color w:val="333333"/>
          <w:sz w:val="32"/>
          <w:szCs w:val="32"/>
          <w:lang w:eastAsia="zh-CN"/>
        </w:rPr>
        <w:t>政法委员会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门管理政法部门的领导班子和干部队伍，直接管理市委委托管理的部分政法干部。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4.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大力支持和严格监督政法各部门依法行使职权。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5.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监督、检查政法部门执行法律法规和党的方针政策的情况，结合实际，研究推动严肃执法、落实党的方针政策的意见和措施。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6.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组织、协调、指导、检查全市社会治安综合治理工作，推动各项措施的落实。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7.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组织推动政法工作重大政策法律问题的调查研究，指导政法工作改革。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8.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指导下级政法委员会机关的工作。</w:t>
      </w:r>
    </w:p>
    <w:p>
      <w:pPr>
        <w:ind w:firstLine="640" w:firstLineChars="200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9.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办理市委及上级有关部门交办的其他事项。</w:t>
      </w:r>
    </w:p>
    <w:p>
      <w:pPr>
        <w:widowControl/>
        <w:spacing w:line="520" w:lineRule="exact"/>
        <w:ind w:firstLine="643" w:firstLineChars="200"/>
        <w:jc w:val="left"/>
        <w:rPr>
          <w:rFonts w:hint="eastAsia" w:ascii="楷体_GB2312" w:hAnsi="黑体" w:eastAsia="楷体_GB2312" w:cs="黑体"/>
          <w:b/>
          <w:sz w:val="32"/>
          <w:szCs w:val="32"/>
        </w:rPr>
      </w:pPr>
    </w:p>
    <w:p>
      <w:pPr>
        <w:widowControl/>
        <w:spacing w:line="520" w:lineRule="exact"/>
        <w:ind w:firstLine="643" w:firstLineChars="200"/>
        <w:jc w:val="left"/>
        <w:rPr>
          <w:rFonts w:ascii="楷体_GB2312" w:hAnsi="黑体" w:eastAsia="楷体_GB2312" w:cs="黑体"/>
          <w:b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（二）部门决算单位构成：</w:t>
      </w:r>
    </w:p>
    <w:p>
      <w:pPr>
        <w:jc w:val="center"/>
        <w:outlineLvl w:val="0"/>
        <w:rPr>
          <w:rFonts w:eastAsia="方正小标宋_GBK"/>
          <w:sz w:val="32"/>
        </w:rPr>
      </w:pPr>
      <w:r>
        <w:rPr>
          <w:rFonts w:hint="eastAsia" w:eastAsia="方正小标宋_GBK"/>
          <w:sz w:val="32"/>
        </w:rPr>
        <w:t xml:space="preserve"> </w:t>
      </w:r>
    </w:p>
    <w:tbl>
      <w:tblPr>
        <w:tblStyle w:val="5"/>
        <w:tblW w:w="11267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5"/>
        <w:gridCol w:w="1316"/>
        <w:gridCol w:w="1574"/>
        <w:gridCol w:w="39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tblHeader/>
          <w:jc w:val="center"/>
        </w:trPr>
        <w:tc>
          <w:tcPr>
            <w:tcW w:w="4445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书宋_GBK"/>
                <w:b/>
              </w:rPr>
            </w:pPr>
            <w:r>
              <w:rPr>
                <w:rFonts w:eastAsia="方正书宋_GBK"/>
                <w:b/>
              </w:rPr>
              <w:t>单位名称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书宋_GBK"/>
                <w:b/>
              </w:rPr>
            </w:pPr>
            <w:r>
              <w:rPr>
                <w:rFonts w:eastAsia="方正书宋_GBK"/>
                <w:b/>
              </w:rPr>
              <w:t>单位性质</w:t>
            </w:r>
          </w:p>
        </w:tc>
        <w:tc>
          <w:tcPr>
            <w:tcW w:w="1574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书宋_GBK"/>
                <w:b/>
              </w:rPr>
            </w:pPr>
            <w:r>
              <w:rPr>
                <w:rFonts w:eastAsia="方正书宋_GBK"/>
                <w:b/>
              </w:rPr>
              <w:t>单位规格</w:t>
            </w:r>
          </w:p>
        </w:tc>
        <w:tc>
          <w:tcPr>
            <w:tcW w:w="3932" w:type="dxa"/>
            <w:vMerge w:val="restar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eastAsia="方正书宋_GBK"/>
                <w:b/>
              </w:rPr>
            </w:pPr>
            <w:r>
              <w:rPr>
                <w:rFonts w:eastAsia="方正书宋_GBK"/>
                <w:b/>
              </w:rPr>
              <w:t>经费保障形式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tblHeader/>
          <w:jc w:val="center"/>
        </w:trPr>
        <w:tc>
          <w:tcPr>
            <w:tcW w:w="4445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left"/>
              <w:outlineLvl w:val="0"/>
            </w:pPr>
          </w:p>
        </w:tc>
        <w:tc>
          <w:tcPr>
            <w:tcW w:w="1316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left"/>
              <w:outlineLvl w:val="0"/>
            </w:pPr>
          </w:p>
        </w:tc>
        <w:tc>
          <w:tcPr>
            <w:tcW w:w="1574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left"/>
              <w:outlineLvl w:val="0"/>
            </w:pPr>
          </w:p>
        </w:tc>
        <w:tc>
          <w:tcPr>
            <w:tcW w:w="3932" w:type="dxa"/>
            <w:vMerge w:val="continue"/>
            <w:shd w:val="clear" w:color="auto" w:fill="auto"/>
            <w:vAlign w:val="center"/>
          </w:tcPr>
          <w:p>
            <w:pPr>
              <w:spacing w:line="300" w:lineRule="exact"/>
              <w:jc w:val="left"/>
              <w:outlineLvl w:val="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4445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  <w:lang w:eastAsia="zh-CN"/>
              </w:rPr>
              <w:t>中共廊坊市委政法委员会</w:t>
            </w: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  <w:lang w:val="en-US" w:eastAsia="zh-CN"/>
              </w:rPr>
              <w:t>行政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  <w:t>正处级</w:t>
            </w:r>
          </w:p>
        </w:tc>
        <w:tc>
          <w:tcPr>
            <w:tcW w:w="3932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  <w:t>财政</w:t>
            </w:r>
            <w:r>
              <w:rPr>
                <w:rFonts w:hint="eastAsia" w:ascii="仿宋_GB2312" w:hAnsi="微软雅黑" w:eastAsia="仿宋_GB2312"/>
                <w:color w:val="333333"/>
                <w:sz w:val="32"/>
                <w:szCs w:val="32"/>
                <w:lang w:val="en-US" w:eastAsia="zh-CN"/>
              </w:rPr>
              <w:t>拨款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4445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微软雅黑" w:eastAsia="仿宋_GB2312"/>
                <w:color w:val="333333"/>
                <w:sz w:val="32"/>
                <w:szCs w:val="32"/>
              </w:rPr>
            </w:pPr>
          </w:p>
        </w:tc>
      </w:tr>
    </w:tbl>
    <w:p>
      <w:pPr>
        <w:ind w:firstLine="640"/>
        <w:rPr>
          <w:rFonts w:hint="eastAsia" w:eastAsia="黑体"/>
          <w:sz w:val="28"/>
          <w:szCs w:val="28"/>
        </w:rPr>
      </w:pPr>
    </w:p>
    <w:p>
      <w:pPr>
        <w:ind w:firstLine="640"/>
        <w:rPr>
          <w:rFonts w:hint="eastAsia" w:eastAsia="黑体"/>
          <w:sz w:val="28"/>
          <w:szCs w:val="28"/>
        </w:rPr>
      </w:pPr>
    </w:p>
    <w:p>
      <w:pPr>
        <w:ind w:firstLine="640"/>
        <w:rPr>
          <w:rFonts w:ascii="仿宋_GB2312" w:hAnsi="黑体"/>
          <w:sz w:val="32"/>
          <w:szCs w:val="32"/>
        </w:rPr>
      </w:pPr>
      <w:r>
        <w:rPr>
          <w:rFonts w:hint="eastAsia" w:eastAsia="黑体"/>
          <w:sz w:val="28"/>
          <w:szCs w:val="28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中共廊坊市委政法委员会</w:t>
      </w:r>
      <w:r>
        <w:rPr>
          <w:rFonts w:hint="eastAsia" w:ascii="黑体" w:hAnsi="黑体" w:eastAsia="黑体"/>
          <w:sz w:val="32"/>
          <w:szCs w:val="32"/>
        </w:rPr>
        <w:t>2016年度部门决算报表</w:t>
      </w:r>
      <w:r>
        <w:rPr>
          <w:rFonts w:hint="eastAsia" w:ascii="黑体" w:hAnsi="黑体" w:eastAsia="黑体"/>
          <w:sz w:val="32"/>
          <w:szCs w:val="32"/>
          <w:lang w:eastAsia="zh-CN"/>
        </w:rPr>
        <w:t>（附件）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中共廊坊市委政法委员会</w:t>
      </w:r>
      <w:r>
        <w:rPr>
          <w:rFonts w:hint="eastAsia" w:ascii="黑体" w:hAnsi="黑体" w:eastAsia="黑体"/>
          <w:sz w:val="32"/>
          <w:szCs w:val="32"/>
        </w:rPr>
        <w:t>2016年度部门决算情况说明</w:t>
      </w:r>
    </w:p>
    <w:p>
      <w:pPr>
        <w:snapToGrid w:val="0"/>
        <w:spacing w:line="520" w:lineRule="exact"/>
        <w:ind w:firstLine="64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（一）收入支出决算总体情况说明</w:t>
      </w:r>
    </w:p>
    <w:p>
      <w:pPr>
        <w:snapToGrid w:val="0"/>
        <w:spacing w:line="520" w:lineRule="exact"/>
        <w:ind w:firstLine="64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中共廊坊市委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政法委员会</w:t>
      </w:r>
      <w:r>
        <w:rPr>
          <w:rFonts w:hint="eastAsia" w:ascii="仿宋_GB2312" w:hAnsi="仿宋" w:eastAsia="仿宋_GB2312"/>
          <w:sz w:val="32"/>
          <w:szCs w:val="32"/>
        </w:rPr>
        <w:t>2016年度决算收入总计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1762.16</w:t>
      </w:r>
      <w:r>
        <w:rPr>
          <w:rFonts w:hint="eastAsia" w:ascii="仿宋_GB2312" w:hAnsi="仿宋" w:eastAsia="仿宋_GB2312"/>
          <w:sz w:val="32"/>
          <w:szCs w:val="32"/>
        </w:rPr>
        <w:t>万元，决算支出总计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1762.16</w:t>
      </w:r>
      <w:r>
        <w:rPr>
          <w:rFonts w:hint="eastAsia" w:ascii="仿宋_GB2312" w:hAnsi="仿宋" w:eastAsia="仿宋_GB2312"/>
          <w:sz w:val="32"/>
          <w:szCs w:val="32"/>
        </w:rPr>
        <w:t>万元。与2015年决算相比，收支总计分别减少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1205.14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40.61</w:t>
      </w:r>
      <w:r>
        <w:rPr>
          <w:rFonts w:hint="eastAsia" w:ascii="仿宋_GB2312" w:hAnsi="仿宋" w:eastAsia="仿宋_GB2312"/>
          <w:sz w:val="32"/>
          <w:szCs w:val="32"/>
        </w:rPr>
        <w:t>%，主要原因为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2015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年政法三级网扩容项目</w:t>
      </w:r>
      <w:r>
        <w:rPr>
          <w:rFonts w:hint="eastAsia" w:ascii="仿宋_GB2312" w:hAnsi="仿宋" w:eastAsia="仿宋_GB2312"/>
          <w:sz w:val="32"/>
          <w:szCs w:val="32"/>
        </w:rPr>
        <w:t>；与2016年预算相比，收支总计增加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1946.7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123.39</w:t>
      </w:r>
      <w:r>
        <w:rPr>
          <w:rFonts w:hint="eastAsia" w:ascii="仿宋_GB2312" w:hAnsi="仿宋" w:eastAsia="仿宋_GB2312"/>
          <w:sz w:val="32"/>
          <w:szCs w:val="32"/>
        </w:rPr>
        <w:t>%，主要原因为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对下拨款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以及年末结转和结余</w:t>
      </w:r>
      <w:r>
        <w:rPr>
          <w:rFonts w:hint="eastAsia" w:ascii="仿宋_GB2312" w:hAnsi="仿宋" w:eastAsia="仿宋_GB2312"/>
          <w:sz w:val="32"/>
          <w:szCs w:val="32"/>
        </w:rPr>
        <w:t>。决算收入总计中，年初结转和结余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320.14</w:t>
      </w:r>
      <w:r>
        <w:rPr>
          <w:rFonts w:hint="eastAsia" w:ascii="仿宋_GB2312" w:hAnsi="仿宋" w:eastAsia="仿宋_GB2312"/>
          <w:sz w:val="32"/>
          <w:szCs w:val="32"/>
        </w:rPr>
        <w:t>万元；决算支出总计中，年末结转和结余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594.57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snapToGrid w:val="0"/>
        <w:spacing w:line="520" w:lineRule="exact"/>
        <w:ind w:firstLine="64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（二）收入决算情况说明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本年收入合计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1762.16</w:t>
      </w:r>
      <w:r>
        <w:rPr>
          <w:rFonts w:hint="eastAsia" w:ascii="仿宋_GB2312" w:hAnsi="仿宋" w:eastAsia="仿宋_GB2312"/>
          <w:sz w:val="32"/>
          <w:szCs w:val="32"/>
        </w:rPr>
        <w:t>万元，其中：财政拨款收入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1762.16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（三）支出决算情况说明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本年支出合计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1167.60</w:t>
      </w:r>
      <w:r>
        <w:rPr>
          <w:rFonts w:hint="eastAsia" w:ascii="仿宋_GB2312" w:hAnsi="仿宋" w:eastAsia="仿宋_GB2312"/>
          <w:sz w:val="32"/>
          <w:szCs w:val="32"/>
        </w:rPr>
        <w:t>万元，其中：基本支出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529.73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45.37</w:t>
      </w:r>
      <w:r>
        <w:rPr>
          <w:rFonts w:hint="eastAsia" w:ascii="仿宋_GB2312" w:hAnsi="仿宋" w:eastAsia="仿宋_GB2312"/>
          <w:sz w:val="32"/>
          <w:szCs w:val="32"/>
        </w:rPr>
        <w:t>%；项目支出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637.87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54.63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（四）财政拨款收入支出决算总体情况说明</w:t>
      </w:r>
    </w:p>
    <w:p>
      <w:pPr>
        <w:widowControl/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中共廊坊市委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政法委员会</w:t>
      </w:r>
      <w:r>
        <w:rPr>
          <w:rFonts w:hint="eastAsia" w:ascii="仿宋_GB2312" w:hAnsi="仿宋" w:eastAsia="仿宋_GB2312"/>
          <w:sz w:val="32"/>
          <w:szCs w:val="32"/>
        </w:rPr>
        <w:t>2016年度财政拨款收入决算总计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1762.16</w:t>
      </w:r>
      <w:r>
        <w:rPr>
          <w:rFonts w:hint="eastAsia" w:ascii="仿宋_GB2312" w:hAnsi="仿宋" w:eastAsia="仿宋_GB2312"/>
          <w:sz w:val="32"/>
          <w:szCs w:val="32"/>
        </w:rPr>
        <w:t>万元，财政拨款支出决算总计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1762.16</w:t>
      </w:r>
      <w:r>
        <w:rPr>
          <w:rFonts w:hint="eastAsia" w:ascii="仿宋_GB2312" w:hAnsi="仿宋" w:eastAsia="仿宋_GB2312"/>
          <w:sz w:val="32"/>
          <w:szCs w:val="32"/>
        </w:rPr>
        <w:t>万元。与2015年决算相比，收支总计减少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1205.14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40.61</w:t>
      </w:r>
      <w:r>
        <w:rPr>
          <w:rFonts w:hint="eastAsia" w:ascii="仿宋_GB2312" w:hAnsi="仿宋" w:eastAsia="仿宋_GB2312"/>
          <w:sz w:val="32"/>
          <w:szCs w:val="32"/>
        </w:rPr>
        <w:t>%，主要原因为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2015年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政法三级网扩容项目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与2016年预算相比，收支总计增加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1946.7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123.39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，主要原因是对下拨款</w:t>
      </w:r>
      <w:r>
        <w:rPr>
          <w:rFonts w:hint="eastAsia" w:ascii="仿宋_GB2312" w:hAnsi="仿宋" w:eastAsia="仿宋_GB2312"/>
          <w:sz w:val="32"/>
          <w:szCs w:val="32"/>
        </w:rPr>
        <w:t>以及年末结转和结余。财政拨款收入总计中含年初财政拨款结转和结余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320.14</w:t>
      </w:r>
      <w:r>
        <w:rPr>
          <w:rFonts w:hint="eastAsia" w:ascii="仿宋_GB2312" w:hAnsi="仿宋" w:eastAsia="仿宋_GB2312"/>
          <w:sz w:val="32"/>
          <w:szCs w:val="32"/>
        </w:rPr>
        <w:t>万元，财政拨款支出总计中含年末财政拨款结转和结余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594.57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（五）“三公”经费情况及增减变化原因</w:t>
      </w:r>
    </w:p>
    <w:p>
      <w:pPr>
        <w:widowControl/>
        <w:spacing w:line="520" w:lineRule="exact"/>
        <w:ind w:firstLine="596" w:firstLineChars="200"/>
        <w:jc w:val="left"/>
        <w:rPr>
          <w:rFonts w:ascii="仿宋_GB2312" w:hAnsi="仿宋" w:eastAsia="仿宋_GB2312"/>
          <w:spacing w:val="-11"/>
          <w:sz w:val="32"/>
          <w:szCs w:val="32"/>
        </w:rPr>
      </w:pPr>
      <w:r>
        <w:rPr>
          <w:rFonts w:hint="eastAsia" w:ascii="仿宋_GB2312" w:hAnsi="仿宋" w:eastAsia="仿宋_GB2312"/>
          <w:spacing w:val="-11"/>
          <w:sz w:val="32"/>
          <w:szCs w:val="32"/>
        </w:rPr>
        <w:t>2016年度部门“三公”经费支出</w:t>
      </w:r>
      <w:r>
        <w:rPr>
          <w:rFonts w:hint="eastAsia" w:ascii="仿宋_GB2312" w:hAnsi="仿宋" w:eastAsia="仿宋_GB2312"/>
          <w:spacing w:val="-11"/>
          <w:sz w:val="32"/>
          <w:szCs w:val="32"/>
          <w:lang w:val="en-US" w:eastAsia="zh-CN"/>
        </w:rPr>
        <w:t>18.4</w:t>
      </w:r>
      <w:r>
        <w:rPr>
          <w:rFonts w:hint="eastAsia" w:ascii="仿宋_GB2312" w:hAnsi="仿宋" w:eastAsia="仿宋_GB2312"/>
          <w:spacing w:val="-11"/>
          <w:sz w:val="32"/>
          <w:szCs w:val="32"/>
        </w:rPr>
        <w:t>万元，比预算减少0.</w:t>
      </w:r>
      <w:r>
        <w:rPr>
          <w:rFonts w:hint="eastAsia" w:ascii="仿宋_GB2312" w:hAnsi="仿宋" w:eastAsia="仿宋_GB2312"/>
          <w:spacing w:val="-11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/>
          <w:spacing w:val="-11"/>
          <w:sz w:val="32"/>
          <w:szCs w:val="32"/>
        </w:rPr>
        <w:t>万元，比2015年度决算</w:t>
      </w:r>
      <w:r>
        <w:rPr>
          <w:rFonts w:hint="eastAsia" w:ascii="仿宋_GB2312" w:hAnsi="仿宋" w:eastAsia="仿宋_GB2312"/>
          <w:spacing w:val="-11"/>
          <w:sz w:val="32"/>
          <w:szCs w:val="32"/>
          <w:lang w:val="en-US" w:eastAsia="zh-CN"/>
        </w:rPr>
        <w:t>减少34.47</w:t>
      </w:r>
      <w:r>
        <w:rPr>
          <w:rFonts w:hint="eastAsia" w:ascii="仿宋_GB2312" w:hAnsi="仿宋" w:eastAsia="仿宋_GB2312"/>
          <w:spacing w:val="-11"/>
          <w:sz w:val="32"/>
          <w:szCs w:val="32"/>
        </w:rPr>
        <w:t>万元。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其中：因公出国（境）费0万元（本单位2016年度组织出国（境）团组0个，因公出国（境）人次数0人），与预算持平，与2015年度决算持平。公务用车购置及运行维护费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18.31</w:t>
      </w:r>
      <w:r>
        <w:rPr>
          <w:rFonts w:hint="eastAsia" w:ascii="仿宋_GB2312" w:hAnsi="仿宋" w:eastAsia="仿宋_GB2312"/>
          <w:sz w:val="32"/>
          <w:szCs w:val="32"/>
        </w:rPr>
        <w:t>万元（公务用车购置数量0辆，购置金额0万元，公车运行维护费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18.31</w:t>
      </w:r>
      <w:r>
        <w:rPr>
          <w:rFonts w:hint="eastAsia" w:ascii="仿宋_GB2312" w:hAnsi="仿宋" w:eastAsia="仿宋_GB2312"/>
          <w:sz w:val="32"/>
          <w:szCs w:val="32"/>
        </w:rPr>
        <w:t>万元，年末公务用车保有量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辆），和预算持平，比2015年度决算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减少34.23</w:t>
      </w:r>
      <w:r>
        <w:rPr>
          <w:rFonts w:hint="eastAsia" w:ascii="仿宋_GB2312" w:hAnsi="仿宋" w:eastAsia="仿宋_GB2312"/>
          <w:sz w:val="32"/>
          <w:szCs w:val="32"/>
        </w:rPr>
        <w:t>万元；公务接待费0.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09</w:t>
      </w:r>
      <w:r>
        <w:rPr>
          <w:rFonts w:hint="eastAsia" w:ascii="仿宋_GB2312" w:hAnsi="仿宋" w:eastAsia="仿宋_GB2312"/>
          <w:sz w:val="32"/>
          <w:szCs w:val="32"/>
        </w:rPr>
        <w:t>万元（2016年度国内公务接待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批次，合计接待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人次），比预算减少0.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/>
          <w:sz w:val="32"/>
          <w:szCs w:val="32"/>
        </w:rPr>
        <w:t>万元，比2015年度决算减少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0.24</w:t>
      </w:r>
      <w:r>
        <w:rPr>
          <w:rFonts w:hint="eastAsia" w:ascii="仿宋_GB2312" w:hAnsi="仿宋" w:eastAsia="仿宋_GB2312"/>
          <w:sz w:val="32"/>
          <w:szCs w:val="32"/>
        </w:rPr>
        <w:t>万元。原因是认真落实中央“八项规定”精神和厉行节约要求，减少不必要的公务接待。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（六）机关运行经费支出情况的说明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2016年度部门机关运行经费支出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29.84</w:t>
      </w:r>
      <w:r>
        <w:rPr>
          <w:rFonts w:hint="eastAsia" w:ascii="仿宋_GB2312" w:hAnsi="仿宋" w:eastAsia="仿宋_GB2312"/>
          <w:sz w:val="32"/>
          <w:szCs w:val="32"/>
        </w:rPr>
        <w:t>万元，比2015年度增加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5.36</w:t>
      </w:r>
      <w:r>
        <w:rPr>
          <w:rFonts w:hint="eastAsia" w:ascii="仿宋_GB2312" w:hAnsi="仿宋" w:eastAsia="仿宋_GB2312"/>
          <w:sz w:val="32"/>
          <w:szCs w:val="32"/>
        </w:rPr>
        <w:t>万元，原因是执行《廊坊市市直机关公务移动通讯费用补贴管理办法》，将公务移动通讯费用补贴计入机关运行经费。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（七）</w:t>
      </w:r>
      <w:r>
        <w:rPr>
          <w:rFonts w:hint="eastAsia" w:ascii="仿宋_GB2312" w:hAnsi="仿宋_GB2312" w:eastAsia="仿宋_GB2312"/>
          <w:sz w:val="32"/>
          <w:szCs w:val="32"/>
        </w:rPr>
        <w:t>绩效预算信息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1.预算绩效管理工作开展情况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根据财政预算绩效管理要求，中共廊坊市委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政法委员会</w:t>
      </w:r>
      <w:r>
        <w:rPr>
          <w:rFonts w:hint="eastAsia" w:ascii="仿宋_GB2312" w:hAnsi="仿宋" w:eastAsia="仿宋_GB2312"/>
          <w:sz w:val="32"/>
          <w:szCs w:val="32"/>
        </w:rPr>
        <w:t>以“部门职责—工作活动”为依据，确定部门预算项目和预算额度，清晰描述预算项目开支范围和内容，确定预算项目的绩效目标、绩效指标和评价标准，为预算绩效控制、绩效分析、绩效评价打下好的基础。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2.预算项目绩效评价开展情况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按照财政预算绩效管理要求，中共廊坊市委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政法委员会</w:t>
      </w:r>
      <w:r>
        <w:rPr>
          <w:rFonts w:hint="eastAsia" w:ascii="仿宋_GB2312" w:hAnsi="仿宋" w:eastAsia="仿宋_GB2312"/>
          <w:sz w:val="32"/>
          <w:szCs w:val="32"/>
        </w:rPr>
        <w:t>对2016年初确定的部门一般公共预算支出项目全面开展了绩效自评。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sz w:val="32"/>
          <w:szCs w:val="32"/>
        </w:rPr>
        <w:t>（八）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政府采购决算情况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201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6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度部门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政府采购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万元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，其中：政府采购货物支出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万元，政府采购工程支出0万元，政府采购服务支出0万元。</w:t>
      </w:r>
    </w:p>
    <w:p>
      <w:pPr>
        <w:spacing w:line="52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（九）国有资产信息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中共廊坊市委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政法委员会</w:t>
      </w:r>
      <w:r>
        <w:rPr>
          <w:rFonts w:hint="eastAsia" w:ascii="仿宋_GB2312" w:hAnsi="黑体" w:eastAsia="仿宋_GB2312"/>
          <w:sz w:val="32"/>
          <w:szCs w:val="32"/>
        </w:rPr>
        <w:t>2016年度固定资产金额为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2050.48</w:t>
      </w:r>
      <w:r>
        <w:rPr>
          <w:rFonts w:hint="eastAsia" w:ascii="仿宋_GB2312" w:hAnsi="黑体" w:eastAsia="仿宋_GB2312"/>
          <w:sz w:val="32"/>
          <w:szCs w:val="32"/>
        </w:rPr>
        <w:t>万元，详见下表。</w:t>
      </w:r>
    </w:p>
    <w:tbl>
      <w:tblPr>
        <w:tblStyle w:val="5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7"/>
        <w:gridCol w:w="2127"/>
        <w:gridCol w:w="32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32"/>
                <w:szCs w:val="32"/>
              </w:rPr>
              <w:t>廊坊市市直部门固定资产占用情况表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编制部门：中共廊坊市委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lang w:eastAsia="zh-CN"/>
              </w:rPr>
              <w:t>政法委员会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截止时间：2016年12月31日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项   目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数量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价值（金额单位：万元）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资产总额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——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  <w:t>2050.48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1、房屋（平方米）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   其中：办公用房（平方米）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2、车辆（台、辆）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  <w:t>75.05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3、单价在50万元以上的设备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4、其他固定资产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——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  <w:t>1975.43</w:t>
            </w:r>
          </w:p>
        </w:tc>
      </w:tr>
    </w:tbl>
    <w:p>
      <w:pPr>
        <w:spacing w:line="52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（十）其他需要说明的情况</w:t>
      </w:r>
    </w:p>
    <w:p>
      <w:pPr>
        <w:tabs>
          <w:tab w:val="left" w:pos="11490"/>
        </w:tabs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无其它需要说明的情况。</w:t>
      </w: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hint="eastAsia" w:eastAsia="黑体"/>
          <w:sz w:val="32"/>
          <w:szCs w:val="32"/>
        </w:rPr>
      </w:pPr>
    </w:p>
    <w:p>
      <w:pPr>
        <w:autoSpaceDE w:val="0"/>
        <w:autoSpaceDN w:val="0"/>
        <w:adjustRightInd w:val="0"/>
        <w:spacing w:line="52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</w:t>
      </w:r>
      <w:r>
        <w:rPr>
          <w:rFonts w:eastAsia="黑体"/>
          <w:sz w:val="32"/>
          <w:szCs w:val="32"/>
        </w:rPr>
        <w:t>名词解释</w:t>
      </w:r>
    </w:p>
    <w:p>
      <w:pPr>
        <w:autoSpaceDE w:val="0"/>
        <w:autoSpaceDN w:val="0"/>
        <w:snapToGrid w:val="0"/>
        <w:spacing w:line="520" w:lineRule="exact"/>
        <w:ind w:firstLine="645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“三公”经费：指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购置支出（含车辆购置税）及租用费、燃料费、维修费、过路过桥费、保险费、安全奖励费用等支出；公务接待费反映单位按规定开支的各类公务接待（含外宾接待）支出。</w:t>
      </w:r>
    </w:p>
    <w:p/>
    <w:sectPr>
      <w:pgSz w:w="16838" w:h="11906" w:orient="landscape"/>
      <w:pgMar w:top="1134" w:right="1440" w:bottom="127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32"/>
    <w:rsid w:val="000212E2"/>
    <w:rsid w:val="0008019F"/>
    <w:rsid w:val="000A1859"/>
    <w:rsid w:val="00146CF6"/>
    <w:rsid w:val="00284D02"/>
    <w:rsid w:val="00360659"/>
    <w:rsid w:val="003C241C"/>
    <w:rsid w:val="004E592E"/>
    <w:rsid w:val="005143B5"/>
    <w:rsid w:val="00550B11"/>
    <w:rsid w:val="00577AD5"/>
    <w:rsid w:val="005825FF"/>
    <w:rsid w:val="00733876"/>
    <w:rsid w:val="00972D32"/>
    <w:rsid w:val="00A20F92"/>
    <w:rsid w:val="00B07FEF"/>
    <w:rsid w:val="00B17FD9"/>
    <w:rsid w:val="00B46070"/>
    <w:rsid w:val="00C03D64"/>
    <w:rsid w:val="00C42BB5"/>
    <w:rsid w:val="00CF3F61"/>
    <w:rsid w:val="00EF032F"/>
    <w:rsid w:val="00F1633D"/>
    <w:rsid w:val="00FC7121"/>
    <w:rsid w:val="0B31029E"/>
    <w:rsid w:val="0D2C6DDF"/>
    <w:rsid w:val="1A5E417C"/>
    <w:rsid w:val="284E7562"/>
    <w:rsid w:val="2A122AB4"/>
    <w:rsid w:val="42712A6C"/>
    <w:rsid w:val="67222CFB"/>
    <w:rsid w:val="73DA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 Char Char Char Char Char Char Char Char Char"/>
    <w:basedOn w:val="1"/>
    <w:qFormat/>
    <w:uiPriority w:val="0"/>
    <w:pPr>
      <w:tabs>
        <w:tab w:val="left" w:pos="360"/>
      </w:tabs>
    </w:pPr>
    <w:rPr>
      <w:sz w:val="24"/>
    </w:rPr>
  </w:style>
  <w:style w:type="character" w:customStyle="1" w:styleId="7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锋行伟业</Company>
  <Pages>4</Pages>
  <Words>323</Words>
  <Characters>1846</Characters>
  <Lines>15</Lines>
  <Paragraphs>4</Paragraphs>
  <ScaleCrop>false</ScaleCrop>
  <LinksUpToDate>false</LinksUpToDate>
  <CharactersWithSpaces>2165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2017-10-27T09:20:00Z</dcterms:created>
  <dc:creator>锋行伟业</dc:creator>
  <cp:lastModifiedBy>有前途的绿豆</cp:lastModifiedBy>
  <cp:lastPrinted>2017-10-29T08:14:00Z</cp:lastPrinted>
  <dcterms:modified xsi:type="dcterms:W3CDTF">2017-10-30T01:05:02Z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